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34ECF" w14:textId="33FDA374" w:rsidR="005854B9" w:rsidRPr="005854B9" w:rsidRDefault="004C4A45" w:rsidP="005854B9">
      <w:pPr>
        <w:pStyle w:val="cvgsua"/>
        <w:spacing w:line="360" w:lineRule="auto"/>
        <w:jc w:val="center"/>
        <w:rPr>
          <w:rFonts w:eastAsiaTheme="majorEastAsia"/>
          <w:b/>
          <w:bCs/>
          <w:color w:val="000000"/>
        </w:rPr>
      </w:pPr>
      <w:r>
        <w:rPr>
          <w:rFonts w:eastAsiaTheme="majorEastAsia"/>
          <w:b/>
          <w:bCs/>
          <w:noProof/>
          <w:color w:val="000000"/>
          <w14:ligatures w14:val="standardContextual"/>
        </w:rPr>
        <w:drawing>
          <wp:anchor distT="0" distB="0" distL="114300" distR="114300" simplePos="0" relativeHeight="251658240" behindDoc="1" locked="1" layoutInCell="1" allowOverlap="1" wp14:anchorId="71ACA2D6" wp14:editId="7D586318">
            <wp:simplePos x="0" y="0"/>
            <wp:positionH relativeFrom="page">
              <wp:align>right</wp:align>
            </wp:positionH>
            <wp:positionV relativeFrom="page">
              <wp:align>top</wp:align>
            </wp:positionV>
            <wp:extent cx="7541895" cy="10666730"/>
            <wp:effectExtent l="0" t="0" r="1905" b="1270"/>
            <wp:wrapNone/>
            <wp:docPr id="703594475" name="Imagem 1"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94475" name="Imagem 1" descr="Padrão do plano de fundo&#10;&#10;Descrição gerad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7541895" cy="10666730"/>
                    </a:xfrm>
                    <a:prstGeom prst="rect">
                      <a:avLst/>
                    </a:prstGeom>
                  </pic:spPr>
                </pic:pic>
              </a:graphicData>
            </a:graphic>
            <wp14:sizeRelH relativeFrom="page">
              <wp14:pctWidth>0</wp14:pctWidth>
            </wp14:sizeRelH>
            <wp14:sizeRelV relativeFrom="page">
              <wp14:pctHeight>0</wp14:pctHeight>
            </wp14:sizeRelV>
          </wp:anchor>
        </w:drawing>
      </w:r>
      <w:r w:rsidR="00BD6A22" w:rsidRPr="00BD6A22">
        <w:t xml:space="preserve"> </w:t>
      </w:r>
      <w:r w:rsidR="00BD6A22" w:rsidRPr="00BD6A22">
        <w:rPr>
          <w:rFonts w:eastAsiaTheme="majorEastAsia"/>
          <w:b/>
          <w:bCs/>
          <w:color w:val="000000"/>
        </w:rPr>
        <w:t>IMPLICAÇÕES DA EUTANÁSIA E DO SUICÍDIO ASSISTIDO DE UM PACIENTE EM FASE TERMINAL E A RESPONSABILIDADE MÉDICA</w:t>
      </w:r>
    </w:p>
    <w:p w14:paraId="31B87E44" w14:textId="2A1CA44C" w:rsidR="00967D5A" w:rsidRPr="00A55D92" w:rsidRDefault="00967D5A" w:rsidP="006874F2">
      <w:pPr>
        <w:pStyle w:val="cvgsua"/>
        <w:jc w:val="both"/>
        <w:rPr>
          <w:rFonts w:eastAsiaTheme="majorEastAsia"/>
          <w:color w:val="000000"/>
        </w:rPr>
      </w:pPr>
      <w:r>
        <w:rPr>
          <w:rStyle w:val="oypena"/>
          <w:rFonts w:eastAsiaTheme="majorEastAsia"/>
          <w:b/>
          <w:bCs/>
          <w:color w:val="000000"/>
        </w:rPr>
        <w:t>INTRODUÇÃO</w:t>
      </w:r>
      <w:r>
        <w:rPr>
          <w:rStyle w:val="oypena"/>
          <w:rFonts w:eastAsiaTheme="majorEastAsia"/>
          <w:color w:val="000000"/>
        </w:rPr>
        <w:t>:</w:t>
      </w:r>
      <w:r w:rsidRPr="00B943F6">
        <w:rPr>
          <w:rStyle w:val="oypena"/>
          <w:rFonts w:eastAsiaTheme="majorEastAsia"/>
          <w:color w:val="000000"/>
        </w:rPr>
        <w:t xml:space="preserve"> </w:t>
      </w:r>
      <w:r>
        <w:rPr>
          <w:rStyle w:val="oypena"/>
          <w:rFonts w:eastAsiaTheme="majorEastAsia"/>
          <w:color w:val="000000"/>
        </w:rPr>
        <w:t xml:space="preserve">O  desenvolvimento de modelos assistenciais para pacientes com doenças avançadas e em fase terminal exige capacitação de recursos humanos competentes e conscientização dos gestores de saúde. </w:t>
      </w:r>
      <w:r w:rsidR="00DD1012">
        <w:rPr>
          <w:rStyle w:val="oypena"/>
          <w:rFonts w:eastAsiaTheme="majorEastAsia"/>
          <w:color w:val="000000"/>
        </w:rPr>
        <w:t xml:space="preserve">Isso </w:t>
      </w:r>
      <w:r>
        <w:rPr>
          <w:rStyle w:val="oypena"/>
          <w:rFonts w:eastAsiaTheme="majorEastAsia"/>
          <w:color w:val="000000"/>
        </w:rPr>
        <w:t xml:space="preserve">destaca necessidade de uma política nacional de assistência no fim da vida, visando não apenas qualidade de vida, mas também qualidade de morte para esses pacientes, tema muitas vezes negligenciado nas políticas de saúde. Investir em qualidade de morte </w:t>
      </w:r>
      <w:r w:rsidR="000B6C08">
        <w:rPr>
          <w:rStyle w:val="oypena"/>
          <w:rFonts w:eastAsiaTheme="majorEastAsia"/>
          <w:color w:val="000000"/>
        </w:rPr>
        <w:t xml:space="preserve">torna-se </w:t>
      </w:r>
      <w:r>
        <w:rPr>
          <w:rStyle w:val="oypena"/>
          <w:rFonts w:eastAsiaTheme="majorEastAsia"/>
          <w:color w:val="000000"/>
        </w:rPr>
        <w:t xml:space="preserve">imperativo, mesmo </w:t>
      </w:r>
      <w:r w:rsidR="000B6C08">
        <w:rPr>
          <w:rStyle w:val="oypena"/>
          <w:rFonts w:eastAsiaTheme="majorEastAsia"/>
          <w:color w:val="000000"/>
        </w:rPr>
        <w:t>com</w:t>
      </w:r>
      <w:r>
        <w:rPr>
          <w:rStyle w:val="oypena"/>
          <w:rFonts w:eastAsiaTheme="majorEastAsia"/>
          <w:color w:val="000000"/>
        </w:rPr>
        <w:t xml:space="preserve"> avanços médicos, em </w:t>
      </w:r>
      <w:r w:rsidR="00291849">
        <w:rPr>
          <w:rStyle w:val="oypena"/>
          <w:rFonts w:eastAsiaTheme="majorEastAsia"/>
          <w:color w:val="000000"/>
        </w:rPr>
        <w:t xml:space="preserve">prol </w:t>
      </w:r>
      <w:r>
        <w:rPr>
          <w:rStyle w:val="oypena"/>
          <w:rFonts w:eastAsiaTheme="majorEastAsia"/>
          <w:color w:val="000000"/>
        </w:rPr>
        <w:t xml:space="preserve">da dignidade humana e do alívio do sofrimento </w:t>
      </w:r>
      <w:r w:rsidR="00291849">
        <w:rPr>
          <w:rStyle w:val="oypena"/>
          <w:rFonts w:eastAsiaTheme="majorEastAsia"/>
          <w:color w:val="000000"/>
        </w:rPr>
        <w:t>continuado</w:t>
      </w:r>
      <w:r>
        <w:rPr>
          <w:rStyle w:val="oypena"/>
          <w:rFonts w:eastAsiaTheme="majorEastAsia"/>
          <w:color w:val="000000"/>
        </w:rPr>
        <w:t xml:space="preserve">. </w:t>
      </w:r>
      <w:r w:rsidR="009704ED">
        <w:rPr>
          <w:rStyle w:val="oypena"/>
          <w:rFonts w:eastAsiaTheme="majorEastAsia"/>
          <w:color w:val="000000"/>
        </w:rPr>
        <w:t>D</w:t>
      </w:r>
      <w:r>
        <w:rPr>
          <w:rStyle w:val="oypena"/>
          <w:rFonts w:eastAsiaTheme="majorEastAsia"/>
          <w:color w:val="000000"/>
        </w:rPr>
        <w:t>iferentes modelos de cuidados no fim da vida</w:t>
      </w:r>
      <w:r w:rsidR="00092727">
        <w:rPr>
          <w:rStyle w:val="oypena"/>
          <w:rFonts w:eastAsiaTheme="majorEastAsia"/>
          <w:color w:val="000000"/>
        </w:rPr>
        <w:t xml:space="preserve"> </w:t>
      </w:r>
      <w:r w:rsidR="00A55D92">
        <w:rPr>
          <w:rStyle w:val="oypena"/>
          <w:rFonts w:eastAsiaTheme="majorEastAsia"/>
          <w:color w:val="000000"/>
        </w:rPr>
        <w:t>são debatidos</w:t>
      </w:r>
      <w:r>
        <w:rPr>
          <w:rStyle w:val="oypena"/>
          <w:rFonts w:eastAsiaTheme="majorEastAsia"/>
          <w:color w:val="000000"/>
        </w:rPr>
        <w:t xml:space="preserve">, incluindo eutanásia, suicídio assistido, </w:t>
      </w:r>
      <w:r w:rsidR="00092727">
        <w:rPr>
          <w:rStyle w:val="oypena"/>
          <w:rFonts w:eastAsiaTheme="majorEastAsia"/>
          <w:color w:val="000000"/>
        </w:rPr>
        <w:t>ética</w:t>
      </w:r>
      <w:r>
        <w:rPr>
          <w:rStyle w:val="oypena"/>
          <w:rFonts w:eastAsiaTheme="majorEastAsia"/>
          <w:color w:val="000000"/>
        </w:rPr>
        <w:t xml:space="preserve"> e cuidados paliativos, destacando implicações éticas e práticas. </w:t>
      </w:r>
      <w:r w:rsidR="00A55D92">
        <w:rPr>
          <w:rStyle w:val="oypena"/>
          <w:rFonts w:eastAsiaTheme="majorEastAsia"/>
          <w:color w:val="000000"/>
        </w:rPr>
        <w:t>Desse modo</w:t>
      </w:r>
      <w:r>
        <w:rPr>
          <w:rStyle w:val="oypena"/>
          <w:rFonts w:eastAsiaTheme="majorEastAsia"/>
          <w:color w:val="000000"/>
        </w:rPr>
        <w:t>, discute-se a importância desses cuidados como</w:t>
      </w:r>
      <w:r w:rsidR="00DF2175">
        <w:rPr>
          <w:rStyle w:val="oypena"/>
          <w:rFonts w:eastAsiaTheme="majorEastAsia"/>
          <w:color w:val="000000"/>
        </w:rPr>
        <w:t xml:space="preserve"> </w:t>
      </w:r>
      <w:r>
        <w:rPr>
          <w:rStyle w:val="oypena"/>
          <w:rFonts w:eastAsiaTheme="majorEastAsia"/>
          <w:color w:val="000000"/>
        </w:rPr>
        <w:t xml:space="preserve">abordagem </w:t>
      </w:r>
      <w:r w:rsidR="00BD6A22">
        <w:rPr>
          <w:rStyle w:val="oypena"/>
          <w:rFonts w:eastAsiaTheme="majorEastAsia"/>
          <w:color w:val="000000"/>
        </w:rPr>
        <w:t>para</w:t>
      </w:r>
      <w:r>
        <w:rPr>
          <w:rStyle w:val="oypena"/>
          <w:rFonts w:eastAsiaTheme="majorEastAsia"/>
          <w:color w:val="000000"/>
        </w:rPr>
        <w:t xml:space="preserve"> conciliar sacralidade da vida com</w:t>
      </w:r>
      <w:r w:rsidR="00A55D92">
        <w:rPr>
          <w:rStyle w:val="oypena"/>
          <w:rFonts w:eastAsiaTheme="majorEastAsia"/>
          <w:color w:val="000000"/>
        </w:rPr>
        <w:t xml:space="preserve"> a</w:t>
      </w:r>
      <w:r>
        <w:rPr>
          <w:rStyle w:val="oypena"/>
          <w:rFonts w:eastAsiaTheme="majorEastAsia"/>
          <w:color w:val="000000"/>
        </w:rPr>
        <w:t xml:space="preserve"> qualidade dessa, enquanto respeita a autonomia do paciente. </w:t>
      </w:r>
      <w:r>
        <w:rPr>
          <w:rStyle w:val="oypena"/>
          <w:rFonts w:eastAsiaTheme="majorEastAsia"/>
          <w:b/>
          <w:bCs/>
          <w:color w:val="000000"/>
        </w:rPr>
        <w:t>OBJETIVO</w:t>
      </w:r>
      <w:r>
        <w:rPr>
          <w:rStyle w:val="oypena"/>
          <w:rFonts w:eastAsiaTheme="majorEastAsia"/>
          <w:color w:val="000000"/>
        </w:rPr>
        <w:t xml:space="preserve">: </w:t>
      </w:r>
      <w:r w:rsidR="00E61D99">
        <w:rPr>
          <w:rStyle w:val="oypena"/>
          <w:rFonts w:eastAsiaTheme="majorEastAsia"/>
          <w:color w:val="000000"/>
        </w:rPr>
        <w:t>Analisar</w:t>
      </w:r>
      <w:r>
        <w:rPr>
          <w:rStyle w:val="oypena"/>
          <w:rFonts w:eastAsiaTheme="majorEastAsia"/>
          <w:color w:val="000000"/>
        </w:rPr>
        <w:t xml:space="preserve">  implicações da eutanásia e do suicídio assistido no fim da vida de um paciente e </w:t>
      </w:r>
      <w:r w:rsidR="00E61D99">
        <w:rPr>
          <w:rStyle w:val="oypena"/>
          <w:rFonts w:eastAsiaTheme="majorEastAsia"/>
          <w:color w:val="000000"/>
        </w:rPr>
        <w:t>a responsabilidade</w:t>
      </w:r>
      <w:r>
        <w:rPr>
          <w:rStyle w:val="oypena"/>
          <w:rFonts w:eastAsiaTheme="majorEastAsia"/>
          <w:color w:val="000000"/>
        </w:rPr>
        <w:t xml:space="preserve"> dos médicos. </w:t>
      </w:r>
      <w:r>
        <w:rPr>
          <w:rStyle w:val="oypena"/>
          <w:rFonts w:eastAsiaTheme="majorEastAsia"/>
          <w:b/>
          <w:bCs/>
          <w:color w:val="000000"/>
        </w:rPr>
        <w:t>METODOLOGIA</w:t>
      </w:r>
      <w:r>
        <w:rPr>
          <w:rStyle w:val="oypena"/>
          <w:rFonts w:eastAsiaTheme="majorEastAsia"/>
          <w:color w:val="000000"/>
        </w:rPr>
        <w:t xml:space="preserve">: Trata-se de uma Revisão Integrativa, na qual utilizou-se os descritores </w:t>
      </w:r>
      <w:r w:rsidR="00790801">
        <w:rPr>
          <w:rStyle w:val="oypena"/>
          <w:rFonts w:eastAsiaTheme="majorEastAsia"/>
          <w:color w:val="000000"/>
        </w:rPr>
        <w:t>“</w:t>
      </w:r>
      <w:r w:rsidR="00DF2175">
        <w:rPr>
          <w:rStyle w:val="oypena"/>
          <w:rFonts w:eastAsiaTheme="majorEastAsia"/>
          <w:color w:val="000000"/>
        </w:rPr>
        <w:t>Cuidados Paliativos</w:t>
      </w:r>
      <w:r w:rsidR="00790801">
        <w:rPr>
          <w:rStyle w:val="oypena"/>
          <w:rFonts w:eastAsiaTheme="majorEastAsia"/>
          <w:color w:val="000000"/>
        </w:rPr>
        <w:t>”</w:t>
      </w:r>
      <w:r w:rsidR="00DF2175">
        <w:rPr>
          <w:rStyle w:val="oypena"/>
          <w:rFonts w:eastAsiaTheme="majorEastAsia"/>
          <w:color w:val="000000"/>
        </w:rPr>
        <w:t xml:space="preserve">, </w:t>
      </w:r>
      <w:r>
        <w:rPr>
          <w:rStyle w:val="oypena"/>
          <w:rFonts w:eastAsiaTheme="majorEastAsia"/>
          <w:color w:val="000000"/>
        </w:rPr>
        <w:t>“</w:t>
      </w:r>
      <w:r w:rsidR="00E96546">
        <w:rPr>
          <w:rStyle w:val="oypena"/>
          <w:rFonts w:eastAsiaTheme="majorEastAsia"/>
          <w:color w:val="000000"/>
        </w:rPr>
        <w:t>Ética</w:t>
      </w:r>
      <w:r>
        <w:rPr>
          <w:rStyle w:val="oypena"/>
          <w:rFonts w:eastAsiaTheme="majorEastAsia"/>
          <w:color w:val="000000"/>
        </w:rPr>
        <w:t>”, “</w:t>
      </w:r>
      <w:r w:rsidR="00E96546">
        <w:rPr>
          <w:rStyle w:val="oypena"/>
          <w:rFonts w:eastAsiaTheme="majorEastAsia"/>
          <w:color w:val="000000"/>
        </w:rPr>
        <w:t>Eutanásia</w:t>
      </w:r>
      <w:r>
        <w:rPr>
          <w:rStyle w:val="oypena"/>
          <w:rFonts w:eastAsiaTheme="majorEastAsia"/>
          <w:color w:val="000000"/>
        </w:rPr>
        <w:t>” e “</w:t>
      </w:r>
      <w:r w:rsidR="00E96546">
        <w:rPr>
          <w:rStyle w:val="oypena"/>
          <w:rFonts w:eastAsiaTheme="majorEastAsia"/>
          <w:color w:val="000000"/>
        </w:rPr>
        <w:t>S</w:t>
      </w:r>
      <w:r>
        <w:rPr>
          <w:rStyle w:val="oypena"/>
          <w:rFonts w:eastAsiaTheme="majorEastAsia"/>
          <w:color w:val="000000"/>
        </w:rPr>
        <w:t xml:space="preserve">uicídio </w:t>
      </w:r>
      <w:r w:rsidR="00E96546">
        <w:rPr>
          <w:rStyle w:val="oypena"/>
          <w:rFonts w:eastAsiaTheme="majorEastAsia"/>
          <w:color w:val="000000"/>
        </w:rPr>
        <w:t>A</w:t>
      </w:r>
      <w:r>
        <w:rPr>
          <w:rStyle w:val="oypena"/>
          <w:rFonts w:eastAsiaTheme="majorEastAsia"/>
          <w:color w:val="000000"/>
        </w:rPr>
        <w:t xml:space="preserve">ssistido” seguidos do </w:t>
      </w:r>
      <w:r w:rsidR="00A55D92">
        <w:rPr>
          <w:rStyle w:val="oypena"/>
          <w:rFonts w:eastAsiaTheme="majorEastAsia"/>
          <w:color w:val="000000"/>
        </w:rPr>
        <w:t>operador B</w:t>
      </w:r>
      <w:r>
        <w:rPr>
          <w:rStyle w:val="oypena"/>
          <w:rFonts w:eastAsiaTheme="majorEastAsia"/>
          <w:color w:val="000000"/>
        </w:rPr>
        <w:t>ooleano AND</w:t>
      </w:r>
      <w:r w:rsidR="00A55D92">
        <w:rPr>
          <w:rStyle w:val="oypena"/>
          <w:rFonts w:eastAsiaTheme="majorEastAsia"/>
          <w:color w:val="000000"/>
        </w:rPr>
        <w:t>, em português, inglês, alemão e espanhol,</w:t>
      </w:r>
      <w:r>
        <w:rPr>
          <w:rStyle w:val="oypena"/>
          <w:rFonts w:eastAsiaTheme="majorEastAsia"/>
          <w:color w:val="000000"/>
        </w:rPr>
        <w:t xml:space="preserve"> nas bases de dados PubMed, Scielo e Google Scholar. Foram selecionados 5 artigos publicados nos últimos 6 anos. </w:t>
      </w:r>
      <w:r>
        <w:rPr>
          <w:rStyle w:val="oypena"/>
          <w:rFonts w:eastAsiaTheme="majorEastAsia"/>
          <w:b/>
          <w:bCs/>
          <w:color w:val="000000"/>
        </w:rPr>
        <w:t>RESULTADOS</w:t>
      </w:r>
      <w:r>
        <w:rPr>
          <w:rStyle w:val="oypena"/>
          <w:rFonts w:eastAsiaTheme="majorEastAsia"/>
          <w:color w:val="000000"/>
        </w:rPr>
        <w:t xml:space="preserve">: As pesquisas demonstram alta taxa de concordância com eutanásia e suicídio assistido em pacientes com doenças terminais, especialmente se </w:t>
      </w:r>
      <w:r w:rsidR="00A55D92">
        <w:rPr>
          <w:rStyle w:val="oypena"/>
          <w:rFonts w:eastAsiaTheme="majorEastAsia"/>
          <w:color w:val="000000"/>
        </w:rPr>
        <w:t xml:space="preserve">estes atos </w:t>
      </w:r>
      <w:r>
        <w:rPr>
          <w:rStyle w:val="oypena"/>
          <w:rFonts w:eastAsiaTheme="majorEastAsia"/>
          <w:color w:val="000000"/>
        </w:rPr>
        <w:t>fossem legalizados no Brasil</w:t>
      </w:r>
      <w:r w:rsidR="00A55D92">
        <w:rPr>
          <w:rStyle w:val="oypena"/>
          <w:rFonts w:eastAsiaTheme="majorEastAsia"/>
          <w:color w:val="000000"/>
        </w:rPr>
        <w:t>. No entanto, observou-se</w:t>
      </w:r>
      <w:r>
        <w:rPr>
          <w:rStyle w:val="oypena"/>
          <w:rFonts w:eastAsiaTheme="majorEastAsia"/>
          <w:color w:val="000000"/>
        </w:rPr>
        <w:t xml:space="preserve"> menor aceitação para casos de doenças neurodegenerativas progressivas ou tetraplegia. Se legalizados, aproximadamente metade dos participantes consideraria solicitar esses procedimentos caso estivessem pessoalmente enfrentando uma doença terminal, e proporção similar dos profissionais de saúde estaria disposta a auxiliar.</w:t>
      </w:r>
      <w:r w:rsidR="005A70B8">
        <w:rPr>
          <w:rStyle w:val="oypena"/>
          <w:rFonts w:eastAsiaTheme="majorEastAsia"/>
          <w:color w:val="000000"/>
        </w:rPr>
        <w:t xml:space="preserve"> Isso</w:t>
      </w:r>
      <w:r>
        <w:rPr>
          <w:rStyle w:val="oypena"/>
          <w:rFonts w:eastAsiaTheme="majorEastAsia"/>
          <w:color w:val="000000"/>
        </w:rPr>
        <w:t xml:space="preserve"> destaca complexidade e necessidade de discussões mais aprofundadas sobre</w:t>
      </w:r>
      <w:r w:rsidR="00F749E9">
        <w:rPr>
          <w:rStyle w:val="oypena"/>
          <w:rFonts w:eastAsiaTheme="majorEastAsia"/>
          <w:color w:val="000000"/>
        </w:rPr>
        <w:t xml:space="preserve"> o assunto</w:t>
      </w:r>
      <w:r>
        <w:rPr>
          <w:rStyle w:val="oypena"/>
          <w:rFonts w:eastAsiaTheme="majorEastAsia"/>
          <w:color w:val="000000"/>
        </w:rPr>
        <w:t xml:space="preserve"> no contexto brasileiro. </w:t>
      </w:r>
      <w:r>
        <w:rPr>
          <w:rStyle w:val="oypena"/>
          <w:rFonts w:eastAsiaTheme="majorEastAsia"/>
          <w:b/>
          <w:bCs/>
          <w:color w:val="000000"/>
        </w:rPr>
        <w:t>CONCLUSÃO</w:t>
      </w:r>
      <w:r>
        <w:rPr>
          <w:rStyle w:val="oypena"/>
          <w:rFonts w:eastAsiaTheme="majorEastAsia"/>
          <w:color w:val="000000"/>
        </w:rPr>
        <w:t xml:space="preserve">: </w:t>
      </w:r>
      <w:r w:rsidR="00DF2175">
        <w:rPr>
          <w:rStyle w:val="oypena"/>
          <w:rFonts w:eastAsiaTheme="majorEastAsia"/>
          <w:color w:val="000000"/>
        </w:rPr>
        <w:t>A</w:t>
      </w:r>
      <w:r w:rsidR="00A55D92">
        <w:rPr>
          <w:rStyle w:val="oypena"/>
          <w:rFonts w:eastAsiaTheme="majorEastAsia"/>
          <w:color w:val="000000"/>
        </w:rPr>
        <w:t>o paciente em fase terminal,</w:t>
      </w:r>
      <w:r>
        <w:rPr>
          <w:rStyle w:val="oypena"/>
          <w:rFonts w:eastAsiaTheme="majorEastAsia"/>
          <w:color w:val="000000"/>
        </w:rPr>
        <w:t xml:space="preserve"> há diferenças entre quantidade de vida e qualidade de vida, fato </w:t>
      </w:r>
      <w:r w:rsidR="00A55D92">
        <w:rPr>
          <w:rStyle w:val="oypena"/>
          <w:rFonts w:eastAsiaTheme="majorEastAsia"/>
          <w:color w:val="000000"/>
        </w:rPr>
        <w:t>relacionado aos</w:t>
      </w:r>
      <w:r>
        <w:rPr>
          <w:rStyle w:val="oypena"/>
          <w:rFonts w:eastAsiaTheme="majorEastAsia"/>
          <w:color w:val="000000"/>
        </w:rPr>
        <w:t xml:space="preserve"> medos e tabus associados à morte</w:t>
      </w:r>
      <w:r w:rsidR="00A55D92">
        <w:rPr>
          <w:rStyle w:val="oypena"/>
          <w:rFonts w:eastAsiaTheme="majorEastAsia"/>
          <w:color w:val="000000"/>
        </w:rPr>
        <w:t>,</w:t>
      </w:r>
      <w:r>
        <w:rPr>
          <w:rStyle w:val="oypena"/>
          <w:rFonts w:eastAsiaTheme="majorEastAsia"/>
          <w:color w:val="000000"/>
        </w:rPr>
        <w:t xml:space="preserve"> como inimiga ou fracasso</w:t>
      </w:r>
      <w:r w:rsidR="00A55D92">
        <w:rPr>
          <w:rStyle w:val="oypena"/>
          <w:rFonts w:eastAsiaTheme="majorEastAsia"/>
          <w:color w:val="000000"/>
        </w:rPr>
        <w:t xml:space="preserve"> da vida</w:t>
      </w:r>
      <w:r>
        <w:rPr>
          <w:rStyle w:val="oypena"/>
          <w:rFonts w:eastAsiaTheme="majorEastAsia"/>
          <w:color w:val="000000"/>
        </w:rPr>
        <w:t xml:space="preserve">. Assim, cuidados paliativos nem sempre são acessíveis ou adequados, </w:t>
      </w:r>
      <w:r w:rsidR="00BD6A22">
        <w:rPr>
          <w:rStyle w:val="oypena"/>
          <w:rFonts w:eastAsiaTheme="majorEastAsia"/>
          <w:color w:val="000000"/>
        </w:rPr>
        <w:t>levando</w:t>
      </w:r>
      <w:r>
        <w:rPr>
          <w:rStyle w:val="oypena"/>
          <w:rFonts w:eastAsiaTheme="majorEastAsia"/>
          <w:color w:val="000000"/>
        </w:rPr>
        <w:t xml:space="preserve"> </w:t>
      </w:r>
      <w:r w:rsidR="00BD6A22">
        <w:rPr>
          <w:rStyle w:val="oypena"/>
          <w:rFonts w:eastAsiaTheme="majorEastAsia"/>
          <w:color w:val="000000"/>
        </w:rPr>
        <w:t xml:space="preserve">pacientes </w:t>
      </w:r>
      <w:r>
        <w:rPr>
          <w:rStyle w:val="oypena"/>
          <w:rFonts w:eastAsiaTheme="majorEastAsia"/>
          <w:color w:val="000000"/>
        </w:rPr>
        <w:t>à consideração do suicídio assistido e da eutanásia</w:t>
      </w:r>
      <w:r w:rsidR="00BD6A22">
        <w:rPr>
          <w:rStyle w:val="oypena"/>
          <w:rFonts w:eastAsiaTheme="majorEastAsia"/>
          <w:color w:val="000000"/>
        </w:rPr>
        <w:t>,</w:t>
      </w:r>
      <w:r>
        <w:rPr>
          <w:rStyle w:val="oypena"/>
          <w:rFonts w:eastAsiaTheme="majorEastAsia"/>
          <w:color w:val="000000"/>
        </w:rPr>
        <w:t xml:space="preserve"> </w:t>
      </w:r>
      <w:r w:rsidR="00BD6A22">
        <w:rPr>
          <w:rStyle w:val="oypena"/>
          <w:rFonts w:eastAsiaTheme="majorEastAsia"/>
          <w:color w:val="000000"/>
        </w:rPr>
        <w:t>para sessar dores, o que é considerado como ato de dignidade humana por muitos</w:t>
      </w:r>
      <w:r>
        <w:rPr>
          <w:rStyle w:val="oypena"/>
          <w:rFonts w:eastAsiaTheme="majorEastAsia"/>
          <w:color w:val="000000"/>
        </w:rPr>
        <w:t xml:space="preserve"> dos profissionais de saúde entrevistados.</w:t>
      </w:r>
    </w:p>
    <w:p w14:paraId="505AB9B2" w14:textId="77777777" w:rsidR="00FE4105" w:rsidRDefault="00FE4105" w:rsidP="007D3DC7">
      <w:pPr>
        <w:pStyle w:val="cvgsua"/>
        <w:jc w:val="both"/>
        <w:rPr>
          <w:color w:val="000000"/>
        </w:rPr>
      </w:pPr>
    </w:p>
    <w:p w14:paraId="671326B0" w14:textId="0F1714A2" w:rsidR="00FE4105" w:rsidRDefault="00FE4105" w:rsidP="007D3DC7">
      <w:pPr>
        <w:pStyle w:val="cvgsua"/>
        <w:jc w:val="both"/>
        <w:rPr>
          <w:rStyle w:val="oypena"/>
          <w:rFonts w:eastAsiaTheme="majorEastAsia"/>
          <w:color w:val="000000"/>
        </w:rPr>
      </w:pPr>
      <w:r>
        <w:rPr>
          <w:rStyle w:val="oypena"/>
          <w:rFonts w:eastAsiaTheme="majorEastAsia"/>
          <w:b/>
          <w:bCs/>
          <w:color w:val="000000"/>
        </w:rPr>
        <w:t>Palavras-chaves</w:t>
      </w:r>
      <w:r>
        <w:rPr>
          <w:rStyle w:val="oypena"/>
          <w:rFonts w:eastAsiaTheme="majorEastAsia"/>
          <w:color w:val="000000"/>
        </w:rPr>
        <w:t>:</w:t>
      </w:r>
      <w:r w:rsidR="00D12E65">
        <w:rPr>
          <w:rStyle w:val="oypena"/>
          <w:rFonts w:eastAsiaTheme="majorEastAsia"/>
          <w:color w:val="000000"/>
        </w:rPr>
        <w:t xml:space="preserve"> </w:t>
      </w:r>
      <w:r w:rsidR="00C626F3">
        <w:rPr>
          <w:rStyle w:val="oypena"/>
          <w:rFonts w:eastAsiaTheme="majorEastAsia"/>
          <w:color w:val="000000"/>
        </w:rPr>
        <w:t>C</w:t>
      </w:r>
      <w:r w:rsidR="00A55D92">
        <w:rPr>
          <w:rStyle w:val="oypena"/>
          <w:rFonts w:eastAsiaTheme="majorEastAsia"/>
          <w:color w:val="000000"/>
        </w:rPr>
        <w:t xml:space="preserve">uidados </w:t>
      </w:r>
      <w:r w:rsidR="00C626F3">
        <w:rPr>
          <w:rStyle w:val="oypena"/>
          <w:rFonts w:eastAsiaTheme="majorEastAsia"/>
          <w:color w:val="000000"/>
        </w:rPr>
        <w:t>P</w:t>
      </w:r>
      <w:r w:rsidR="00A55D92">
        <w:rPr>
          <w:rStyle w:val="oypena"/>
          <w:rFonts w:eastAsiaTheme="majorEastAsia"/>
          <w:color w:val="000000"/>
        </w:rPr>
        <w:t xml:space="preserve">aliativos; </w:t>
      </w:r>
      <w:r w:rsidR="00C626F3">
        <w:rPr>
          <w:rStyle w:val="oypena"/>
          <w:rFonts w:eastAsiaTheme="majorEastAsia"/>
          <w:color w:val="000000"/>
        </w:rPr>
        <w:t>E</w:t>
      </w:r>
      <w:r w:rsidR="001D6CA7">
        <w:rPr>
          <w:rStyle w:val="oypena"/>
          <w:rFonts w:eastAsiaTheme="majorEastAsia"/>
          <w:color w:val="000000"/>
        </w:rPr>
        <w:t>utanásia</w:t>
      </w:r>
      <w:r w:rsidR="005D7751">
        <w:rPr>
          <w:rStyle w:val="oypena"/>
          <w:rFonts w:eastAsiaTheme="majorEastAsia"/>
          <w:color w:val="000000"/>
        </w:rPr>
        <w:t>;</w:t>
      </w:r>
      <w:r w:rsidR="00D12E65">
        <w:rPr>
          <w:rStyle w:val="oypena"/>
          <w:rFonts w:eastAsiaTheme="majorEastAsia"/>
          <w:color w:val="000000"/>
        </w:rPr>
        <w:t xml:space="preserve"> </w:t>
      </w:r>
      <w:r w:rsidR="00C626F3">
        <w:rPr>
          <w:rStyle w:val="oypena"/>
          <w:rFonts w:eastAsiaTheme="majorEastAsia"/>
          <w:color w:val="000000"/>
        </w:rPr>
        <w:t>É</w:t>
      </w:r>
      <w:r w:rsidR="007318BD">
        <w:rPr>
          <w:rStyle w:val="oypena"/>
          <w:rFonts w:eastAsiaTheme="majorEastAsia"/>
          <w:color w:val="000000"/>
        </w:rPr>
        <w:t>tica;</w:t>
      </w:r>
      <w:r w:rsidR="001D6CA7">
        <w:rPr>
          <w:rStyle w:val="oypena"/>
          <w:rFonts w:eastAsiaTheme="majorEastAsia"/>
          <w:color w:val="000000"/>
        </w:rPr>
        <w:t xml:space="preserve"> </w:t>
      </w:r>
      <w:r w:rsidR="00C626F3">
        <w:rPr>
          <w:rStyle w:val="oypena"/>
          <w:rFonts w:eastAsiaTheme="majorEastAsia"/>
          <w:color w:val="000000"/>
        </w:rPr>
        <w:t>S</w:t>
      </w:r>
      <w:r w:rsidR="001D6CA7">
        <w:rPr>
          <w:rStyle w:val="oypena"/>
          <w:rFonts w:eastAsiaTheme="majorEastAsia"/>
          <w:color w:val="000000"/>
        </w:rPr>
        <w:t xml:space="preserve">uicídio </w:t>
      </w:r>
      <w:r w:rsidR="00C626F3">
        <w:rPr>
          <w:rStyle w:val="oypena"/>
          <w:rFonts w:eastAsiaTheme="majorEastAsia"/>
          <w:color w:val="000000"/>
        </w:rPr>
        <w:t>A</w:t>
      </w:r>
      <w:r w:rsidR="001D6CA7">
        <w:rPr>
          <w:rStyle w:val="oypena"/>
          <w:rFonts w:eastAsiaTheme="majorEastAsia"/>
          <w:color w:val="000000"/>
        </w:rPr>
        <w:t>ssistido.</w:t>
      </w:r>
    </w:p>
    <w:p w14:paraId="0D4831C6" w14:textId="77777777" w:rsidR="006720F9" w:rsidRDefault="006720F9" w:rsidP="007D3DC7">
      <w:pPr>
        <w:pStyle w:val="cvgsua"/>
        <w:jc w:val="both"/>
        <w:rPr>
          <w:rStyle w:val="oypena"/>
          <w:rFonts w:eastAsiaTheme="majorEastAsia"/>
          <w:color w:val="000000"/>
        </w:rPr>
      </w:pPr>
    </w:p>
    <w:p w14:paraId="0E05F17B" w14:textId="41ABCADE" w:rsidR="006720F9" w:rsidRDefault="006720F9" w:rsidP="007D3DC7">
      <w:pPr>
        <w:pStyle w:val="cvgsua"/>
        <w:jc w:val="both"/>
        <w:rPr>
          <w:rStyle w:val="oypena"/>
          <w:rFonts w:eastAsiaTheme="majorEastAsia"/>
          <w:color w:val="000000"/>
        </w:rPr>
      </w:pPr>
    </w:p>
    <w:p w14:paraId="38D7B71E" w14:textId="77777777" w:rsidR="006F4338" w:rsidRDefault="006F4338" w:rsidP="007D3DC7">
      <w:pPr>
        <w:pStyle w:val="cvgsua"/>
        <w:jc w:val="both"/>
        <w:rPr>
          <w:rStyle w:val="oypena"/>
          <w:rFonts w:eastAsiaTheme="majorEastAsia"/>
          <w:color w:val="000000"/>
        </w:rPr>
      </w:pPr>
    </w:p>
    <w:p w14:paraId="0B9ADAC8" w14:textId="77777777" w:rsidR="00795EC8" w:rsidRDefault="00795EC8" w:rsidP="007D3DC7">
      <w:pPr>
        <w:pStyle w:val="cvgsua"/>
        <w:jc w:val="both"/>
        <w:rPr>
          <w:rStyle w:val="oypena"/>
          <w:rFonts w:eastAsiaTheme="majorEastAsia"/>
          <w:color w:val="000000"/>
        </w:rPr>
      </w:pPr>
    </w:p>
    <w:p w14:paraId="65EC2126" w14:textId="77777777" w:rsidR="00795EC8" w:rsidRDefault="00795EC8" w:rsidP="007D3DC7">
      <w:pPr>
        <w:pStyle w:val="cvgsua"/>
        <w:jc w:val="both"/>
        <w:rPr>
          <w:rStyle w:val="oypena"/>
          <w:rFonts w:eastAsiaTheme="majorEastAsia"/>
          <w:color w:val="000000"/>
        </w:rPr>
      </w:pPr>
    </w:p>
    <w:p w14:paraId="2EED2995" w14:textId="77777777" w:rsidR="00795EC8" w:rsidRDefault="00795EC8" w:rsidP="007D3DC7">
      <w:pPr>
        <w:pStyle w:val="cvgsua"/>
        <w:jc w:val="both"/>
        <w:rPr>
          <w:rStyle w:val="oypena"/>
          <w:rFonts w:eastAsiaTheme="majorEastAsia"/>
          <w:color w:val="000000"/>
        </w:rPr>
      </w:pPr>
    </w:p>
    <w:p w14:paraId="0AA11ECC" w14:textId="77777777" w:rsidR="00AA7C03" w:rsidRDefault="00AA7C03">
      <w:pPr>
        <w:rPr>
          <w:rFonts w:ascii="Times New Roman" w:hAnsi="Times New Roman" w:cs="Times New Roman"/>
          <w:b/>
          <w:bCs/>
          <w:sz w:val="24"/>
          <w:szCs w:val="24"/>
        </w:rPr>
      </w:pPr>
    </w:p>
    <w:p w14:paraId="008A5BA3" w14:textId="77777777" w:rsidR="00E96546" w:rsidRDefault="00E96546">
      <w:pPr>
        <w:rPr>
          <w:rFonts w:ascii="Times New Roman" w:hAnsi="Times New Roman" w:cs="Times New Roman"/>
          <w:b/>
          <w:bCs/>
          <w:sz w:val="24"/>
          <w:szCs w:val="24"/>
        </w:rPr>
      </w:pPr>
    </w:p>
    <w:p w14:paraId="20E3EF47" w14:textId="7BF4FC92" w:rsidR="004737CC" w:rsidRDefault="00795EC8">
      <w:pPr>
        <w:rPr>
          <w:rFonts w:ascii="Times New Roman" w:hAnsi="Times New Roman" w:cs="Times New Roman"/>
          <w:b/>
          <w:bCs/>
          <w:sz w:val="24"/>
          <w:szCs w:val="24"/>
        </w:rPr>
      </w:pPr>
      <w:r w:rsidRPr="00795EC8">
        <w:rPr>
          <w:rFonts w:ascii="Times New Roman" w:eastAsiaTheme="majorEastAsia" w:hAnsi="Times New Roman" w:cs="Times New Roman"/>
          <w:b/>
          <w:bCs/>
          <w:noProof/>
          <w:color w:val="000000"/>
          <w:sz w:val="24"/>
          <w:szCs w:val="24"/>
        </w:rPr>
        <w:drawing>
          <wp:anchor distT="0" distB="0" distL="114300" distR="114300" simplePos="0" relativeHeight="251660288" behindDoc="1" locked="1" layoutInCell="1" allowOverlap="1" wp14:anchorId="40E855C6" wp14:editId="600A3499">
            <wp:simplePos x="0" y="0"/>
            <wp:positionH relativeFrom="page">
              <wp:align>right</wp:align>
            </wp:positionH>
            <wp:positionV relativeFrom="page">
              <wp:posOffset>20320</wp:posOffset>
            </wp:positionV>
            <wp:extent cx="7541895" cy="10666730"/>
            <wp:effectExtent l="0" t="0" r="1905" b="1270"/>
            <wp:wrapNone/>
            <wp:docPr id="1501416834" name="Imagem 1"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94475" name="Imagem 1" descr="Padrão do plano de fundo&#10;&#10;Descrição gerad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7541895" cy="10666730"/>
                    </a:xfrm>
                    <a:prstGeom prst="rect">
                      <a:avLst/>
                    </a:prstGeom>
                  </pic:spPr>
                </pic:pic>
              </a:graphicData>
            </a:graphic>
            <wp14:sizeRelH relativeFrom="page">
              <wp14:pctWidth>0</wp14:pctWidth>
            </wp14:sizeRelH>
            <wp14:sizeRelV relativeFrom="page">
              <wp14:pctHeight>0</wp14:pctHeight>
            </wp14:sizeRelV>
          </wp:anchor>
        </w:drawing>
      </w:r>
      <w:r w:rsidRPr="00795EC8">
        <w:rPr>
          <w:rFonts w:ascii="Times New Roman" w:hAnsi="Times New Roman" w:cs="Times New Roman"/>
          <w:b/>
          <w:bCs/>
          <w:sz w:val="24"/>
          <w:szCs w:val="24"/>
        </w:rPr>
        <w:t>REFERÊNCIAS:</w:t>
      </w:r>
    </w:p>
    <w:p w14:paraId="71C9E43F" w14:textId="77777777" w:rsidR="00E96546" w:rsidRDefault="00E96546">
      <w:pPr>
        <w:rPr>
          <w:rFonts w:ascii="Times New Roman" w:hAnsi="Times New Roman" w:cs="Times New Roman"/>
          <w:b/>
          <w:bCs/>
          <w:sz w:val="24"/>
          <w:szCs w:val="24"/>
        </w:rPr>
      </w:pPr>
    </w:p>
    <w:p w14:paraId="42A87118" w14:textId="5275D383" w:rsidR="00336DEA" w:rsidRDefault="00336DEA" w:rsidP="00945F32">
      <w:pPr>
        <w:jc w:val="both"/>
        <w:rPr>
          <w:rFonts w:ascii="Times New Roman" w:hAnsi="Times New Roman" w:cs="Times New Roman"/>
          <w:sz w:val="24"/>
          <w:szCs w:val="24"/>
        </w:rPr>
      </w:pPr>
      <w:r>
        <w:rPr>
          <w:rFonts w:ascii="Times New Roman" w:hAnsi="Times New Roman" w:cs="Times New Roman"/>
          <w:sz w:val="24"/>
          <w:szCs w:val="24"/>
        </w:rPr>
        <w:t xml:space="preserve">BELLOLIO A., J.; ROSSO R., P. Impacto social de la despenalización de La muerte médicamente asistida. </w:t>
      </w:r>
      <w:r w:rsidR="00925D6B" w:rsidRPr="00925D6B">
        <w:rPr>
          <w:rFonts w:ascii="Times New Roman" w:hAnsi="Times New Roman" w:cs="Times New Roman"/>
          <w:b/>
          <w:bCs/>
          <w:sz w:val="24"/>
          <w:szCs w:val="24"/>
        </w:rPr>
        <w:t xml:space="preserve">Rev </w:t>
      </w:r>
      <w:r w:rsidRPr="00925D6B">
        <w:rPr>
          <w:rFonts w:ascii="Times New Roman" w:hAnsi="Times New Roman" w:cs="Times New Roman"/>
          <w:b/>
          <w:bCs/>
          <w:sz w:val="24"/>
          <w:szCs w:val="24"/>
        </w:rPr>
        <w:t>médica de Chile</w:t>
      </w:r>
      <w:r>
        <w:rPr>
          <w:rFonts w:ascii="Times New Roman" w:hAnsi="Times New Roman" w:cs="Times New Roman"/>
          <w:sz w:val="24"/>
          <w:szCs w:val="24"/>
        </w:rPr>
        <w:t xml:space="preserve">, v. 149, n. 11, p. 1650-1656, nov. 2021. Disponível em: </w:t>
      </w:r>
      <w:hyperlink r:id="rId5" w:history="1">
        <w:r w:rsidRPr="00CD3903">
          <w:rPr>
            <w:rStyle w:val="Hyperlink"/>
            <w:rFonts w:ascii="Times New Roman" w:hAnsi="Times New Roman" w:cs="Times New Roman"/>
            <w:sz w:val="24"/>
            <w:szCs w:val="24"/>
          </w:rPr>
          <w:t>https://www.scielo.cl/scielo.php?script=sci_arttext&amp;pid=S0034-98872021001101650</w:t>
        </w:r>
      </w:hyperlink>
      <w:r>
        <w:rPr>
          <w:rFonts w:ascii="Times New Roman" w:hAnsi="Times New Roman" w:cs="Times New Roman"/>
          <w:sz w:val="24"/>
          <w:szCs w:val="24"/>
        </w:rPr>
        <w:t>. Acesso em 26 abr. 2024.</w:t>
      </w:r>
    </w:p>
    <w:p w14:paraId="53078E65" w14:textId="77777777" w:rsidR="00336DEA" w:rsidRDefault="00336DEA" w:rsidP="00945F32">
      <w:pPr>
        <w:jc w:val="both"/>
        <w:rPr>
          <w:rFonts w:ascii="Times New Roman" w:hAnsi="Times New Roman" w:cs="Times New Roman"/>
          <w:sz w:val="24"/>
          <w:szCs w:val="24"/>
        </w:rPr>
      </w:pPr>
    </w:p>
    <w:p w14:paraId="2CF6DD37" w14:textId="77777777" w:rsidR="00BA3764" w:rsidRDefault="00BA3764" w:rsidP="00AD0CBC">
      <w:pPr>
        <w:jc w:val="both"/>
        <w:rPr>
          <w:rFonts w:ascii="Times New Roman" w:hAnsi="Times New Roman" w:cs="Times New Roman"/>
          <w:sz w:val="24"/>
          <w:szCs w:val="24"/>
        </w:rPr>
      </w:pPr>
      <w:r>
        <w:rPr>
          <w:rFonts w:ascii="Times New Roman" w:hAnsi="Times New Roman" w:cs="Times New Roman"/>
          <w:sz w:val="24"/>
          <w:szCs w:val="24"/>
        </w:rPr>
        <w:t xml:space="preserve">BRANDALISE, V. B. et al.  Suicídio assistido e eutanásia na perspectiva de profissionais e acadêmicos de um hospital universitários. </w:t>
      </w:r>
      <w:r w:rsidRPr="00925D6B">
        <w:rPr>
          <w:rFonts w:ascii="Times New Roman" w:hAnsi="Times New Roman" w:cs="Times New Roman"/>
          <w:b/>
          <w:bCs/>
          <w:sz w:val="24"/>
          <w:szCs w:val="24"/>
        </w:rPr>
        <w:t>Rev. bioét.</w:t>
      </w:r>
      <w:r>
        <w:rPr>
          <w:rFonts w:ascii="Times New Roman" w:hAnsi="Times New Roman" w:cs="Times New Roman"/>
          <w:sz w:val="24"/>
          <w:szCs w:val="24"/>
        </w:rPr>
        <w:t xml:space="preserve">, Brasília, v. 26, n. 2, p. 217-227, abr./jun. 2018. DOI: 10.1590/1983-80422018262242. Disponível em: </w:t>
      </w:r>
      <w:hyperlink r:id="rId6" w:history="1">
        <w:r w:rsidRPr="00CD3903">
          <w:rPr>
            <w:rStyle w:val="Hyperlink"/>
            <w:rFonts w:ascii="Times New Roman" w:hAnsi="Times New Roman" w:cs="Times New Roman"/>
            <w:sz w:val="24"/>
            <w:szCs w:val="24"/>
          </w:rPr>
          <w:t>https://www.scielo.br/j/bioet/a/xrL9mwvtSGqvv3G9KFjv9KB/</w:t>
        </w:r>
      </w:hyperlink>
      <w:r>
        <w:rPr>
          <w:rFonts w:ascii="Times New Roman" w:hAnsi="Times New Roman" w:cs="Times New Roman"/>
          <w:sz w:val="24"/>
          <w:szCs w:val="24"/>
        </w:rPr>
        <w:t xml:space="preserve"> . Acesso em 26 abr. 2024.</w:t>
      </w:r>
    </w:p>
    <w:p w14:paraId="0416F728" w14:textId="77777777" w:rsidR="00BA3764" w:rsidRDefault="00BA3764" w:rsidP="00AD0CBC">
      <w:pPr>
        <w:jc w:val="both"/>
        <w:rPr>
          <w:rFonts w:ascii="Times New Roman" w:hAnsi="Times New Roman" w:cs="Times New Roman"/>
          <w:sz w:val="24"/>
          <w:szCs w:val="24"/>
        </w:rPr>
      </w:pPr>
    </w:p>
    <w:p w14:paraId="54861389" w14:textId="62694E05" w:rsidR="00B154E0" w:rsidRPr="00A55D92" w:rsidRDefault="001A3B1E" w:rsidP="00945F32">
      <w:pPr>
        <w:jc w:val="both"/>
        <w:rPr>
          <w:rFonts w:ascii="Times New Roman" w:hAnsi="Times New Roman" w:cs="Times New Roman"/>
          <w:sz w:val="24"/>
          <w:szCs w:val="24"/>
          <w:lang w:val="en-US"/>
        </w:rPr>
      </w:pPr>
      <w:r>
        <w:rPr>
          <w:rFonts w:ascii="Times New Roman" w:hAnsi="Times New Roman" w:cs="Times New Roman"/>
          <w:sz w:val="24"/>
          <w:szCs w:val="24"/>
        </w:rPr>
        <w:t>F</w:t>
      </w:r>
      <w:r w:rsidR="000E4E3C">
        <w:rPr>
          <w:rFonts w:ascii="Times New Roman" w:hAnsi="Times New Roman" w:cs="Times New Roman"/>
          <w:sz w:val="24"/>
          <w:szCs w:val="24"/>
        </w:rPr>
        <w:t>LORIANI, C. A</w:t>
      </w:r>
      <w:r w:rsidR="00C84034">
        <w:rPr>
          <w:rFonts w:ascii="Times New Roman" w:hAnsi="Times New Roman" w:cs="Times New Roman"/>
          <w:sz w:val="24"/>
          <w:szCs w:val="24"/>
        </w:rPr>
        <w:t xml:space="preserve">. Considerações bioéticas sobre os modelos de assistência no fim da vida. </w:t>
      </w:r>
      <w:r w:rsidR="002772B2" w:rsidRPr="00925D6B">
        <w:rPr>
          <w:rFonts w:ascii="Times New Roman" w:hAnsi="Times New Roman" w:cs="Times New Roman"/>
          <w:b/>
          <w:bCs/>
          <w:sz w:val="24"/>
          <w:szCs w:val="24"/>
        </w:rPr>
        <w:t>CSP</w:t>
      </w:r>
      <w:r w:rsidR="002772B2">
        <w:rPr>
          <w:rFonts w:ascii="Times New Roman" w:hAnsi="Times New Roman" w:cs="Times New Roman"/>
          <w:sz w:val="24"/>
          <w:szCs w:val="24"/>
        </w:rPr>
        <w:t xml:space="preserve">, Rio de Janeiro, </w:t>
      </w:r>
      <w:r w:rsidR="004E138A">
        <w:rPr>
          <w:rFonts w:ascii="Times New Roman" w:hAnsi="Times New Roman" w:cs="Times New Roman"/>
          <w:sz w:val="24"/>
          <w:szCs w:val="24"/>
        </w:rPr>
        <w:t xml:space="preserve">v. 37, </w:t>
      </w:r>
      <w:r w:rsidR="00E74505">
        <w:rPr>
          <w:rFonts w:ascii="Times New Roman" w:hAnsi="Times New Roman" w:cs="Times New Roman"/>
          <w:sz w:val="24"/>
          <w:szCs w:val="24"/>
        </w:rPr>
        <w:t>e00264</w:t>
      </w:r>
      <w:r w:rsidR="00944317">
        <w:rPr>
          <w:rFonts w:ascii="Times New Roman" w:hAnsi="Times New Roman" w:cs="Times New Roman"/>
          <w:sz w:val="24"/>
          <w:szCs w:val="24"/>
        </w:rPr>
        <w:t>320, 20</w:t>
      </w:r>
      <w:r w:rsidR="00162017">
        <w:rPr>
          <w:rFonts w:ascii="Times New Roman" w:hAnsi="Times New Roman" w:cs="Times New Roman"/>
          <w:sz w:val="24"/>
          <w:szCs w:val="24"/>
        </w:rPr>
        <w:t>21. DOI: 10.1590/</w:t>
      </w:r>
      <w:r w:rsidR="0072102F">
        <w:rPr>
          <w:rFonts w:ascii="Times New Roman" w:hAnsi="Times New Roman" w:cs="Times New Roman"/>
          <w:sz w:val="24"/>
          <w:szCs w:val="24"/>
        </w:rPr>
        <w:t>0102-311X00264320. Disponível em:</w:t>
      </w:r>
      <w:r w:rsidR="005B669D">
        <w:rPr>
          <w:rFonts w:ascii="Times New Roman" w:hAnsi="Times New Roman" w:cs="Times New Roman"/>
          <w:sz w:val="24"/>
          <w:szCs w:val="24"/>
        </w:rPr>
        <w:t xml:space="preserve"> </w:t>
      </w:r>
      <w:hyperlink r:id="rId7" w:history="1">
        <w:r w:rsidR="006C076E" w:rsidRPr="00CD3903">
          <w:rPr>
            <w:rStyle w:val="Hyperlink"/>
            <w:rFonts w:ascii="Times New Roman" w:hAnsi="Times New Roman" w:cs="Times New Roman"/>
            <w:sz w:val="24"/>
            <w:szCs w:val="24"/>
          </w:rPr>
          <w:t>https://www.scielo.br/j/csp/a/8HxKZqpBJGF656ngq4bv6Ft/?lang=en</w:t>
        </w:r>
      </w:hyperlink>
      <w:r w:rsidR="006C076E">
        <w:rPr>
          <w:rFonts w:ascii="Times New Roman" w:hAnsi="Times New Roman" w:cs="Times New Roman"/>
          <w:sz w:val="24"/>
          <w:szCs w:val="24"/>
        </w:rPr>
        <w:t xml:space="preserve">. </w:t>
      </w:r>
      <w:r w:rsidR="0072102F" w:rsidRPr="00A55D92">
        <w:rPr>
          <w:rFonts w:ascii="Times New Roman" w:hAnsi="Times New Roman" w:cs="Times New Roman"/>
          <w:sz w:val="24"/>
          <w:szCs w:val="24"/>
          <w:lang w:val="en-US"/>
        </w:rPr>
        <w:t xml:space="preserve">Acesso em </w:t>
      </w:r>
      <w:r w:rsidR="00B154E0" w:rsidRPr="00A55D92">
        <w:rPr>
          <w:rFonts w:ascii="Times New Roman" w:hAnsi="Times New Roman" w:cs="Times New Roman"/>
          <w:sz w:val="24"/>
          <w:szCs w:val="24"/>
          <w:lang w:val="en-US"/>
        </w:rPr>
        <w:t>26 abr. 2024.</w:t>
      </w:r>
    </w:p>
    <w:p w14:paraId="663ED9FC" w14:textId="77777777" w:rsidR="006A14F2" w:rsidRPr="00A55D92" w:rsidRDefault="006A14F2" w:rsidP="00945F32">
      <w:pPr>
        <w:jc w:val="both"/>
        <w:rPr>
          <w:rFonts w:ascii="Times New Roman" w:hAnsi="Times New Roman" w:cs="Times New Roman"/>
          <w:sz w:val="24"/>
          <w:szCs w:val="24"/>
          <w:lang w:val="en-US"/>
        </w:rPr>
      </w:pPr>
    </w:p>
    <w:p w14:paraId="153767AE" w14:textId="47776E81" w:rsidR="006A14F2" w:rsidRDefault="00A220B6" w:rsidP="00945F32">
      <w:pPr>
        <w:jc w:val="both"/>
        <w:rPr>
          <w:rFonts w:ascii="Times New Roman" w:hAnsi="Times New Roman" w:cs="Times New Roman"/>
          <w:sz w:val="24"/>
          <w:szCs w:val="24"/>
        </w:rPr>
      </w:pPr>
      <w:r w:rsidRPr="00A55D92">
        <w:rPr>
          <w:rFonts w:ascii="Times New Roman" w:hAnsi="Times New Roman" w:cs="Times New Roman"/>
          <w:sz w:val="24"/>
          <w:szCs w:val="24"/>
          <w:lang w:val="en-US"/>
        </w:rPr>
        <w:t xml:space="preserve">MEHLUM, </w:t>
      </w:r>
      <w:r w:rsidR="001179F5" w:rsidRPr="00A55D92">
        <w:rPr>
          <w:rFonts w:ascii="Times New Roman" w:hAnsi="Times New Roman" w:cs="Times New Roman"/>
          <w:sz w:val="24"/>
          <w:szCs w:val="24"/>
          <w:lang w:val="en-US"/>
        </w:rPr>
        <w:t xml:space="preserve">L. et al. Euthanasia and assisted suicide in patients with personality disorders: a review of current practice and challenges. </w:t>
      </w:r>
      <w:r w:rsidR="009902D0" w:rsidRPr="00FB70DA">
        <w:rPr>
          <w:rFonts w:ascii="Times New Roman" w:hAnsi="Times New Roman" w:cs="Times New Roman"/>
          <w:b/>
          <w:bCs/>
          <w:sz w:val="24"/>
          <w:szCs w:val="24"/>
        </w:rPr>
        <w:t>Transtorno pessoal bord emot dysregul</w:t>
      </w:r>
      <w:r w:rsidR="0015468E">
        <w:rPr>
          <w:rFonts w:ascii="Times New Roman" w:hAnsi="Times New Roman" w:cs="Times New Roman"/>
          <w:sz w:val="24"/>
          <w:szCs w:val="24"/>
        </w:rPr>
        <w:t xml:space="preserve">, </w:t>
      </w:r>
      <w:r w:rsidR="00DE551C">
        <w:rPr>
          <w:rFonts w:ascii="Times New Roman" w:hAnsi="Times New Roman" w:cs="Times New Roman"/>
          <w:sz w:val="24"/>
          <w:szCs w:val="24"/>
        </w:rPr>
        <w:t>Reino Unido,</w:t>
      </w:r>
      <w:r w:rsidR="0037701E">
        <w:rPr>
          <w:rFonts w:ascii="Times New Roman" w:hAnsi="Times New Roman" w:cs="Times New Roman"/>
          <w:sz w:val="24"/>
          <w:szCs w:val="24"/>
        </w:rPr>
        <w:t xml:space="preserve"> v. 7, n. 15, 2020</w:t>
      </w:r>
      <w:r w:rsidR="009902D0">
        <w:rPr>
          <w:rFonts w:ascii="Times New Roman" w:hAnsi="Times New Roman" w:cs="Times New Roman"/>
          <w:sz w:val="24"/>
          <w:szCs w:val="24"/>
        </w:rPr>
        <w:t xml:space="preserve">. </w:t>
      </w:r>
      <w:r w:rsidR="004C4DCF">
        <w:rPr>
          <w:rFonts w:ascii="Times New Roman" w:hAnsi="Times New Roman" w:cs="Times New Roman"/>
          <w:sz w:val="24"/>
          <w:szCs w:val="24"/>
        </w:rPr>
        <w:t>DOI: 10.1186/s40479-020-00131-9</w:t>
      </w:r>
      <w:r w:rsidR="008B544F">
        <w:rPr>
          <w:rFonts w:ascii="Times New Roman" w:hAnsi="Times New Roman" w:cs="Times New Roman"/>
          <w:sz w:val="24"/>
          <w:szCs w:val="24"/>
        </w:rPr>
        <w:t xml:space="preserve">. Disponível em: </w:t>
      </w:r>
      <w:hyperlink r:id="rId8" w:anchor="citeas" w:history="1">
        <w:r w:rsidR="00403E05" w:rsidRPr="00CD3903">
          <w:rPr>
            <w:rStyle w:val="Hyperlink"/>
            <w:rFonts w:ascii="Times New Roman" w:hAnsi="Times New Roman" w:cs="Times New Roman"/>
            <w:sz w:val="24"/>
            <w:szCs w:val="24"/>
          </w:rPr>
          <w:t>https://link.springer.com/article/10.1186/s40479-020-00131-9#citeas</w:t>
        </w:r>
      </w:hyperlink>
      <w:r w:rsidR="00403E05">
        <w:rPr>
          <w:rFonts w:ascii="Times New Roman" w:hAnsi="Times New Roman" w:cs="Times New Roman"/>
          <w:sz w:val="24"/>
          <w:szCs w:val="24"/>
        </w:rPr>
        <w:t>. Acesso em 26 abr. 2024.</w:t>
      </w:r>
    </w:p>
    <w:p w14:paraId="046A0893" w14:textId="77777777" w:rsidR="00F0397C" w:rsidRDefault="00F0397C" w:rsidP="00945F32">
      <w:pPr>
        <w:jc w:val="both"/>
        <w:rPr>
          <w:rFonts w:ascii="Times New Roman" w:hAnsi="Times New Roman" w:cs="Times New Roman"/>
          <w:sz w:val="24"/>
          <w:szCs w:val="24"/>
        </w:rPr>
      </w:pPr>
    </w:p>
    <w:p w14:paraId="551A88B6" w14:textId="76BD9C44" w:rsidR="00F0397C" w:rsidRDefault="00821865" w:rsidP="00945F32">
      <w:pPr>
        <w:jc w:val="both"/>
        <w:rPr>
          <w:rFonts w:ascii="Times New Roman" w:hAnsi="Times New Roman" w:cs="Times New Roman"/>
          <w:sz w:val="24"/>
          <w:szCs w:val="24"/>
        </w:rPr>
      </w:pPr>
      <w:r w:rsidRPr="00A55D92">
        <w:rPr>
          <w:rFonts w:ascii="Times New Roman" w:hAnsi="Times New Roman" w:cs="Times New Roman"/>
          <w:sz w:val="24"/>
          <w:szCs w:val="24"/>
          <w:lang w:val="en-US"/>
        </w:rPr>
        <w:t>V</w:t>
      </w:r>
      <w:r w:rsidR="00277E43" w:rsidRPr="00A55D92">
        <w:rPr>
          <w:rFonts w:ascii="Times New Roman" w:hAnsi="Times New Roman" w:cs="Times New Roman"/>
          <w:sz w:val="24"/>
          <w:szCs w:val="24"/>
          <w:lang w:val="en-US"/>
        </w:rPr>
        <w:t>YSSOKI</w:t>
      </w:r>
      <w:r w:rsidRPr="00A55D92">
        <w:rPr>
          <w:rFonts w:ascii="Times New Roman" w:hAnsi="Times New Roman" w:cs="Times New Roman"/>
          <w:sz w:val="24"/>
          <w:szCs w:val="24"/>
          <w:lang w:val="en-US"/>
        </w:rPr>
        <w:t>, B.</w:t>
      </w:r>
      <w:r w:rsidR="00866BB2" w:rsidRPr="00A55D92">
        <w:rPr>
          <w:rFonts w:ascii="Times New Roman" w:hAnsi="Times New Roman" w:cs="Times New Roman"/>
          <w:sz w:val="24"/>
          <w:szCs w:val="24"/>
          <w:lang w:val="en-US"/>
        </w:rPr>
        <w:t xml:space="preserve"> et al. </w:t>
      </w:r>
      <w:r w:rsidRPr="00A55D92">
        <w:rPr>
          <w:rFonts w:ascii="Times New Roman" w:hAnsi="Times New Roman" w:cs="Times New Roman"/>
          <w:sz w:val="24"/>
          <w:szCs w:val="24"/>
          <w:lang w:val="en-US"/>
        </w:rPr>
        <w:t xml:space="preserve"> </w:t>
      </w:r>
      <w:r w:rsidR="00866BB2" w:rsidRPr="00A55D92">
        <w:rPr>
          <w:rFonts w:ascii="Times New Roman" w:hAnsi="Times New Roman" w:cs="Times New Roman"/>
          <w:sz w:val="24"/>
          <w:szCs w:val="24"/>
          <w:lang w:val="en-US"/>
        </w:rPr>
        <w:t>Angekündigter assisterter Suizid in der Schweiz – Ein Fallbericht</w:t>
      </w:r>
      <w:r w:rsidRPr="00A55D92">
        <w:rPr>
          <w:rFonts w:ascii="Times New Roman" w:hAnsi="Times New Roman" w:cs="Times New Roman"/>
          <w:sz w:val="24"/>
          <w:szCs w:val="24"/>
          <w:lang w:val="en-US"/>
        </w:rPr>
        <w:t>.</w:t>
      </w:r>
      <w:r w:rsidR="00525FBC" w:rsidRPr="00A55D92">
        <w:rPr>
          <w:rFonts w:ascii="Times New Roman" w:hAnsi="Times New Roman" w:cs="Times New Roman"/>
          <w:sz w:val="24"/>
          <w:szCs w:val="24"/>
          <w:lang w:val="en-US"/>
        </w:rPr>
        <w:t xml:space="preserve"> </w:t>
      </w:r>
      <w:r w:rsidR="00A05C4C" w:rsidRPr="00FB70DA">
        <w:rPr>
          <w:rFonts w:ascii="Times New Roman" w:hAnsi="Times New Roman" w:cs="Times New Roman"/>
          <w:b/>
          <w:bCs/>
          <w:sz w:val="24"/>
          <w:szCs w:val="24"/>
        </w:rPr>
        <w:t>Neuropsiquiatra</w:t>
      </w:r>
      <w:r w:rsidR="00A05C4C">
        <w:rPr>
          <w:rFonts w:ascii="Times New Roman" w:hAnsi="Times New Roman" w:cs="Times New Roman"/>
          <w:sz w:val="24"/>
          <w:szCs w:val="24"/>
        </w:rPr>
        <w:t xml:space="preserve">, </w:t>
      </w:r>
      <w:r w:rsidR="00D83AD6">
        <w:rPr>
          <w:rFonts w:ascii="Times New Roman" w:hAnsi="Times New Roman" w:cs="Times New Roman"/>
          <w:sz w:val="24"/>
          <w:szCs w:val="24"/>
        </w:rPr>
        <w:t>v. 35</w:t>
      </w:r>
      <w:r w:rsidR="00C972EE">
        <w:rPr>
          <w:rFonts w:ascii="Times New Roman" w:hAnsi="Times New Roman" w:cs="Times New Roman"/>
          <w:sz w:val="24"/>
          <w:szCs w:val="24"/>
        </w:rPr>
        <w:t xml:space="preserve">, p. 187-191, 2021. </w:t>
      </w:r>
      <w:r w:rsidR="00362927">
        <w:rPr>
          <w:rFonts w:ascii="Times New Roman" w:hAnsi="Times New Roman" w:cs="Times New Roman"/>
          <w:sz w:val="24"/>
          <w:szCs w:val="24"/>
        </w:rPr>
        <w:t>DOI: 10.1007/s40211-021-00398-6</w:t>
      </w:r>
      <w:r w:rsidR="000501C4">
        <w:rPr>
          <w:rFonts w:ascii="Times New Roman" w:hAnsi="Times New Roman" w:cs="Times New Roman"/>
          <w:sz w:val="24"/>
          <w:szCs w:val="24"/>
        </w:rPr>
        <w:t xml:space="preserve"> Disponível em: </w:t>
      </w:r>
      <w:hyperlink r:id="rId9" w:history="1">
        <w:r w:rsidR="000501C4" w:rsidRPr="00CD3903">
          <w:rPr>
            <w:rStyle w:val="Hyperlink"/>
            <w:rFonts w:ascii="Times New Roman" w:hAnsi="Times New Roman" w:cs="Times New Roman"/>
            <w:sz w:val="24"/>
            <w:szCs w:val="24"/>
          </w:rPr>
          <w:t>https://link.springer.com/article/10.1007/s40211-021-00398-6</w:t>
        </w:r>
      </w:hyperlink>
      <w:r w:rsidR="000501C4">
        <w:rPr>
          <w:rFonts w:ascii="Times New Roman" w:hAnsi="Times New Roman" w:cs="Times New Roman"/>
          <w:sz w:val="24"/>
          <w:szCs w:val="24"/>
        </w:rPr>
        <w:t xml:space="preserve">. Acesso em 26 abr. 2024. </w:t>
      </w:r>
    </w:p>
    <w:p w14:paraId="7832ACD8" w14:textId="77777777" w:rsidR="00F33622" w:rsidRDefault="00F33622" w:rsidP="00945F32">
      <w:pPr>
        <w:jc w:val="both"/>
        <w:rPr>
          <w:rFonts w:ascii="Times New Roman" w:hAnsi="Times New Roman" w:cs="Times New Roman"/>
          <w:sz w:val="24"/>
          <w:szCs w:val="24"/>
        </w:rPr>
      </w:pPr>
    </w:p>
    <w:sectPr w:rsidR="00F33622" w:rsidSect="007F2C57">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105"/>
    <w:rsid w:val="00020C75"/>
    <w:rsid w:val="0002635E"/>
    <w:rsid w:val="00040610"/>
    <w:rsid w:val="000501C4"/>
    <w:rsid w:val="0007674D"/>
    <w:rsid w:val="00084218"/>
    <w:rsid w:val="00092727"/>
    <w:rsid w:val="000B6C08"/>
    <w:rsid w:val="000D1BB3"/>
    <w:rsid w:val="000E1963"/>
    <w:rsid w:val="000E4E3C"/>
    <w:rsid w:val="00105A17"/>
    <w:rsid w:val="001179F5"/>
    <w:rsid w:val="00132551"/>
    <w:rsid w:val="001523DA"/>
    <w:rsid w:val="00153C87"/>
    <w:rsid w:val="0015468E"/>
    <w:rsid w:val="00162017"/>
    <w:rsid w:val="00166F4D"/>
    <w:rsid w:val="001A3B1E"/>
    <w:rsid w:val="001D2215"/>
    <w:rsid w:val="001D6CA7"/>
    <w:rsid w:val="001D6D38"/>
    <w:rsid w:val="001E621C"/>
    <w:rsid w:val="00211EDD"/>
    <w:rsid w:val="002772B2"/>
    <w:rsid w:val="00277E43"/>
    <w:rsid w:val="00291849"/>
    <w:rsid w:val="002C704D"/>
    <w:rsid w:val="002D45D3"/>
    <w:rsid w:val="002E6B80"/>
    <w:rsid w:val="003041A3"/>
    <w:rsid w:val="00316600"/>
    <w:rsid w:val="00336DEA"/>
    <w:rsid w:val="00362927"/>
    <w:rsid w:val="003752EC"/>
    <w:rsid w:val="0037701E"/>
    <w:rsid w:val="003871C6"/>
    <w:rsid w:val="003C3C4F"/>
    <w:rsid w:val="00403E05"/>
    <w:rsid w:val="00471ADC"/>
    <w:rsid w:val="004737CC"/>
    <w:rsid w:val="00490C31"/>
    <w:rsid w:val="004C4A45"/>
    <w:rsid w:val="004C4DCF"/>
    <w:rsid w:val="004C7AE8"/>
    <w:rsid w:val="004E138A"/>
    <w:rsid w:val="004F4DD4"/>
    <w:rsid w:val="005121D3"/>
    <w:rsid w:val="00517721"/>
    <w:rsid w:val="00525FBC"/>
    <w:rsid w:val="00534324"/>
    <w:rsid w:val="005854B9"/>
    <w:rsid w:val="005A70B8"/>
    <w:rsid w:val="005B067C"/>
    <w:rsid w:val="005B669D"/>
    <w:rsid w:val="005C547E"/>
    <w:rsid w:val="005D3D2D"/>
    <w:rsid w:val="005D7751"/>
    <w:rsid w:val="00653525"/>
    <w:rsid w:val="006720F9"/>
    <w:rsid w:val="006A14F2"/>
    <w:rsid w:val="006C076E"/>
    <w:rsid w:val="006D7587"/>
    <w:rsid w:val="006F4338"/>
    <w:rsid w:val="00706B24"/>
    <w:rsid w:val="00720C43"/>
    <w:rsid w:val="0072102F"/>
    <w:rsid w:val="00721D82"/>
    <w:rsid w:val="007318BD"/>
    <w:rsid w:val="00737B16"/>
    <w:rsid w:val="00740DD3"/>
    <w:rsid w:val="00743CD4"/>
    <w:rsid w:val="00756CAB"/>
    <w:rsid w:val="00790801"/>
    <w:rsid w:val="00795EC8"/>
    <w:rsid w:val="007D168F"/>
    <w:rsid w:val="007D3DC7"/>
    <w:rsid w:val="007F2C57"/>
    <w:rsid w:val="00802864"/>
    <w:rsid w:val="00821865"/>
    <w:rsid w:val="00835614"/>
    <w:rsid w:val="00844941"/>
    <w:rsid w:val="00866BB2"/>
    <w:rsid w:val="00877115"/>
    <w:rsid w:val="008B544F"/>
    <w:rsid w:val="008B7312"/>
    <w:rsid w:val="008E6FB1"/>
    <w:rsid w:val="008F18AE"/>
    <w:rsid w:val="009036DC"/>
    <w:rsid w:val="00917E06"/>
    <w:rsid w:val="00925D6B"/>
    <w:rsid w:val="00926126"/>
    <w:rsid w:val="00944317"/>
    <w:rsid w:val="00945F32"/>
    <w:rsid w:val="00967D5A"/>
    <w:rsid w:val="009704ED"/>
    <w:rsid w:val="009902D0"/>
    <w:rsid w:val="009E327F"/>
    <w:rsid w:val="00A05C4C"/>
    <w:rsid w:val="00A220B6"/>
    <w:rsid w:val="00A34EBF"/>
    <w:rsid w:val="00A55D92"/>
    <w:rsid w:val="00A560E2"/>
    <w:rsid w:val="00A567C3"/>
    <w:rsid w:val="00A9537E"/>
    <w:rsid w:val="00A97A00"/>
    <w:rsid w:val="00AA7C03"/>
    <w:rsid w:val="00AC23A4"/>
    <w:rsid w:val="00AC738C"/>
    <w:rsid w:val="00AE079D"/>
    <w:rsid w:val="00AE1048"/>
    <w:rsid w:val="00AF4078"/>
    <w:rsid w:val="00B154E0"/>
    <w:rsid w:val="00B9434B"/>
    <w:rsid w:val="00B943F6"/>
    <w:rsid w:val="00BA3764"/>
    <w:rsid w:val="00BC66E5"/>
    <w:rsid w:val="00BD6A22"/>
    <w:rsid w:val="00BD6FBA"/>
    <w:rsid w:val="00BF1CF5"/>
    <w:rsid w:val="00C005FF"/>
    <w:rsid w:val="00C22230"/>
    <w:rsid w:val="00C4342C"/>
    <w:rsid w:val="00C55326"/>
    <w:rsid w:val="00C626F3"/>
    <w:rsid w:val="00C7525E"/>
    <w:rsid w:val="00C83F01"/>
    <w:rsid w:val="00C84034"/>
    <w:rsid w:val="00C972EE"/>
    <w:rsid w:val="00CC3756"/>
    <w:rsid w:val="00D12E65"/>
    <w:rsid w:val="00D14D73"/>
    <w:rsid w:val="00D1762F"/>
    <w:rsid w:val="00D56AD6"/>
    <w:rsid w:val="00D64660"/>
    <w:rsid w:val="00D727DA"/>
    <w:rsid w:val="00D74B89"/>
    <w:rsid w:val="00D83AD6"/>
    <w:rsid w:val="00DA08F8"/>
    <w:rsid w:val="00DD1012"/>
    <w:rsid w:val="00DE551C"/>
    <w:rsid w:val="00DF2175"/>
    <w:rsid w:val="00E61D99"/>
    <w:rsid w:val="00E6306D"/>
    <w:rsid w:val="00E74505"/>
    <w:rsid w:val="00E96546"/>
    <w:rsid w:val="00EB3441"/>
    <w:rsid w:val="00EB58A2"/>
    <w:rsid w:val="00F0397C"/>
    <w:rsid w:val="00F33622"/>
    <w:rsid w:val="00F37267"/>
    <w:rsid w:val="00F41A20"/>
    <w:rsid w:val="00F56C55"/>
    <w:rsid w:val="00F63888"/>
    <w:rsid w:val="00F63B20"/>
    <w:rsid w:val="00F749E9"/>
    <w:rsid w:val="00F821BB"/>
    <w:rsid w:val="00F8263F"/>
    <w:rsid w:val="00F858BA"/>
    <w:rsid w:val="00F909C5"/>
    <w:rsid w:val="00F951C9"/>
    <w:rsid w:val="00FB601B"/>
    <w:rsid w:val="00FB6720"/>
    <w:rsid w:val="00FB70DA"/>
    <w:rsid w:val="00FD10AE"/>
    <w:rsid w:val="00FD2205"/>
    <w:rsid w:val="00FE41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C678"/>
  <w15:chartTrackingRefBased/>
  <w15:docId w15:val="{485CDB19-205A-467F-BBA5-6B95D07B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E41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E41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E41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E41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E41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E41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E41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E41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E410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E410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E410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E410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E410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E410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E410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E410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E410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E4105"/>
    <w:rPr>
      <w:rFonts w:eastAsiaTheme="majorEastAsia" w:cstheme="majorBidi"/>
      <w:color w:val="272727" w:themeColor="text1" w:themeTint="D8"/>
    </w:rPr>
  </w:style>
  <w:style w:type="paragraph" w:styleId="Ttulo">
    <w:name w:val="Title"/>
    <w:basedOn w:val="Normal"/>
    <w:next w:val="Normal"/>
    <w:link w:val="TtuloChar"/>
    <w:uiPriority w:val="10"/>
    <w:qFormat/>
    <w:rsid w:val="00FE4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E41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E410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E410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E4105"/>
    <w:pPr>
      <w:spacing w:before="160"/>
      <w:jc w:val="center"/>
    </w:pPr>
    <w:rPr>
      <w:i/>
      <w:iCs/>
      <w:color w:val="404040" w:themeColor="text1" w:themeTint="BF"/>
    </w:rPr>
  </w:style>
  <w:style w:type="character" w:customStyle="1" w:styleId="CitaoChar">
    <w:name w:val="Citação Char"/>
    <w:basedOn w:val="Fontepargpadro"/>
    <w:link w:val="Citao"/>
    <w:uiPriority w:val="29"/>
    <w:rsid w:val="00FE4105"/>
    <w:rPr>
      <w:i/>
      <w:iCs/>
      <w:color w:val="404040" w:themeColor="text1" w:themeTint="BF"/>
    </w:rPr>
  </w:style>
  <w:style w:type="paragraph" w:styleId="PargrafodaLista">
    <w:name w:val="List Paragraph"/>
    <w:basedOn w:val="Normal"/>
    <w:uiPriority w:val="34"/>
    <w:qFormat/>
    <w:rsid w:val="00FE4105"/>
    <w:pPr>
      <w:ind w:left="720"/>
      <w:contextualSpacing/>
    </w:pPr>
  </w:style>
  <w:style w:type="character" w:styleId="nfaseIntensa">
    <w:name w:val="Intense Emphasis"/>
    <w:basedOn w:val="Fontepargpadro"/>
    <w:uiPriority w:val="21"/>
    <w:qFormat/>
    <w:rsid w:val="00FE4105"/>
    <w:rPr>
      <w:i/>
      <w:iCs/>
      <w:color w:val="0F4761" w:themeColor="accent1" w:themeShade="BF"/>
    </w:rPr>
  </w:style>
  <w:style w:type="paragraph" w:styleId="CitaoIntensa">
    <w:name w:val="Intense Quote"/>
    <w:basedOn w:val="Normal"/>
    <w:next w:val="Normal"/>
    <w:link w:val="CitaoIntensaChar"/>
    <w:uiPriority w:val="30"/>
    <w:qFormat/>
    <w:rsid w:val="00FE4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E4105"/>
    <w:rPr>
      <w:i/>
      <w:iCs/>
      <w:color w:val="0F4761" w:themeColor="accent1" w:themeShade="BF"/>
    </w:rPr>
  </w:style>
  <w:style w:type="character" w:styleId="RefernciaIntensa">
    <w:name w:val="Intense Reference"/>
    <w:basedOn w:val="Fontepargpadro"/>
    <w:uiPriority w:val="32"/>
    <w:qFormat/>
    <w:rsid w:val="00FE4105"/>
    <w:rPr>
      <w:b/>
      <w:bCs/>
      <w:smallCaps/>
      <w:color w:val="0F4761" w:themeColor="accent1" w:themeShade="BF"/>
      <w:spacing w:val="5"/>
    </w:rPr>
  </w:style>
  <w:style w:type="paragraph" w:customStyle="1" w:styleId="cvgsua">
    <w:name w:val="cvgsua"/>
    <w:basedOn w:val="Normal"/>
    <w:rsid w:val="00FE410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oypena">
    <w:name w:val="oypena"/>
    <w:basedOn w:val="Fontepargpadro"/>
    <w:rsid w:val="00FE4105"/>
  </w:style>
  <w:style w:type="character" w:styleId="Hyperlink">
    <w:name w:val="Hyperlink"/>
    <w:basedOn w:val="Fontepargpadro"/>
    <w:uiPriority w:val="99"/>
    <w:unhideWhenUsed/>
    <w:rsid w:val="006C076E"/>
    <w:rPr>
      <w:color w:val="467886" w:themeColor="hyperlink"/>
      <w:u w:val="single"/>
    </w:rPr>
  </w:style>
  <w:style w:type="character" w:styleId="MenoPendente">
    <w:name w:val="Unresolved Mention"/>
    <w:basedOn w:val="Fontepargpadro"/>
    <w:uiPriority w:val="99"/>
    <w:semiHidden/>
    <w:unhideWhenUsed/>
    <w:rsid w:val="006C0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186/s40479-020-00131-9" TargetMode="External"/><Relationship Id="rId3" Type="http://schemas.openxmlformats.org/officeDocument/2006/relationships/webSettings" Target="webSettings.xml"/><Relationship Id="rId7" Type="http://schemas.openxmlformats.org/officeDocument/2006/relationships/hyperlink" Target="https://www.scielo.br/j/csp/a/8HxKZqpBJGF656ngq4bv6Ft/?lang=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lo.br/j/bioet/a/xrL9mwvtSGqvv3G9KFjv9KB/" TargetMode="External"/><Relationship Id="rId11" Type="http://schemas.openxmlformats.org/officeDocument/2006/relationships/theme" Target="theme/theme1.xml"/><Relationship Id="rId5" Type="http://schemas.openxmlformats.org/officeDocument/2006/relationships/hyperlink" Target="https://www.scielo.cl/scielo.php?script=sci_arttext&amp;pid=S0034-98872021001101650"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link.springer.com/article/10.1007/s40211-021-00398-6"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719</Words>
  <Characters>3886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Souza</dc:creator>
  <cp:keywords/>
  <dc:description/>
  <cp:lastModifiedBy>Lorenzo Vidal</cp:lastModifiedBy>
  <cp:revision>7</cp:revision>
  <dcterms:created xsi:type="dcterms:W3CDTF">2024-04-27T14:24:00Z</dcterms:created>
  <dcterms:modified xsi:type="dcterms:W3CDTF">2024-05-16T00:43:00Z</dcterms:modified>
</cp:coreProperties>
</file>