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4EE0" w14:textId="0E9686DD" w:rsidR="00C45504" w:rsidRPr="000A7802" w:rsidRDefault="0023425E" w:rsidP="000A7802">
      <w:pPr>
        <w:pStyle w:val="Ttulo"/>
        <w:rPr>
          <w:i w:val="0"/>
          <w:lang w:val="pt-BR"/>
        </w:rPr>
      </w:pPr>
      <w:r w:rsidRPr="0023425E">
        <w:rPr>
          <w:iCs/>
          <w:lang w:val="pt-BR"/>
        </w:rPr>
        <w:t>AVALIAÇÃO TÉCNICO-ECONÔMICA DE USO DE H</w:t>
      </w:r>
      <w:r w:rsidRPr="0023425E">
        <w:rPr>
          <w:iCs/>
          <w:vertAlign w:val="subscript"/>
          <w:lang w:val="pt-BR"/>
        </w:rPr>
        <w:t>2</w:t>
      </w:r>
      <w:r w:rsidRPr="0023425E">
        <w:rPr>
          <w:iCs/>
          <w:lang w:val="pt-BR"/>
        </w:rPr>
        <w:t xml:space="preserve"> VERDE: UM ESTUDO DE CASO NA INDÚSTRIA CERÂMICA</w:t>
      </w:r>
      <w:r w:rsidRPr="00FC13C1">
        <w:rPr>
          <w:lang w:val="pt-BR"/>
        </w:rPr>
        <w:br w:type="column"/>
      </w:r>
    </w:p>
    <w:p w14:paraId="1C90D5BF" w14:textId="77777777" w:rsidR="00C45504" w:rsidRPr="00FC13C1" w:rsidRDefault="00C45504">
      <w:pPr>
        <w:pStyle w:val="Corpodetexto"/>
        <w:rPr>
          <w:sz w:val="24"/>
          <w:lang w:val="pt-BR"/>
        </w:rPr>
      </w:pPr>
    </w:p>
    <w:p w14:paraId="7B64C937" w14:textId="77777777" w:rsidR="00C45504" w:rsidRPr="00FC13C1" w:rsidRDefault="00C45504">
      <w:pPr>
        <w:pStyle w:val="Corpodetexto"/>
        <w:spacing w:before="10"/>
        <w:rPr>
          <w:sz w:val="23"/>
          <w:lang w:val="pt-BR"/>
        </w:rPr>
      </w:pPr>
    </w:p>
    <w:p w14:paraId="343CE85A" w14:textId="6D304946" w:rsidR="0023425E" w:rsidRDefault="0023425E" w:rsidP="001E141C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23425E">
        <w:rPr>
          <w:lang w:val="pt-BR"/>
        </w:rPr>
        <w:t xml:space="preserve">Sergio Luiz Pinto Castiñeiras-Filho, </w:t>
      </w:r>
      <w:r w:rsidR="00E26C06">
        <w:rPr>
          <w:lang w:val="pt-BR"/>
        </w:rPr>
        <w:t>Departamento de Engenharia Mecânica da</w:t>
      </w:r>
      <w:r w:rsidR="000A7802">
        <w:rPr>
          <w:lang w:val="pt-BR"/>
        </w:rPr>
        <w:t xml:space="preserve"> PUC-Rio e I</w:t>
      </w:r>
      <w:r w:rsidR="00E26C06">
        <w:rPr>
          <w:lang w:val="pt-BR"/>
        </w:rPr>
        <w:t>nstituto de Energia da PUC-Rio</w:t>
      </w:r>
      <w:r w:rsidRPr="0023425E">
        <w:rPr>
          <w:lang w:val="pt-BR"/>
        </w:rPr>
        <w:t>,</w:t>
      </w:r>
      <w:r>
        <w:rPr>
          <w:lang w:val="pt-BR"/>
        </w:rPr>
        <w:t xml:space="preserve"> +55 (21) 995307210, </w:t>
      </w:r>
      <w:hyperlink r:id="rId4" w:history="1">
        <w:r w:rsidRPr="00C81FFB">
          <w:rPr>
            <w:rStyle w:val="Hyperlink"/>
            <w:lang w:val="pt-BR"/>
          </w:rPr>
          <w:t>sergiocastfh@gmail.com</w:t>
        </w:r>
      </w:hyperlink>
    </w:p>
    <w:p w14:paraId="64883219" w14:textId="272E9EED" w:rsidR="00C45504" w:rsidRDefault="00CB741B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CB741B">
        <w:rPr>
          <w:lang w:val="pt-BR"/>
        </w:rPr>
        <w:t xml:space="preserve">Guilherme Fortunato, </w:t>
      </w:r>
      <w:r w:rsidR="006F0D99">
        <w:rPr>
          <w:lang w:val="pt-BR"/>
        </w:rPr>
        <w:t>Departamento de Engenharia Mecânica da PUC-Rio e Instituto de Energia da PUC-Rio</w:t>
      </w:r>
      <w:r w:rsidR="000A7802">
        <w:rPr>
          <w:lang w:val="pt-BR"/>
        </w:rPr>
        <w:t>,</w:t>
      </w:r>
      <w:r>
        <w:rPr>
          <w:lang w:val="pt-BR"/>
        </w:rPr>
        <w:t xml:space="preserve"> </w:t>
      </w:r>
      <w:hyperlink r:id="rId5" w:history="1">
        <w:r w:rsidRPr="00C81FFB">
          <w:rPr>
            <w:rStyle w:val="Hyperlink"/>
            <w:lang w:val="pt-BR"/>
          </w:rPr>
          <w:t>fortunato345@gmail.com</w:t>
        </w:r>
      </w:hyperlink>
    </w:p>
    <w:p w14:paraId="5C6FA715" w14:textId="0AA36408" w:rsidR="00E13314" w:rsidRDefault="00CB741B">
      <w:pPr>
        <w:pStyle w:val="Corpodetexto"/>
        <w:spacing w:before="1"/>
        <w:ind w:left="112" w:right="103" w:firstLine="64"/>
        <w:jc w:val="right"/>
        <w:rPr>
          <w:rStyle w:val="Hyperlink"/>
          <w:lang w:val="pt-BR"/>
        </w:rPr>
      </w:pPr>
      <w:r>
        <w:rPr>
          <w:lang w:val="pt-BR"/>
        </w:rPr>
        <w:t>Sidnei Cardoso, IAG PUC-Rio,</w:t>
      </w:r>
      <w:r w:rsidR="00E13314">
        <w:rPr>
          <w:lang w:val="pt-BR"/>
        </w:rPr>
        <w:t xml:space="preserve"> </w:t>
      </w:r>
      <w:hyperlink r:id="rId6" w:history="1">
        <w:r w:rsidR="00E13314" w:rsidRPr="00C81FFB">
          <w:rPr>
            <w:rStyle w:val="Hyperlink"/>
            <w:lang w:val="pt-BR"/>
          </w:rPr>
          <w:t>sidnei.cardoso@phd.iag.puc-rio.br</w:t>
        </w:r>
      </w:hyperlink>
    </w:p>
    <w:p w14:paraId="2D9679B5" w14:textId="0FA35FB5" w:rsidR="001E141C" w:rsidRDefault="001E141C" w:rsidP="001E141C">
      <w:pPr>
        <w:pStyle w:val="Corpodetexto"/>
        <w:spacing w:before="1"/>
        <w:ind w:left="112" w:right="103" w:firstLine="64"/>
        <w:jc w:val="right"/>
        <w:rPr>
          <w:lang w:val="pt-BR"/>
        </w:rPr>
      </w:pPr>
      <w:proofErr w:type="spellStart"/>
      <w:r w:rsidRPr="00FC13C1">
        <w:rPr>
          <w:shd w:val="clear" w:color="auto" w:fill="FFFFFF"/>
          <w:lang w:val="pt-BR"/>
        </w:rPr>
        <w:t>Luis</w:t>
      </w:r>
      <w:proofErr w:type="spellEnd"/>
      <w:r w:rsidRPr="00FC13C1">
        <w:rPr>
          <w:shd w:val="clear" w:color="auto" w:fill="FFFFFF"/>
          <w:lang w:val="pt-BR"/>
        </w:rPr>
        <w:t xml:space="preserve"> Fernando Mendonça Frutuoso, </w:t>
      </w:r>
      <w:r>
        <w:rPr>
          <w:lang w:val="pt-BR"/>
        </w:rPr>
        <w:t>Instituto de Energia da PUC-Rio</w:t>
      </w:r>
      <w:r w:rsidRPr="00FC13C1">
        <w:rPr>
          <w:shd w:val="clear" w:color="auto" w:fill="FFFFFF"/>
          <w:lang w:val="pt-BR"/>
        </w:rPr>
        <w:t xml:space="preserve">, </w:t>
      </w:r>
      <w:hyperlink r:id="rId7" w:history="1">
        <w:r w:rsidRPr="00FC13C1">
          <w:rPr>
            <w:rStyle w:val="Hyperlink"/>
            <w:shd w:val="clear" w:color="auto" w:fill="FFFFFF"/>
            <w:lang w:val="pt-BR"/>
          </w:rPr>
          <w:t>lmenodnca@puc-rio.br</w:t>
        </w:r>
      </w:hyperlink>
    </w:p>
    <w:p w14:paraId="424D5789" w14:textId="0A405E59" w:rsidR="00CB741B" w:rsidRDefault="00CB741B">
      <w:pPr>
        <w:pStyle w:val="Corpodetexto"/>
        <w:spacing w:before="1"/>
        <w:ind w:left="112" w:right="103" w:firstLine="64"/>
        <w:jc w:val="right"/>
        <w:rPr>
          <w:rStyle w:val="Hyperlink"/>
          <w:lang w:val="pt-BR"/>
        </w:rPr>
      </w:pPr>
      <w:r w:rsidRPr="000A7802">
        <w:rPr>
          <w:lang w:val="pt-BR"/>
        </w:rPr>
        <w:t xml:space="preserve">Florian </w:t>
      </w:r>
      <w:proofErr w:type="spellStart"/>
      <w:r w:rsidRPr="000A7802">
        <w:rPr>
          <w:lang w:val="pt-BR"/>
        </w:rPr>
        <w:t>Pradelle</w:t>
      </w:r>
      <w:proofErr w:type="spellEnd"/>
      <w:r w:rsidRPr="000A7802">
        <w:rPr>
          <w:lang w:val="pt-BR"/>
        </w:rPr>
        <w:t xml:space="preserve">, </w:t>
      </w:r>
      <w:r w:rsidR="00E13314">
        <w:rPr>
          <w:lang w:val="pt-BR"/>
        </w:rPr>
        <w:t>Departamento de Engenharia Mecânica da PUC-Rio</w:t>
      </w:r>
      <w:r w:rsidR="00E13314" w:rsidRPr="000A7802" w:rsidDel="00E13314">
        <w:rPr>
          <w:lang w:val="pt-BR"/>
        </w:rPr>
        <w:t xml:space="preserve"> </w:t>
      </w:r>
      <w:r w:rsidR="000A7802" w:rsidRPr="000A7802">
        <w:rPr>
          <w:lang w:val="pt-BR"/>
        </w:rPr>
        <w:t xml:space="preserve">e </w:t>
      </w:r>
      <w:r w:rsidR="006F0D99">
        <w:rPr>
          <w:lang w:val="pt-BR"/>
        </w:rPr>
        <w:t>Instituto de Energia da PUC-Rio</w:t>
      </w:r>
      <w:r w:rsidRPr="000A7802">
        <w:rPr>
          <w:lang w:val="pt-BR"/>
        </w:rPr>
        <w:t xml:space="preserve">, </w:t>
      </w:r>
      <w:hyperlink r:id="rId8" w:history="1">
        <w:r w:rsidRPr="000A7802">
          <w:rPr>
            <w:rStyle w:val="Hyperlink"/>
            <w:lang w:val="pt-BR"/>
          </w:rPr>
          <w:t>pradelle@puc-rio.br</w:t>
        </w:r>
      </w:hyperlink>
    </w:p>
    <w:p w14:paraId="7582F873" w14:textId="3C8248D1" w:rsidR="001E141C" w:rsidRPr="000A7802" w:rsidRDefault="001E141C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23425E">
        <w:rPr>
          <w:lang w:val="pt-BR"/>
        </w:rPr>
        <w:t>Edmar Fagundes de Almeida</w:t>
      </w:r>
      <w:r>
        <w:rPr>
          <w:lang w:val="pt-BR"/>
        </w:rPr>
        <w:t>, Instituto de Energia da PUC-Rio</w:t>
      </w:r>
      <w:r w:rsidRPr="0023425E">
        <w:rPr>
          <w:lang w:val="pt-BR"/>
        </w:rPr>
        <w:t>,</w:t>
      </w:r>
      <w:r>
        <w:rPr>
          <w:lang w:val="pt-BR"/>
        </w:rPr>
        <w:t xml:space="preserve"> </w:t>
      </w:r>
      <w:hyperlink r:id="rId9" w:history="1">
        <w:r w:rsidRPr="00C81FFB">
          <w:rPr>
            <w:rStyle w:val="Hyperlink"/>
            <w:lang w:val="pt-BR"/>
          </w:rPr>
          <w:t>edmar@puc-rio.br</w:t>
        </w:r>
      </w:hyperlink>
    </w:p>
    <w:p w14:paraId="5250BD7A" w14:textId="73E166B4" w:rsidR="00CB741B" w:rsidRDefault="00CB741B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CB741B">
        <w:rPr>
          <w:lang w:val="pt-BR"/>
        </w:rPr>
        <w:t>Eloi Ferná</w:t>
      </w:r>
      <w:r>
        <w:rPr>
          <w:lang w:val="pt-BR"/>
        </w:rPr>
        <w:t xml:space="preserve">ndez y Fernández, </w:t>
      </w:r>
      <w:r w:rsidR="006F0D99">
        <w:rPr>
          <w:lang w:val="pt-BR"/>
        </w:rPr>
        <w:t>Instituto de Energia da PUC-Rio</w:t>
      </w:r>
      <w:r>
        <w:rPr>
          <w:lang w:val="pt-BR"/>
        </w:rPr>
        <w:t xml:space="preserve">, </w:t>
      </w:r>
      <w:hyperlink r:id="rId10" w:history="1">
        <w:r w:rsidR="000A7802" w:rsidRPr="00C81FFB">
          <w:rPr>
            <w:rStyle w:val="Hyperlink"/>
            <w:lang w:val="pt-BR"/>
          </w:rPr>
          <w:t>eloi@puc-rio.br</w:t>
        </w:r>
      </w:hyperlink>
    </w:p>
    <w:p w14:paraId="57F6D14E" w14:textId="77777777" w:rsidR="00C45504" w:rsidRPr="00CB741B" w:rsidRDefault="00C45504">
      <w:pPr>
        <w:jc w:val="right"/>
        <w:rPr>
          <w:lang w:val="pt-BR"/>
        </w:rPr>
        <w:sectPr w:rsidR="00C45504" w:rsidRPr="00CB741B" w:rsidSect="00331969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126AD408" w14:textId="77777777" w:rsidR="00C45504" w:rsidRPr="000A7802" w:rsidRDefault="00C45504">
      <w:pPr>
        <w:pStyle w:val="Corpodetexto"/>
        <w:spacing w:before="4"/>
        <w:rPr>
          <w:sz w:val="22"/>
          <w:lang w:val="pt-BR"/>
        </w:rPr>
      </w:pPr>
    </w:p>
    <w:p w14:paraId="2754FD31" w14:textId="2A24DE72" w:rsidR="00C45504" w:rsidRPr="003B5C8D" w:rsidRDefault="00D23327">
      <w:pPr>
        <w:pStyle w:val="Ttulo1"/>
        <w:rPr>
          <w:lang w:val="pt-BR"/>
        </w:rPr>
      </w:pPr>
      <w:r w:rsidRPr="003B5C8D">
        <w:rPr>
          <w:lang w:val="pt-BR"/>
        </w:rPr>
        <w:t>Introdução</w:t>
      </w:r>
    </w:p>
    <w:p w14:paraId="7ABC4D4B" w14:textId="3D1D3A7E" w:rsidR="000A7802" w:rsidRPr="00D23327" w:rsidRDefault="007A364B" w:rsidP="00D23327">
      <w:pPr>
        <w:pStyle w:val="Corpodetexto"/>
        <w:ind w:left="851"/>
        <w:jc w:val="both"/>
        <w:rPr>
          <w:lang w:val="pt-BR"/>
        </w:rPr>
      </w:pPr>
      <w:r w:rsidRPr="00D23327">
        <w:rPr>
          <w:lang w:val="pt-BR"/>
        </w:rPr>
        <w:t xml:space="preserve">A indústria de cerâmica pode ser dividida em duas classes principais: cerâmica vermelha e cerâmica branca. A cerâmica vermelha geralmente associa-se a usos de larga escala e estruturais da construção civil (tijolos, </w:t>
      </w:r>
      <w:proofErr w:type="gramStart"/>
      <w:r w:rsidRPr="00D23327">
        <w:rPr>
          <w:lang w:val="pt-BR"/>
        </w:rPr>
        <w:t>telhas, etc.</w:t>
      </w:r>
      <w:proofErr w:type="gramEnd"/>
      <w:r w:rsidRPr="00D23327">
        <w:rPr>
          <w:lang w:val="pt-BR"/>
        </w:rPr>
        <w:t xml:space="preserve">) e predomina-se o uso de lenha em sua matriz energética. A cerâmica branca constitui-se em geral de produtos mais nobres (pisos, azulejos, louças, </w:t>
      </w:r>
      <w:r w:rsidR="006F0D99">
        <w:rPr>
          <w:lang w:val="pt-BR"/>
        </w:rPr>
        <w:t>...</w:t>
      </w:r>
      <w:r w:rsidRPr="00D23327">
        <w:rPr>
          <w:lang w:val="pt-BR"/>
        </w:rPr>
        <w:t>) e</w:t>
      </w:r>
      <w:r w:rsidR="00D23327">
        <w:rPr>
          <w:lang w:val="pt-BR"/>
        </w:rPr>
        <w:t xml:space="preserve"> de funções mais</w:t>
      </w:r>
      <w:r w:rsidRPr="00D23327">
        <w:rPr>
          <w:lang w:val="pt-BR"/>
        </w:rPr>
        <w:t xml:space="preserve"> particular</w:t>
      </w:r>
      <w:r w:rsidR="00D23327">
        <w:rPr>
          <w:lang w:val="pt-BR"/>
        </w:rPr>
        <w:t>es</w:t>
      </w:r>
      <w:r w:rsidRPr="00D23327">
        <w:rPr>
          <w:lang w:val="pt-BR"/>
        </w:rPr>
        <w:t>, envolvendo uma intensidade energética superior, usualmente atendida pelo uso de gás natural, para etapas de conformação e secagem do material, por exemplo. Dentre os usos emergentes de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, processos envolvendo calor sob elevadas temperaturas </w:t>
      </w:r>
      <w:r w:rsidR="00E0025A" w:rsidRPr="00D23327">
        <w:rPr>
          <w:lang w:val="pt-BR"/>
        </w:rPr>
        <w:t>(</w:t>
      </w:r>
      <w:r w:rsidR="00E0025A">
        <w:rPr>
          <w:lang w:val="pt-BR"/>
        </w:rPr>
        <w:t>acima de</w:t>
      </w:r>
      <w:r w:rsidR="00E0025A" w:rsidRPr="00D23327">
        <w:rPr>
          <w:lang w:val="pt-BR"/>
        </w:rPr>
        <w:t xml:space="preserve"> </w:t>
      </w:r>
      <w:r w:rsidRPr="00D23327">
        <w:rPr>
          <w:lang w:val="pt-BR"/>
        </w:rPr>
        <w:t xml:space="preserve">400 ºC) podem se favorecer deste insumo como </w:t>
      </w:r>
      <w:r w:rsidR="00D23327">
        <w:rPr>
          <w:lang w:val="pt-BR"/>
        </w:rPr>
        <w:t xml:space="preserve">uma </w:t>
      </w:r>
      <w:r w:rsidRPr="00D23327">
        <w:rPr>
          <w:lang w:val="pt-BR"/>
        </w:rPr>
        <w:t xml:space="preserve">maneira de se </w:t>
      </w:r>
      <w:proofErr w:type="spellStart"/>
      <w:r w:rsidR="00D23327">
        <w:rPr>
          <w:lang w:val="pt-BR"/>
        </w:rPr>
        <w:t>descarbonizá-los</w:t>
      </w:r>
      <w:proofErr w:type="spellEnd"/>
      <w:r w:rsidRPr="00D23327">
        <w:rPr>
          <w:lang w:val="pt-BR"/>
        </w:rPr>
        <w:t xml:space="preserve">, </w:t>
      </w:r>
      <w:r w:rsidR="00D23327">
        <w:rPr>
          <w:lang w:val="pt-BR"/>
        </w:rPr>
        <w:t xml:space="preserve">sendo uma </w:t>
      </w:r>
      <w:r w:rsidRPr="00D23327">
        <w:rPr>
          <w:lang w:val="pt-BR"/>
        </w:rPr>
        <w:t>alternativa potencialmente competitiva em relação à de eletrificação</w:t>
      </w:r>
      <w:r w:rsidR="00E0025A">
        <w:rPr>
          <w:lang w:val="pt-BR"/>
        </w:rPr>
        <w:t xml:space="preserve"> </w:t>
      </w:r>
      <w:r w:rsidR="00E0025A" w:rsidRPr="00D23327">
        <w:rPr>
          <w:lang w:val="pt-BR"/>
        </w:rPr>
        <w:t>(IEA, 2023)</w:t>
      </w:r>
      <w:r w:rsidRPr="00D23327">
        <w:rPr>
          <w:lang w:val="pt-BR"/>
        </w:rPr>
        <w:t>. O H</w:t>
      </w:r>
      <w:r w:rsidRPr="00D23327">
        <w:rPr>
          <w:vertAlign w:val="subscript"/>
          <w:lang w:val="pt-BR"/>
        </w:rPr>
        <w:t xml:space="preserve">2 </w:t>
      </w:r>
      <w:r w:rsidRPr="00D23327">
        <w:rPr>
          <w:lang w:val="pt-BR"/>
        </w:rPr>
        <w:t>verde, derivado da eletrólise da água</w:t>
      </w:r>
      <w:r w:rsidR="00D23327">
        <w:rPr>
          <w:lang w:val="pt-BR"/>
        </w:rPr>
        <w:t>,</w:t>
      </w:r>
      <w:r w:rsidRPr="00D23327">
        <w:rPr>
          <w:lang w:val="pt-BR"/>
        </w:rPr>
        <w:t xml:space="preserve"> utilizando-se energia renovável (</w:t>
      </w:r>
      <w:r w:rsidR="00E0025A">
        <w:rPr>
          <w:lang w:val="pt-BR"/>
        </w:rPr>
        <w:t xml:space="preserve">como </w:t>
      </w:r>
      <w:r w:rsidRPr="00D23327">
        <w:rPr>
          <w:lang w:val="pt-BR"/>
        </w:rPr>
        <w:t>solar e eólica), torna-se um insumo energético capaz de atender</w:t>
      </w:r>
      <w:r w:rsidR="00D23327">
        <w:rPr>
          <w:lang w:val="pt-BR"/>
        </w:rPr>
        <w:t xml:space="preserve"> a</w:t>
      </w:r>
      <w:r w:rsidRPr="00D23327">
        <w:rPr>
          <w:lang w:val="pt-BR"/>
        </w:rPr>
        <w:t xml:space="preserve"> essa classe de processos, em substituição ao gás natural</w:t>
      </w:r>
      <w:r w:rsidR="00E0025A">
        <w:rPr>
          <w:lang w:val="pt-BR"/>
        </w:rPr>
        <w:t xml:space="preserve"> fóssil</w:t>
      </w:r>
      <w:r w:rsidRPr="00D23327">
        <w:rPr>
          <w:lang w:val="pt-BR"/>
        </w:rPr>
        <w:t>. Assim, esse trabalho visa avaliar a substituição de gás natural por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verde no setor de cerâmica branca, em um </w:t>
      </w:r>
      <w:r w:rsidR="00E0025A" w:rsidRPr="00D23327">
        <w:rPr>
          <w:lang w:val="pt-BR"/>
        </w:rPr>
        <w:t>processo de secagem</w:t>
      </w:r>
      <w:r w:rsidR="00E0025A" w:rsidRPr="00D23327" w:rsidDel="00E0025A">
        <w:rPr>
          <w:lang w:val="pt-BR"/>
        </w:rPr>
        <w:t xml:space="preserve"> </w:t>
      </w:r>
      <w:r w:rsidR="00E0025A">
        <w:rPr>
          <w:lang w:val="pt-BR"/>
        </w:rPr>
        <w:t>d</w:t>
      </w:r>
      <w:r w:rsidRPr="00D23327">
        <w:rPr>
          <w:lang w:val="pt-BR"/>
        </w:rPr>
        <w:t>a Delta Porcelanato. A análise técnica é conduzida assumindo-se um nível de substituição factível, conforme anunciado</w:t>
      </w:r>
      <w:r w:rsidR="00E0025A">
        <w:rPr>
          <w:lang w:val="pt-BR"/>
        </w:rPr>
        <w:t xml:space="preserve"> </w:t>
      </w:r>
      <w:r w:rsidR="00E0025A" w:rsidRPr="00D23327">
        <w:rPr>
          <w:lang w:val="pt-BR"/>
        </w:rPr>
        <w:t>em projetos</w:t>
      </w:r>
      <w:r w:rsidRPr="00D23327">
        <w:rPr>
          <w:lang w:val="pt-BR"/>
        </w:rPr>
        <w:t xml:space="preserve"> no exterior pela indústria de cerâmica, e </w:t>
      </w:r>
      <w:r w:rsidR="00D23327">
        <w:rPr>
          <w:lang w:val="pt-BR"/>
        </w:rPr>
        <w:t>introduzindo-se</w:t>
      </w:r>
      <w:r w:rsidRPr="00D23327">
        <w:rPr>
          <w:lang w:val="pt-BR"/>
        </w:rPr>
        <w:t xml:space="preserve"> um eletrolisador capaz de atender </w:t>
      </w:r>
      <w:r w:rsidR="00D23327">
        <w:rPr>
          <w:lang w:val="pt-BR"/>
        </w:rPr>
        <w:t>à</w:t>
      </w:r>
      <w:r w:rsidRPr="00D23327">
        <w:rPr>
          <w:lang w:val="pt-BR"/>
        </w:rPr>
        <w:t xml:space="preserve"> substituição para a escala do</w:t>
      </w:r>
      <w:r w:rsidR="00E0025A">
        <w:rPr>
          <w:lang w:val="pt-BR"/>
        </w:rPr>
        <w:t xml:space="preserve"> </w:t>
      </w:r>
      <w:r w:rsidRPr="00D23327">
        <w:rPr>
          <w:lang w:val="pt-BR"/>
        </w:rPr>
        <w:t xml:space="preserve">processo do estudo de caso. As variáveis em torno dessa substituição são avaliadas </w:t>
      </w:r>
      <w:r w:rsidR="00E0025A">
        <w:rPr>
          <w:lang w:val="pt-BR"/>
        </w:rPr>
        <w:t>com o</w:t>
      </w:r>
      <w:r w:rsidR="00E0025A" w:rsidRPr="00D23327">
        <w:rPr>
          <w:lang w:val="pt-BR"/>
        </w:rPr>
        <w:t xml:space="preserve"> </w:t>
      </w:r>
      <w:r w:rsidRPr="00D23327">
        <w:rPr>
          <w:lang w:val="pt-BR"/>
        </w:rPr>
        <w:t>modelo H2V-IEPUC, permitindo realizar uma análise de sensibilidade e sondar um cenário determinístico atrativo para companhias do setor, segundo métricas técnicas, econômicas e ambientais.</w:t>
      </w:r>
    </w:p>
    <w:p w14:paraId="02080DC6" w14:textId="77777777" w:rsidR="00FC13C1" w:rsidRPr="007A364B" w:rsidRDefault="00FC13C1" w:rsidP="007A364B">
      <w:pPr>
        <w:pStyle w:val="Corpodetexto"/>
        <w:ind w:left="851"/>
        <w:rPr>
          <w:b/>
          <w:lang w:val="pt-BR"/>
        </w:rPr>
      </w:pPr>
    </w:p>
    <w:p w14:paraId="536AFB9E" w14:textId="2E45376D" w:rsidR="00C45504" w:rsidRPr="003B5C8D" w:rsidRDefault="00D23327" w:rsidP="00D23327">
      <w:pPr>
        <w:pStyle w:val="Ttulo1"/>
        <w:rPr>
          <w:lang w:val="pt-BR"/>
        </w:rPr>
      </w:pPr>
      <w:r w:rsidRPr="003B5C8D">
        <w:rPr>
          <w:lang w:val="pt-BR"/>
        </w:rPr>
        <w:t>Método</w:t>
      </w:r>
    </w:p>
    <w:p w14:paraId="0DA12AEB" w14:textId="762DAB9D" w:rsidR="007A364B" w:rsidRPr="00D23327" w:rsidRDefault="007A364B" w:rsidP="007A364B">
      <w:pPr>
        <w:pStyle w:val="Corpodetexto"/>
        <w:ind w:left="851"/>
        <w:jc w:val="both"/>
        <w:rPr>
          <w:lang w:val="pt-BR" w:eastAsia="pt-BR"/>
        </w:rPr>
      </w:pPr>
      <w:r w:rsidRPr="00D23327">
        <w:rPr>
          <w:lang w:val="pt-BR"/>
        </w:rPr>
        <w:t xml:space="preserve">A fábrica de cerâmica da </w:t>
      </w:r>
      <w:r w:rsidR="00E0025A">
        <w:rPr>
          <w:lang w:val="pt-BR"/>
        </w:rPr>
        <w:t xml:space="preserve">empresa </w:t>
      </w:r>
      <w:r w:rsidRPr="00D23327">
        <w:rPr>
          <w:lang w:val="pt-BR"/>
        </w:rPr>
        <w:t xml:space="preserve">Delta contém diversos processos em que se utiliza gás natural para fins de atendimento a demandas térmicas, como fornos e secadores. Em especial, um ramal de gás atende a um conjunto de secadores, que totalizam um consumo anual de 6,9 milhões </w:t>
      </w:r>
      <w:r w:rsidR="00E0025A">
        <w:rPr>
          <w:lang w:val="pt-BR"/>
        </w:rPr>
        <w:t xml:space="preserve">de </w:t>
      </w:r>
      <w:r w:rsidRPr="00D23327">
        <w:rPr>
          <w:lang w:val="pt-BR"/>
        </w:rPr>
        <w:t>m</w:t>
      </w:r>
      <w:r w:rsidRPr="00D23327">
        <w:rPr>
          <w:vertAlign w:val="superscript"/>
          <w:lang w:val="pt-BR"/>
        </w:rPr>
        <w:t>3</w:t>
      </w:r>
      <w:r w:rsidRPr="00D23327">
        <w:rPr>
          <w:lang w:val="pt-BR"/>
        </w:rPr>
        <w:t xml:space="preserve"> de gás natural. Segundo projetos internacionais do setor de cerâmica, que visam a incorporação de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de baixo carbono em suas operações em substituição ao gás (</w:t>
      </w:r>
      <w:r w:rsidR="009A2802" w:rsidRPr="00D23327">
        <w:rPr>
          <w:lang w:val="pt-BR"/>
        </w:rPr>
        <w:t>Iberdrola</w:t>
      </w:r>
      <w:r w:rsidRPr="00D23327">
        <w:rPr>
          <w:lang w:val="pt-BR"/>
        </w:rPr>
        <w:t xml:space="preserve">, 2021), adotou-se o dimensionamento de sistema de eletrólise capaz de substituir 15% do conteúdo energético </w:t>
      </w:r>
      <w:r w:rsidR="00E0025A">
        <w:rPr>
          <w:lang w:val="pt-BR"/>
        </w:rPr>
        <w:t xml:space="preserve">(em termo de </w:t>
      </w:r>
      <w:r w:rsidR="00E0025A" w:rsidRPr="00D23327">
        <w:rPr>
          <w:lang w:val="pt-BR"/>
        </w:rPr>
        <w:t>poder calorífico inferior</w:t>
      </w:r>
      <w:r w:rsidR="00E0025A">
        <w:rPr>
          <w:lang w:val="pt-BR"/>
        </w:rPr>
        <w:t xml:space="preserve">) </w:t>
      </w:r>
      <w:r w:rsidRPr="00D23327">
        <w:rPr>
          <w:lang w:val="pt-BR"/>
        </w:rPr>
        <w:t>do gás por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>. Através da ferramenta H2V-IEPUC, foi feito um diagnóstico preliminar desta substituição, sendo conduzida a instala</w:t>
      </w:r>
      <w:r w:rsidR="00D23327">
        <w:rPr>
          <w:lang w:val="pt-BR"/>
        </w:rPr>
        <w:t>ç</w:t>
      </w:r>
      <w:r w:rsidRPr="00D23327">
        <w:rPr>
          <w:lang w:val="pt-BR"/>
        </w:rPr>
        <w:t xml:space="preserve">ão de um eletrolisador de 2,5 MW. As seguintes variáveis técnicas foram consideradas: consumo específico de energia elétrica </w:t>
      </w:r>
      <w:r w:rsidR="00E0025A">
        <w:rPr>
          <w:lang w:val="pt-BR"/>
        </w:rPr>
        <w:t>igual</w:t>
      </w:r>
      <w:r w:rsidR="00E0025A" w:rsidRPr="00D23327">
        <w:rPr>
          <w:lang w:val="pt-BR"/>
        </w:rPr>
        <w:t xml:space="preserve"> </w:t>
      </w:r>
      <w:r w:rsidR="00E0025A">
        <w:rPr>
          <w:lang w:val="pt-BR"/>
        </w:rPr>
        <w:t xml:space="preserve">a </w:t>
      </w:r>
      <w:r w:rsidRPr="00D23327">
        <w:rPr>
          <w:lang w:val="pt-BR"/>
        </w:rPr>
        <w:t>62,00 kWh/kg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, o consumo específico de água do </w:t>
      </w:r>
      <w:proofErr w:type="spellStart"/>
      <w:r w:rsidRPr="00D23327">
        <w:rPr>
          <w:lang w:val="pt-BR"/>
        </w:rPr>
        <w:t>eletrolisador</w:t>
      </w:r>
      <w:proofErr w:type="spellEnd"/>
      <w:r w:rsidRPr="00D23327">
        <w:rPr>
          <w:lang w:val="pt-BR"/>
        </w:rPr>
        <w:t xml:space="preserve"> </w:t>
      </w:r>
      <w:r w:rsidR="00E0025A">
        <w:rPr>
          <w:lang w:val="pt-BR"/>
        </w:rPr>
        <w:t>igual a</w:t>
      </w:r>
      <w:r w:rsidR="00E0025A" w:rsidRPr="00D23327">
        <w:rPr>
          <w:lang w:val="pt-BR"/>
        </w:rPr>
        <w:t xml:space="preserve"> </w:t>
      </w:r>
      <w:r w:rsidRPr="00D23327">
        <w:rPr>
          <w:lang w:val="pt-BR"/>
        </w:rPr>
        <w:t>16,92 L/kg, coprodução de 8 kg de O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>/kg H</w:t>
      </w:r>
      <w:r w:rsidRPr="00D23327">
        <w:rPr>
          <w:vertAlign w:val="subscript"/>
          <w:lang w:val="pt-BR"/>
        </w:rPr>
        <w:t>2</w:t>
      </w:r>
      <w:r w:rsidR="003B5C8D">
        <w:rPr>
          <w:lang w:val="pt-BR"/>
        </w:rPr>
        <w:t>,</w:t>
      </w:r>
      <w:r w:rsidRPr="00D23327">
        <w:rPr>
          <w:lang w:val="pt-BR"/>
        </w:rPr>
        <w:t xml:space="preserve"> taxa de degradação de 1 %a.a. do </w:t>
      </w:r>
      <w:proofErr w:type="spellStart"/>
      <w:r w:rsidRPr="00D23327">
        <w:rPr>
          <w:i/>
          <w:lang w:val="pt-BR"/>
        </w:rPr>
        <w:t>stack</w:t>
      </w:r>
      <w:proofErr w:type="spellEnd"/>
      <w:r w:rsidRPr="00D23327">
        <w:rPr>
          <w:lang w:val="pt-BR"/>
        </w:rPr>
        <w:t xml:space="preserve"> do </w:t>
      </w:r>
      <w:proofErr w:type="spellStart"/>
      <w:r w:rsidRPr="00D23327">
        <w:rPr>
          <w:lang w:val="pt-BR"/>
        </w:rPr>
        <w:t>eletrolisador</w:t>
      </w:r>
      <w:proofErr w:type="spellEnd"/>
      <w:r w:rsidRPr="00D23327">
        <w:rPr>
          <w:lang w:val="pt-BR"/>
        </w:rPr>
        <w:t>, dentre outras. Custos de CAPEX e OPEX</w:t>
      </w:r>
      <w:r w:rsidR="00E0025A">
        <w:rPr>
          <w:lang w:val="pt-BR"/>
        </w:rPr>
        <w:t xml:space="preserve"> baseados na literatura</w:t>
      </w:r>
      <w:r w:rsidRPr="00D23327">
        <w:rPr>
          <w:lang w:val="pt-BR"/>
        </w:rPr>
        <w:t xml:space="preserve"> foram incorporados (Khan et al., 2021), assim como preços de energia elétrica e gás natural indicados como representativos dentro das operações da empresa contemplada no estudo de caso. Diante da proximidade da produção de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por eletrólise junto a um uso final, o O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coproduzido da eletrólise foi considerado para fins de queima aprimorada (em inglês, </w:t>
      </w:r>
      <w:proofErr w:type="spellStart"/>
      <w:r w:rsidRPr="00D23327">
        <w:rPr>
          <w:i/>
          <w:lang w:val="pt-BR"/>
        </w:rPr>
        <w:t>enhanced</w:t>
      </w:r>
      <w:proofErr w:type="spellEnd"/>
      <w:r w:rsidRPr="00D23327">
        <w:rPr>
          <w:i/>
          <w:lang w:val="pt-BR"/>
        </w:rPr>
        <w:t xml:space="preserve"> </w:t>
      </w:r>
      <w:proofErr w:type="spellStart"/>
      <w:r w:rsidRPr="00D23327">
        <w:rPr>
          <w:i/>
          <w:lang w:val="pt-BR"/>
        </w:rPr>
        <w:t>oxygen</w:t>
      </w:r>
      <w:proofErr w:type="spellEnd"/>
      <w:r w:rsidRPr="00D23327">
        <w:rPr>
          <w:i/>
          <w:lang w:val="pt-BR"/>
        </w:rPr>
        <w:t xml:space="preserve"> </w:t>
      </w:r>
      <w:proofErr w:type="spellStart"/>
      <w:r w:rsidRPr="00D23327">
        <w:rPr>
          <w:i/>
          <w:lang w:val="pt-BR"/>
        </w:rPr>
        <w:t>combustion</w:t>
      </w:r>
      <w:proofErr w:type="spellEnd"/>
      <w:r w:rsidRPr="00D23327">
        <w:rPr>
          <w:lang w:val="pt-BR"/>
        </w:rPr>
        <w:t>) (CSN, 2022; Wu et al., 2010). A economia adicional que esse coproduto promove sobre o</w:t>
      </w:r>
      <w:r w:rsidR="00E0025A">
        <w:rPr>
          <w:lang w:val="pt-BR"/>
        </w:rPr>
        <w:t xml:space="preserve"> consumo de</w:t>
      </w:r>
      <w:r w:rsidRPr="00D23327">
        <w:rPr>
          <w:lang w:val="pt-BR"/>
        </w:rPr>
        <w:t xml:space="preserve"> gás natural traz benefícios para o projeto de substituição, visto que proporciona redução nas emissões de CO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(receita potencial na forma de créditos de carbono) e no custo direto de uso do gás como insumo. Um fluxo de caixa descontado foi </w:t>
      </w:r>
      <w:r w:rsidR="00E0025A">
        <w:rPr>
          <w:lang w:val="pt-BR"/>
        </w:rPr>
        <w:t>calculado</w:t>
      </w:r>
      <w:r w:rsidRPr="00D23327">
        <w:rPr>
          <w:lang w:val="pt-BR"/>
        </w:rPr>
        <w:t>, sendo avaliado indicadores de sua performance econômico-financeira tais como VPL, TIR, custo nivelado do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>, dentre outros. A decomposição do custo do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é apresentada, além do custo de competitividade do gás natural sendo utilizado atualmente. Uma análise de sensibilidade é realizada a fim de se sondar cenários de viabilidade, segundo o acesso a custos competitivos de energia elétrica, ao CAPEX do eletrolisador, e a competitividade de preço do gás natural.</w:t>
      </w:r>
    </w:p>
    <w:p w14:paraId="7D398580" w14:textId="77777777" w:rsidR="00C45504" w:rsidRPr="007A364B" w:rsidRDefault="00C45504">
      <w:pPr>
        <w:pStyle w:val="Corpodetexto"/>
        <w:rPr>
          <w:rFonts w:ascii="Arial"/>
          <w:b/>
          <w:sz w:val="23"/>
          <w:lang w:val="pt-BR"/>
        </w:rPr>
      </w:pPr>
    </w:p>
    <w:p w14:paraId="22C369E6" w14:textId="75DA78CD" w:rsidR="00C45504" w:rsidRPr="003B5C8D" w:rsidRDefault="009A2802">
      <w:pPr>
        <w:pStyle w:val="Ttulo1"/>
        <w:rPr>
          <w:lang w:val="pt-BR"/>
        </w:rPr>
      </w:pPr>
      <w:r w:rsidRPr="003B5C8D">
        <w:rPr>
          <w:lang w:val="pt-BR"/>
        </w:rPr>
        <w:t>Result</w:t>
      </w:r>
      <w:r w:rsidR="00D23327" w:rsidRPr="003B5C8D">
        <w:rPr>
          <w:lang w:val="pt-BR"/>
        </w:rPr>
        <w:t>ados</w:t>
      </w:r>
    </w:p>
    <w:p w14:paraId="48D15097" w14:textId="190D3E71" w:rsidR="007A364B" w:rsidRPr="00D23327" w:rsidRDefault="007A364B" w:rsidP="007A364B">
      <w:pPr>
        <w:pStyle w:val="Corpodetexto"/>
        <w:ind w:left="851"/>
        <w:jc w:val="both"/>
        <w:rPr>
          <w:i/>
          <w:lang w:val="pt-BR"/>
        </w:rPr>
      </w:pPr>
      <w:r w:rsidRPr="00D23327">
        <w:rPr>
          <w:lang w:val="pt-BR"/>
        </w:rPr>
        <w:lastRenderedPageBreak/>
        <w:t xml:space="preserve">As diversas variáveis econômicas que compõem o projeto de substituição devem ser trabalhadas para se otimizar os custos e receitas (ou custos evitados). Dentre os resultados, são apontadas as combinações que tornam viável a substituição parcial do gás </w:t>
      </w:r>
      <w:r w:rsidR="00E26C06">
        <w:rPr>
          <w:lang w:val="pt-BR"/>
        </w:rPr>
        <w:t xml:space="preserve">natural </w:t>
      </w:r>
      <w:r w:rsidRPr="00D23327">
        <w:rPr>
          <w:lang w:val="pt-BR"/>
        </w:rPr>
        <w:t>por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verde, na escala apresentada. Como componentes principais do projeto que visa descarbonização, demonstram-se os impactos que são proporcionados pelos </w:t>
      </w:r>
      <w:r w:rsidR="00E0025A">
        <w:rPr>
          <w:lang w:val="pt-BR"/>
        </w:rPr>
        <w:t xml:space="preserve">possíveis </w:t>
      </w:r>
      <w:r w:rsidRPr="00D23327">
        <w:rPr>
          <w:lang w:val="pt-BR"/>
        </w:rPr>
        <w:t xml:space="preserve">créditos de carbono e da oportunidade </w:t>
      </w:r>
      <w:r w:rsidR="00E0025A">
        <w:rPr>
          <w:lang w:val="pt-BR"/>
        </w:rPr>
        <w:t xml:space="preserve">tecnológica </w:t>
      </w:r>
      <w:r w:rsidRPr="00D23327">
        <w:rPr>
          <w:lang w:val="pt-BR"/>
        </w:rPr>
        <w:t>de aproveitamento do O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no projeto. </w:t>
      </w:r>
      <w:r w:rsidR="003B5C8D">
        <w:rPr>
          <w:lang w:val="pt-BR"/>
        </w:rPr>
        <w:t xml:space="preserve">Uma análise de sensibilidade é realizada a fim de se verificar a variação do VPL do projeto de substituição com relação ao CAPEX e ao custo do gás natural. </w:t>
      </w:r>
      <w:r w:rsidRPr="00D23327">
        <w:rPr>
          <w:lang w:val="pt-BR"/>
        </w:rPr>
        <w:t xml:space="preserve">A análise de sensibilidade com o CAPEX do eletrolisador fornece uma perspectiva sobre os efeitos de </w:t>
      </w:r>
      <w:r w:rsidR="00E26C06">
        <w:rPr>
          <w:lang w:val="pt-BR"/>
        </w:rPr>
        <w:t>estímulos</w:t>
      </w:r>
      <w:r w:rsidRPr="00D23327">
        <w:rPr>
          <w:lang w:val="pt-BR"/>
        </w:rPr>
        <w:t xml:space="preserve"> ou financiamentos que podem ser buscados junto a linhas de crédito dedicadas à sustentabilidade, de modo a contribuir à viabilidade da produção de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verde</w:t>
      </w:r>
      <w:r w:rsidR="00E26C06">
        <w:rPr>
          <w:lang w:val="pt-BR"/>
        </w:rPr>
        <w:t>.</w:t>
      </w:r>
      <w:r w:rsidR="003B5C8D">
        <w:rPr>
          <w:lang w:val="pt-BR"/>
        </w:rPr>
        <w:t xml:space="preserve"> Por fim, a análise de sensibilidade contemplando a variação do custo do gás natural visa verificar os preços com os quais o H</w:t>
      </w:r>
      <w:r w:rsidR="003B5C8D">
        <w:rPr>
          <w:vertAlign w:val="subscript"/>
          <w:lang w:val="pt-BR"/>
        </w:rPr>
        <w:t>2</w:t>
      </w:r>
      <w:r w:rsidR="003B5C8D">
        <w:rPr>
          <w:lang w:val="pt-BR"/>
        </w:rPr>
        <w:t xml:space="preserve"> pode competir diretamente com </w:t>
      </w:r>
      <w:proofErr w:type="gramStart"/>
      <w:r w:rsidR="003B5C8D">
        <w:rPr>
          <w:lang w:val="pt-BR"/>
        </w:rPr>
        <w:t>a  fonte</w:t>
      </w:r>
      <w:proofErr w:type="gramEnd"/>
      <w:r w:rsidR="003B5C8D">
        <w:rPr>
          <w:lang w:val="pt-BR"/>
        </w:rPr>
        <w:t xml:space="preserve"> fóssil atualmente empregada no processo.</w:t>
      </w:r>
      <w:r w:rsidR="00E26C06">
        <w:rPr>
          <w:lang w:val="pt-BR"/>
        </w:rPr>
        <w:t xml:space="preserve"> </w:t>
      </w:r>
      <w:r w:rsidRPr="00D23327">
        <w:rPr>
          <w:lang w:val="pt-BR"/>
        </w:rPr>
        <w:t xml:space="preserve">Por fim, as análises de sensibilidade são apresentadas segundo o preço de gás natural, que é a fonte fóssil principal sendo substituído no processo. </w:t>
      </w:r>
    </w:p>
    <w:p w14:paraId="51FC2C46" w14:textId="77777777" w:rsidR="00C45504" w:rsidRPr="007A364B" w:rsidRDefault="00C45504">
      <w:pPr>
        <w:pStyle w:val="Corpodetexto"/>
        <w:rPr>
          <w:rFonts w:ascii="Arial"/>
          <w:b/>
          <w:sz w:val="23"/>
          <w:lang w:val="pt-BR"/>
        </w:rPr>
      </w:pPr>
    </w:p>
    <w:p w14:paraId="523B50DF" w14:textId="4ADB4CE6" w:rsidR="00C45504" w:rsidRPr="007A364B" w:rsidRDefault="009A2802">
      <w:pPr>
        <w:ind w:left="840"/>
        <w:rPr>
          <w:rFonts w:ascii="Arial"/>
          <w:b/>
          <w:sz w:val="24"/>
          <w:lang w:val="pt-BR"/>
        </w:rPr>
      </w:pPr>
      <w:r w:rsidRPr="007A364B">
        <w:rPr>
          <w:rFonts w:ascii="Arial"/>
          <w:b/>
          <w:sz w:val="24"/>
          <w:lang w:val="pt-BR"/>
        </w:rPr>
        <w:t>C</w:t>
      </w:r>
      <w:r w:rsidR="00D23327">
        <w:rPr>
          <w:rFonts w:ascii="Arial"/>
          <w:b/>
          <w:sz w:val="24"/>
          <w:lang w:val="pt-BR"/>
        </w:rPr>
        <w:t>onclus</w:t>
      </w:r>
      <w:r w:rsidR="00D23327">
        <w:rPr>
          <w:rFonts w:ascii="Arial"/>
          <w:b/>
          <w:sz w:val="24"/>
          <w:lang w:val="pt-BR"/>
        </w:rPr>
        <w:t>õ</w:t>
      </w:r>
      <w:r w:rsidR="00D23327">
        <w:rPr>
          <w:rFonts w:ascii="Arial"/>
          <w:b/>
          <w:sz w:val="24"/>
          <w:lang w:val="pt-BR"/>
        </w:rPr>
        <w:t>es</w:t>
      </w:r>
    </w:p>
    <w:p w14:paraId="3EB8BD76" w14:textId="58964A96" w:rsidR="00C45504" w:rsidRPr="00D23327" w:rsidRDefault="007A364B" w:rsidP="007A364B">
      <w:pPr>
        <w:pStyle w:val="Corpodetexto"/>
        <w:ind w:left="851"/>
        <w:jc w:val="both"/>
        <w:rPr>
          <w:lang w:val="pt-BR"/>
        </w:rPr>
      </w:pPr>
      <w:r w:rsidRPr="00D23327">
        <w:rPr>
          <w:lang w:val="pt-BR"/>
        </w:rPr>
        <w:t xml:space="preserve">Os resultados obtidos para um estudo de caso realizado junto à indústria cerâmica fornecem uma </w:t>
      </w:r>
      <w:r w:rsidR="00E26C06">
        <w:rPr>
          <w:lang w:val="pt-BR"/>
        </w:rPr>
        <w:t>quantificação</w:t>
      </w:r>
      <w:r w:rsidRPr="00D23327">
        <w:rPr>
          <w:lang w:val="pt-BR"/>
        </w:rPr>
        <w:t xml:space="preserve"> e uma percepção de valor para outros subsetores industriais, relativas ao potencial do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verde de adentar suas matrizes energéticas, sem negligenciar os aspectos econômicos dentro da agenda da transição energética. Ressalta-se o papel </w:t>
      </w:r>
      <w:r w:rsidR="009A2802">
        <w:rPr>
          <w:lang w:val="pt-BR"/>
        </w:rPr>
        <w:t xml:space="preserve">preponderante </w:t>
      </w:r>
      <w:r w:rsidRPr="00D23327">
        <w:rPr>
          <w:lang w:val="pt-BR"/>
        </w:rPr>
        <w:t xml:space="preserve">dos custos de capital relacionados </w:t>
      </w:r>
      <w:r w:rsidR="00E26C06">
        <w:rPr>
          <w:lang w:val="pt-BR"/>
        </w:rPr>
        <w:t>à</w:t>
      </w:r>
      <w:r w:rsidRPr="00D23327">
        <w:rPr>
          <w:lang w:val="pt-BR"/>
        </w:rPr>
        <w:t xml:space="preserve"> tecnologia da eletrólise e da energia elétrica para auxiliar na viabilidade do processo, e a importância de valorizar o </w:t>
      </w:r>
      <w:r w:rsidR="009A2802">
        <w:rPr>
          <w:lang w:val="pt-BR"/>
        </w:rPr>
        <w:t>aproveitamento</w:t>
      </w:r>
      <w:r w:rsidR="009A2802" w:rsidRPr="00D23327">
        <w:rPr>
          <w:lang w:val="pt-BR"/>
        </w:rPr>
        <w:t xml:space="preserve"> </w:t>
      </w:r>
      <w:r w:rsidRPr="00D23327">
        <w:rPr>
          <w:lang w:val="pt-BR"/>
        </w:rPr>
        <w:t>do O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em casos em que o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produzido por eletrólise encontra-se próximo a seu uso final, conforme demonstrado na decomposição do custo nivelado do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>. Estudos futuros nesta linha podem ser ampliados para outros setores industriais e aplicações envolvendo H</w:t>
      </w:r>
      <w:r w:rsidRPr="00D23327">
        <w:rPr>
          <w:vertAlign w:val="subscript"/>
          <w:lang w:val="pt-BR"/>
        </w:rPr>
        <w:t>2</w:t>
      </w:r>
      <w:r w:rsidRPr="00D23327">
        <w:rPr>
          <w:lang w:val="pt-BR"/>
        </w:rPr>
        <w:t xml:space="preserve"> ou produtos derivados, de modo a se enxergar cenários de viabilidade técnica e econômica e direcionar as políticas públicas de financiamento ou desoneração de projetos de descarbonização.</w:t>
      </w:r>
    </w:p>
    <w:p w14:paraId="50492139" w14:textId="77777777" w:rsidR="00C45504" w:rsidRPr="007A364B" w:rsidRDefault="00C45504">
      <w:pPr>
        <w:pStyle w:val="Corpodetexto"/>
        <w:rPr>
          <w:rFonts w:ascii="Arial"/>
          <w:b/>
          <w:sz w:val="23"/>
          <w:lang w:val="pt-BR"/>
        </w:rPr>
      </w:pPr>
    </w:p>
    <w:p w14:paraId="4387350B" w14:textId="71C55C34" w:rsidR="00C45504" w:rsidRPr="00D23327" w:rsidRDefault="00D23327" w:rsidP="00D23327">
      <w:pPr>
        <w:pStyle w:val="Ttulo1"/>
        <w:rPr>
          <w:lang w:val="pt-BR"/>
        </w:rPr>
      </w:pPr>
      <w:r>
        <w:rPr>
          <w:lang w:val="pt-BR"/>
        </w:rPr>
        <w:t>Referências</w:t>
      </w:r>
    </w:p>
    <w:p w14:paraId="79A7E23C" w14:textId="3D8F19F5" w:rsidR="007A364B" w:rsidRPr="00D23327" w:rsidRDefault="007A364B" w:rsidP="007A364B">
      <w:pPr>
        <w:pStyle w:val="Corpodetexto"/>
        <w:ind w:left="851"/>
        <w:jc w:val="both"/>
        <w:rPr>
          <w:lang w:val="pt-BR"/>
        </w:rPr>
      </w:pPr>
      <w:r w:rsidRPr="00D23327">
        <w:rPr>
          <w:lang w:val="pt-BR"/>
        </w:rPr>
        <w:t xml:space="preserve">CSN. </w:t>
      </w:r>
      <w:r w:rsidRPr="00D23327">
        <w:rPr>
          <w:b/>
          <w:bCs/>
          <w:lang w:val="pt-BR"/>
        </w:rPr>
        <w:t>Relatório de Ação Climática</w:t>
      </w:r>
      <w:r w:rsidRPr="00D23327">
        <w:rPr>
          <w:lang w:val="pt-BR"/>
        </w:rPr>
        <w:t xml:space="preserve">. 2022. Disponível em: </w:t>
      </w:r>
      <w:r w:rsidR="00753C61" w:rsidRPr="00753C61">
        <w:rPr>
          <w:lang w:val="pt-BR"/>
        </w:rPr>
        <w:t>https://www.csn.com.br/quem-somos/sustentabilidade/relatorios-2020/</w:t>
      </w:r>
      <w:r w:rsidR="00753C61" w:rsidRPr="00753C61" w:rsidDel="00753C61">
        <w:rPr>
          <w:lang w:val="pt-BR"/>
        </w:rPr>
        <w:t xml:space="preserve"> </w:t>
      </w:r>
    </w:p>
    <w:p w14:paraId="389F20D8" w14:textId="77777777" w:rsidR="007A364B" w:rsidRPr="00D23327" w:rsidRDefault="007A364B" w:rsidP="007A364B">
      <w:pPr>
        <w:pStyle w:val="Corpodetexto"/>
        <w:ind w:left="851"/>
        <w:jc w:val="both"/>
        <w:rPr>
          <w:lang w:val="pt-BR"/>
        </w:rPr>
      </w:pPr>
      <w:r w:rsidRPr="00D23327">
        <w:rPr>
          <w:lang w:val="pt-BR"/>
        </w:rPr>
        <w:t xml:space="preserve">Iberdrola. </w:t>
      </w:r>
      <w:r w:rsidRPr="00D23327">
        <w:rPr>
          <w:b/>
          <w:lang w:val="pt-BR"/>
        </w:rPr>
        <w:t xml:space="preserve">A Iberdrola e a empresa </w:t>
      </w:r>
      <w:proofErr w:type="spellStart"/>
      <w:r w:rsidRPr="00D23327">
        <w:rPr>
          <w:b/>
          <w:lang w:val="pt-BR"/>
        </w:rPr>
        <w:t>Porcelanosa</w:t>
      </w:r>
      <w:proofErr w:type="spellEnd"/>
      <w:r w:rsidRPr="00D23327">
        <w:rPr>
          <w:b/>
          <w:lang w:val="pt-BR"/>
        </w:rPr>
        <w:t xml:space="preserve"> abordam a primeira solução para eletrificar a fabricação de revestimentos cerâmicos, combinando energias renováveis, hidrogênio verde e bomba de calor</w:t>
      </w:r>
      <w:r w:rsidRPr="00D23327">
        <w:rPr>
          <w:lang w:val="pt-BR"/>
        </w:rPr>
        <w:t>. 2021. Disponível em: https://www.iberdrola.com/sala-comunicacao/noticia/detalhe/iberdrola-empresa-porcelanosa-abordam-primeira-solucao-para-eletrificar-fabricacao-revestimentos-ceramicos-combinando-energias-renovaveis-hidrogenio-verde-bomba-calor</w:t>
      </w:r>
    </w:p>
    <w:p w14:paraId="4BBBD16A" w14:textId="77777777" w:rsidR="007A364B" w:rsidRPr="00D23327" w:rsidRDefault="007A364B" w:rsidP="007A364B">
      <w:pPr>
        <w:pStyle w:val="Corpodetexto"/>
        <w:ind w:left="851"/>
        <w:jc w:val="both"/>
        <w:rPr>
          <w:lang w:val="pt-BR"/>
        </w:rPr>
      </w:pPr>
      <w:r w:rsidRPr="00D23327">
        <w:rPr>
          <w:lang w:val="pt-BR"/>
        </w:rPr>
        <w:t xml:space="preserve">IEA. </w:t>
      </w:r>
      <w:r w:rsidRPr="00D23327">
        <w:rPr>
          <w:b/>
          <w:bCs/>
          <w:lang w:val="pt-BR"/>
        </w:rPr>
        <w:t>Global Hydrogen Review</w:t>
      </w:r>
      <w:r w:rsidRPr="00D23327">
        <w:rPr>
          <w:lang w:val="pt-BR"/>
        </w:rPr>
        <w:t xml:space="preserve">. 2023. Disponível em: </w:t>
      </w:r>
      <w:hyperlink r:id="rId11" w:history="1">
        <w:r w:rsidRPr="00D23327">
          <w:rPr>
            <w:lang w:val="pt-BR"/>
          </w:rPr>
          <w:t>https://www.iea.org/reports/global-hydrogen-review-2023</w:t>
        </w:r>
      </w:hyperlink>
      <w:r w:rsidRPr="00D23327">
        <w:rPr>
          <w:lang w:val="pt-BR"/>
        </w:rPr>
        <w:t>.</w:t>
      </w:r>
    </w:p>
    <w:p w14:paraId="7F5DAC44" w14:textId="77777777" w:rsidR="007A364B" w:rsidRPr="00D23327" w:rsidRDefault="007A364B" w:rsidP="007A364B">
      <w:pPr>
        <w:pStyle w:val="Corpodetexto"/>
        <w:ind w:left="851"/>
        <w:jc w:val="both"/>
      </w:pPr>
      <w:r w:rsidRPr="00D23327">
        <w:t xml:space="preserve">Khan, M. H. A., et al. </w:t>
      </w:r>
      <w:r w:rsidRPr="00D23327">
        <w:rPr>
          <w:b/>
        </w:rPr>
        <w:t>Designing Optimal Integrated Electricity Supply Configurations for Renewable Hydrogen Generation in Australia.</w:t>
      </w:r>
      <w:r w:rsidRPr="00D23327">
        <w:t xml:space="preserve"> </w:t>
      </w:r>
      <w:proofErr w:type="spellStart"/>
      <w:r w:rsidRPr="00D23327">
        <w:t>iScience</w:t>
      </w:r>
      <w:proofErr w:type="spellEnd"/>
      <w:r w:rsidRPr="00D23327">
        <w:t xml:space="preserve"> 24, 102539. 2021.10.1016/j.isci.2021.102539.</w:t>
      </w:r>
    </w:p>
    <w:p w14:paraId="350AAF87" w14:textId="404D2A1E" w:rsidR="00C45504" w:rsidRPr="00D23327" w:rsidRDefault="007A364B" w:rsidP="007A364B">
      <w:pPr>
        <w:pStyle w:val="Corpodetexto"/>
        <w:ind w:left="851"/>
        <w:jc w:val="both"/>
        <w:rPr>
          <w:lang w:val="pt-BR"/>
        </w:rPr>
      </w:pPr>
      <w:r w:rsidRPr="00D23327">
        <w:t xml:space="preserve">Wu, K. et al. </w:t>
      </w:r>
      <w:r w:rsidRPr="00D23327">
        <w:rPr>
          <w:b/>
          <w:bCs/>
        </w:rPr>
        <w:t>High-efficiency combustion of natural gas with 21–30% oxygen-enriched air</w:t>
      </w:r>
      <w:r w:rsidRPr="00D23327">
        <w:t xml:space="preserve">. </w:t>
      </w:r>
      <w:proofErr w:type="spellStart"/>
      <w:r w:rsidRPr="001E141C">
        <w:rPr>
          <w:lang w:val="pt-BR"/>
        </w:rPr>
        <w:t>Fuel</w:t>
      </w:r>
      <w:proofErr w:type="spellEnd"/>
      <w:r w:rsidRPr="001E141C">
        <w:rPr>
          <w:lang w:val="pt-BR"/>
        </w:rPr>
        <w:t xml:space="preserve"> 89, 2455-2462. 2010. </w:t>
      </w:r>
      <w:r w:rsidRPr="00D23327">
        <w:rPr>
          <w:lang w:val="pt-BR"/>
        </w:rPr>
        <w:t xml:space="preserve">Disponível em: </w:t>
      </w:r>
      <w:hyperlink r:id="rId12" w:history="1">
        <w:r w:rsidRPr="00D23327">
          <w:rPr>
            <w:lang w:val="pt-BR"/>
          </w:rPr>
          <w:t>https://www.sciencedirect.com/science/article/abs/pii/S0016236110000517</w:t>
        </w:r>
      </w:hyperlink>
    </w:p>
    <w:p w14:paraId="75FCA149" w14:textId="77777777" w:rsidR="00C45504" w:rsidRPr="007A364B" w:rsidRDefault="00C45504" w:rsidP="007A364B">
      <w:pPr>
        <w:pStyle w:val="Corpodetexto"/>
        <w:ind w:left="851"/>
        <w:rPr>
          <w:rFonts w:ascii="Arial"/>
          <w:b/>
          <w:lang w:val="pt-BR"/>
        </w:rPr>
      </w:pPr>
    </w:p>
    <w:p w14:paraId="77C46627" w14:textId="77777777" w:rsidR="00C45504" w:rsidRPr="007A364B" w:rsidRDefault="00C45504" w:rsidP="007A364B">
      <w:pPr>
        <w:pStyle w:val="Corpodetexto"/>
        <w:ind w:left="851"/>
        <w:rPr>
          <w:rFonts w:ascii="Arial"/>
          <w:b/>
          <w:lang w:val="pt-BR"/>
        </w:rPr>
      </w:pPr>
    </w:p>
    <w:p w14:paraId="7E064E57" w14:textId="69F3FA26" w:rsidR="00C45504" w:rsidRPr="00753C61" w:rsidRDefault="00C45504">
      <w:pPr>
        <w:pStyle w:val="Corpodetexto"/>
        <w:ind w:left="2925" w:right="2905"/>
        <w:jc w:val="center"/>
        <w:rPr>
          <w:lang w:val="pt-BR"/>
        </w:rPr>
      </w:pPr>
    </w:p>
    <w:sectPr w:rsidR="00C45504" w:rsidRPr="00753C61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04"/>
    <w:rsid w:val="000A7802"/>
    <w:rsid w:val="001E141C"/>
    <w:rsid w:val="0023425E"/>
    <w:rsid w:val="002F2C9A"/>
    <w:rsid w:val="00316128"/>
    <w:rsid w:val="00331969"/>
    <w:rsid w:val="003B5C8D"/>
    <w:rsid w:val="00407FEA"/>
    <w:rsid w:val="006F0D99"/>
    <w:rsid w:val="00753C61"/>
    <w:rsid w:val="007A364B"/>
    <w:rsid w:val="009672D6"/>
    <w:rsid w:val="009A2802"/>
    <w:rsid w:val="00C45504"/>
    <w:rsid w:val="00CB741B"/>
    <w:rsid w:val="00D23327"/>
    <w:rsid w:val="00DB53E2"/>
    <w:rsid w:val="00E0025A"/>
    <w:rsid w:val="00E13314"/>
    <w:rsid w:val="00E26C06"/>
    <w:rsid w:val="00E44614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7C7F8"/>
  <w15:docId w15:val="{D4E46D5D-0399-437A-99CB-8C7D4491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342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425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2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25A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A28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28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280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28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28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3B5C8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lle@puc-rio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menodnca@puc-rio.br" TargetMode="External"/><Relationship Id="rId12" Type="http://schemas.openxmlformats.org/officeDocument/2006/relationships/hyperlink" Target="https://www.sciencedirect.com/science/article/abs/pii/S00162361100005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dnei.cardoso@phd.iag.puc-rio.br" TargetMode="External"/><Relationship Id="rId11" Type="http://schemas.openxmlformats.org/officeDocument/2006/relationships/hyperlink" Target="https://www.iea.org/reports/global-hydrogen-review-2023" TargetMode="External"/><Relationship Id="rId5" Type="http://schemas.openxmlformats.org/officeDocument/2006/relationships/hyperlink" Target="mailto:fortunato345@gmail.com" TargetMode="External"/><Relationship Id="rId10" Type="http://schemas.openxmlformats.org/officeDocument/2006/relationships/hyperlink" Target="mailto:eloi@puc-rio.br" TargetMode="External"/><Relationship Id="rId4" Type="http://schemas.openxmlformats.org/officeDocument/2006/relationships/hyperlink" Target="mailto:sergiocastfh@gmail.com" TargetMode="External"/><Relationship Id="rId9" Type="http://schemas.openxmlformats.org/officeDocument/2006/relationships/hyperlink" Target="mailto:edmar@puc-rio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1233</Words>
  <Characters>7437</Characters>
  <Application>Microsoft Office Word</Application>
  <DocSecurity>0</DocSecurity>
  <Lines>101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Sergio Castiñeiras Filho</cp:lastModifiedBy>
  <cp:revision>5</cp:revision>
  <dcterms:created xsi:type="dcterms:W3CDTF">2024-03-10T22:31:00Z</dcterms:created>
  <dcterms:modified xsi:type="dcterms:W3CDTF">2024-03-10T23:18:00Z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  <property fmtid="{D5CDD505-2E9C-101B-9397-08002B2CF9AE}" pid="5" name="GrammarlyDocumentId">
    <vt:lpwstr>b8b017ad122e057e2400d18f3768593e5d5f807b060ddbccee2e046af3ba9b93</vt:lpwstr>
  </property>
</Properties>
</file>