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AB41D1" w14:textId="77777777" w:rsidR="003E308B" w:rsidRDefault="003E308B">
      <w:pPr>
        <w:spacing w:line="360" w:lineRule="auto"/>
        <w:rPr>
          <w:sz w:val="24"/>
          <w:szCs w:val="24"/>
        </w:rPr>
      </w:pPr>
    </w:p>
    <w:p w14:paraId="3508AD6B" w14:textId="77777777" w:rsidR="003E308B" w:rsidRDefault="003E308B">
      <w:pPr>
        <w:spacing w:line="360" w:lineRule="auto"/>
        <w:jc w:val="center"/>
        <w:rPr>
          <w:b/>
          <w:bCs/>
          <w:sz w:val="24"/>
          <w:szCs w:val="24"/>
        </w:rPr>
      </w:pPr>
    </w:p>
    <w:p w14:paraId="28F1A815" w14:textId="77777777" w:rsidR="003E308B" w:rsidRDefault="003E308B">
      <w:pPr>
        <w:spacing w:line="360" w:lineRule="auto"/>
        <w:jc w:val="center"/>
        <w:rPr>
          <w:b/>
          <w:bCs/>
          <w:sz w:val="24"/>
          <w:szCs w:val="24"/>
        </w:rPr>
      </w:pPr>
    </w:p>
    <w:p w14:paraId="6B5FD17B" w14:textId="77777777" w:rsidR="00A85CD6" w:rsidRPr="008D55A5" w:rsidRDefault="00A85CD6" w:rsidP="00A85CD6">
      <w:pPr>
        <w:jc w:val="center"/>
        <w:rPr>
          <w:rFonts w:ascii="Arial" w:hAnsi="Arial" w:cs="Arial"/>
          <w:sz w:val="24"/>
          <w:szCs w:val="24"/>
        </w:rPr>
      </w:pPr>
      <w:r>
        <w:rPr>
          <w:rFonts w:ascii="Arial" w:hAnsi="Arial" w:cs="Arial"/>
          <w:b/>
          <w:bCs/>
          <w:sz w:val="24"/>
          <w:szCs w:val="24"/>
        </w:rPr>
        <w:t>CELERIDADE PROCESSUAL E RECURSOS: O PARADOXO ENTRE A GARANTIA DO DUPLO GRAU DE JURISDIÇÃO E A EFETIVIDADE DA PRESTAÇÃO JURISDICIONAL</w:t>
      </w:r>
    </w:p>
    <w:p w14:paraId="31EFED6B" w14:textId="77777777" w:rsidR="003E308B" w:rsidRDefault="003E308B">
      <w:pPr>
        <w:tabs>
          <w:tab w:val="left" w:pos="1540"/>
        </w:tabs>
        <w:spacing w:line="360" w:lineRule="auto"/>
        <w:ind w:left="-360"/>
        <w:jc w:val="right"/>
        <w:rPr>
          <w:sz w:val="24"/>
          <w:szCs w:val="24"/>
        </w:rPr>
      </w:pPr>
    </w:p>
    <w:p w14:paraId="47B90C6A" w14:textId="77777777" w:rsidR="00A85CD6" w:rsidRDefault="00A85CD6">
      <w:pPr>
        <w:tabs>
          <w:tab w:val="left" w:pos="1540"/>
        </w:tabs>
        <w:spacing w:line="360" w:lineRule="auto"/>
        <w:ind w:left="-360"/>
        <w:jc w:val="right"/>
        <w:rPr>
          <w:sz w:val="24"/>
          <w:szCs w:val="24"/>
        </w:rPr>
      </w:pPr>
    </w:p>
    <w:p w14:paraId="5C740107" w14:textId="3B9B1EE5" w:rsidR="003E308B" w:rsidRDefault="00000000">
      <w:pPr>
        <w:tabs>
          <w:tab w:val="left" w:pos="1540"/>
        </w:tabs>
        <w:spacing w:line="360" w:lineRule="auto"/>
        <w:ind w:left="-360"/>
        <w:jc w:val="right"/>
        <w:rPr>
          <w:sz w:val="24"/>
          <w:szCs w:val="24"/>
        </w:rPr>
      </w:pPr>
      <w:r>
        <w:rPr>
          <w:sz w:val="24"/>
          <w:szCs w:val="24"/>
        </w:rPr>
        <w:t>Autor Principal:</w:t>
      </w:r>
      <w:r w:rsidR="00A85CD6">
        <w:rPr>
          <w:sz w:val="24"/>
          <w:szCs w:val="24"/>
        </w:rPr>
        <w:t xml:space="preserve"> </w:t>
      </w:r>
      <w:r w:rsidR="00A85CD6">
        <w:rPr>
          <w:sz w:val="24"/>
          <w:szCs w:val="24"/>
          <w:vertAlign w:val="superscript"/>
        </w:rPr>
        <w:t xml:space="preserve"> </w:t>
      </w:r>
      <w:r w:rsidR="00A85CD6">
        <w:rPr>
          <w:sz w:val="24"/>
          <w:szCs w:val="24"/>
        </w:rPr>
        <w:t xml:space="preserve"> </w:t>
      </w:r>
      <w:r w:rsidR="00FE1FF3">
        <w:rPr>
          <w:sz w:val="24"/>
          <w:szCs w:val="24"/>
        </w:rPr>
        <w:t>LUIZA MARIA CERQUEIRA DOS SANTOS SILVA</w:t>
      </w:r>
      <w:r w:rsidR="00FE1FF3">
        <w:rPr>
          <w:sz w:val="24"/>
          <w:szCs w:val="24"/>
        </w:rPr>
        <w:t xml:space="preserve"> </w:t>
      </w:r>
    </w:p>
    <w:p w14:paraId="69585D9B" w14:textId="48FD130E" w:rsidR="003E308B" w:rsidRDefault="00000000">
      <w:pPr>
        <w:tabs>
          <w:tab w:val="left" w:pos="2060"/>
        </w:tabs>
        <w:spacing w:line="360" w:lineRule="auto"/>
        <w:ind w:left="-360"/>
        <w:jc w:val="right"/>
        <w:rPr>
          <w:sz w:val="24"/>
          <w:szCs w:val="24"/>
        </w:rPr>
      </w:pPr>
      <w:r>
        <w:rPr>
          <w:sz w:val="24"/>
          <w:szCs w:val="24"/>
        </w:rPr>
        <w:t>Coautor 1:</w:t>
      </w:r>
      <w:r w:rsidR="00A85CD6">
        <w:rPr>
          <w:sz w:val="24"/>
          <w:szCs w:val="24"/>
        </w:rPr>
        <w:t xml:space="preserve"> </w:t>
      </w:r>
      <w:r w:rsidR="00FE1FF3">
        <w:rPr>
          <w:sz w:val="24"/>
          <w:szCs w:val="24"/>
        </w:rPr>
        <w:t>LUANA DA CUNHA LOPES</w:t>
      </w:r>
    </w:p>
    <w:p w14:paraId="7E0BEB02" w14:textId="10E76683" w:rsidR="003E308B" w:rsidRDefault="00000000">
      <w:pPr>
        <w:tabs>
          <w:tab w:val="left" w:pos="2060"/>
          <w:tab w:val="left" w:pos="7240"/>
        </w:tabs>
        <w:spacing w:line="360" w:lineRule="auto"/>
        <w:ind w:left="-360"/>
        <w:jc w:val="right"/>
        <w:rPr>
          <w:sz w:val="24"/>
          <w:szCs w:val="24"/>
        </w:rPr>
      </w:pPr>
      <w:r>
        <w:rPr>
          <w:sz w:val="24"/>
          <w:szCs w:val="24"/>
        </w:rPr>
        <w:t xml:space="preserve">Coautor </w:t>
      </w:r>
      <w:proofErr w:type="gramStart"/>
      <w:r>
        <w:rPr>
          <w:sz w:val="24"/>
          <w:szCs w:val="24"/>
        </w:rPr>
        <w:t>2 :</w:t>
      </w:r>
      <w:proofErr w:type="gramEnd"/>
      <w:r w:rsidR="00A85CD6">
        <w:rPr>
          <w:sz w:val="24"/>
          <w:szCs w:val="24"/>
        </w:rPr>
        <w:t xml:space="preserve"> VICTOR MEMÓRIA NOGUEIRA</w:t>
      </w:r>
    </w:p>
    <w:p w14:paraId="2A43948E" w14:textId="2A357A0D" w:rsidR="003E308B" w:rsidRDefault="003E308B" w:rsidP="00A85CD6">
      <w:pPr>
        <w:tabs>
          <w:tab w:val="left" w:pos="2060"/>
          <w:tab w:val="left" w:pos="7240"/>
        </w:tabs>
        <w:spacing w:line="360" w:lineRule="auto"/>
        <w:ind w:left="-360"/>
        <w:jc w:val="center"/>
        <w:rPr>
          <w:sz w:val="24"/>
          <w:szCs w:val="24"/>
        </w:rPr>
      </w:pPr>
    </w:p>
    <w:p w14:paraId="01A912BB" w14:textId="5DA74D35" w:rsidR="003E308B" w:rsidRDefault="003E308B" w:rsidP="00A85CD6">
      <w:pPr>
        <w:tabs>
          <w:tab w:val="left" w:pos="2060"/>
          <w:tab w:val="left" w:pos="7240"/>
        </w:tabs>
        <w:spacing w:line="360" w:lineRule="auto"/>
        <w:ind w:left="-360"/>
        <w:jc w:val="center"/>
        <w:rPr>
          <w:sz w:val="24"/>
          <w:szCs w:val="24"/>
        </w:rPr>
      </w:pPr>
    </w:p>
    <w:p w14:paraId="4E403207" w14:textId="77777777" w:rsidR="003E308B" w:rsidRDefault="00000000">
      <w:pPr>
        <w:spacing w:line="360" w:lineRule="auto"/>
        <w:jc w:val="center"/>
        <w:rPr>
          <w:sz w:val="24"/>
          <w:szCs w:val="24"/>
        </w:rPr>
      </w:pPr>
      <w:r>
        <w:rPr>
          <w:b/>
          <w:bCs/>
          <w:sz w:val="24"/>
          <w:szCs w:val="24"/>
        </w:rPr>
        <w:t>RESUMO</w:t>
      </w:r>
    </w:p>
    <w:p w14:paraId="1A93F305" w14:textId="77777777" w:rsidR="00A85CD6" w:rsidRDefault="00A85CD6" w:rsidP="00FE1FF3">
      <w:pPr>
        <w:jc w:val="both"/>
        <w:rPr>
          <w:sz w:val="24"/>
          <w:szCs w:val="24"/>
        </w:rPr>
      </w:pPr>
      <w:r w:rsidRPr="001B7156">
        <w:rPr>
          <w:sz w:val="24"/>
          <w:szCs w:val="24"/>
        </w:rPr>
        <w:t>O presente</w:t>
      </w:r>
      <w:r>
        <w:rPr>
          <w:sz w:val="24"/>
          <w:szCs w:val="24"/>
        </w:rPr>
        <w:t xml:space="preserve"> artigo tem como objetivo analisar a tensão existente entre o princípio da celeridade processual e o sistema recursal vigente no ordenamento jurídico brasileiro. A morosidade do Judiciário constitui um dos maiores entraves ao acesso efetivo à justiça, e o uso excessivo ou protelatório de recursos representa um dos principais fatores responsáveis por esse problema. A pesquisa adota metodologia bibliográfica e documental, com fundamento na Constituição Federal de 1988, no Código de Processo Civil de 2015 e em autores do Direito Processual. Conclui-se que é necessário um equilíbrio entre a segurança jurídica garantida pelo duplo grau de jurisdição e a efetividade da tutela jurisdicional, por meio de reformas processuais e de uma cultura jurídica orientada para a resolução célere de conflitos.</w:t>
      </w:r>
    </w:p>
    <w:p w14:paraId="343B71AB" w14:textId="77777777" w:rsidR="00CB73D2" w:rsidRDefault="00CB73D2" w:rsidP="00CB73D2">
      <w:pPr>
        <w:spacing w:line="360" w:lineRule="auto"/>
        <w:ind w:firstLine="851"/>
        <w:jc w:val="both"/>
        <w:rPr>
          <w:sz w:val="24"/>
          <w:szCs w:val="24"/>
        </w:rPr>
      </w:pPr>
    </w:p>
    <w:p w14:paraId="38DEBF2A" w14:textId="7366713F" w:rsidR="00A85CD6" w:rsidRPr="00B123F3" w:rsidRDefault="00A85CD6" w:rsidP="00FE1FF3">
      <w:pPr>
        <w:spacing w:line="360" w:lineRule="auto"/>
        <w:jc w:val="both"/>
        <w:rPr>
          <w:sz w:val="24"/>
          <w:szCs w:val="24"/>
        </w:rPr>
      </w:pPr>
      <w:r w:rsidRPr="00710461">
        <w:rPr>
          <w:b/>
          <w:bCs/>
          <w:sz w:val="24"/>
          <w:szCs w:val="24"/>
        </w:rPr>
        <w:t>Palavras-chave</w:t>
      </w:r>
      <w:r>
        <w:rPr>
          <w:b/>
          <w:bCs/>
          <w:sz w:val="24"/>
          <w:szCs w:val="24"/>
        </w:rPr>
        <w:t xml:space="preserve">: </w:t>
      </w:r>
      <w:r>
        <w:rPr>
          <w:sz w:val="24"/>
          <w:szCs w:val="24"/>
        </w:rPr>
        <w:t xml:space="preserve">Celeridade. Duplo grau de jurisdição. Morosidade. </w:t>
      </w:r>
    </w:p>
    <w:p w14:paraId="3DDCB216" w14:textId="77777777" w:rsidR="003E308B" w:rsidRDefault="003E308B">
      <w:pPr>
        <w:spacing w:line="360" w:lineRule="auto"/>
        <w:rPr>
          <w:sz w:val="24"/>
          <w:szCs w:val="24"/>
        </w:rPr>
      </w:pPr>
    </w:p>
    <w:p w14:paraId="56A8C5F1" w14:textId="77777777" w:rsidR="003E308B" w:rsidRDefault="00000000">
      <w:pPr>
        <w:spacing w:line="360" w:lineRule="auto"/>
        <w:rPr>
          <w:sz w:val="24"/>
          <w:szCs w:val="24"/>
        </w:rPr>
      </w:pPr>
      <w:bookmarkStart w:id="0" w:name="f5vk82do5j7i" w:colFirst="0" w:colLast="0"/>
      <w:bookmarkEnd w:id="0"/>
      <w:r>
        <w:rPr>
          <w:b/>
          <w:bCs/>
          <w:sz w:val="24"/>
          <w:szCs w:val="24"/>
        </w:rPr>
        <w:t>1 INTRODUÇÃO</w:t>
      </w:r>
    </w:p>
    <w:p w14:paraId="0BD1323E" w14:textId="77777777" w:rsidR="00A85CD6" w:rsidRDefault="00A85CD6" w:rsidP="00A85CD6">
      <w:pPr>
        <w:spacing w:after="200" w:line="360" w:lineRule="auto"/>
        <w:ind w:firstLine="709"/>
        <w:jc w:val="both"/>
        <w:rPr>
          <w:sz w:val="24"/>
          <w:szCs w:val="24"/>
        </w:rPr>
      </w:pPr>
      <w:r w:rsidRPr="00003B02">
        <w:rPr>
          <w:sz w:val="24"/>
          <w:szCs w:val="24"/>
        </w:rPr>
        <w:t>A prestação jurisdicional célere constitui uma das mais relevantes demandas da sociedade contemporânea. O excesso de tempo na resolução dos litígios não apenas frustra os jurisdicionados, mas compromete a própria legitimidade do sistema de justiça. A Constituição Federal de 1988, no inciso LXXVIII do artigo 5º, consagrou a razoável duração do processo como direito fundamental, ao dispor que "a todos, no âmbito judicial e administrativo, são assegurados a razoável duração do processo e os meios que garantam a celeridade de sua tramitação".</w:t>
      </w:r>
    </w:p>
    <w:p w14:paraId="677D7620" w14:textId="77777777" w:rsidR="00A85CD6" w:rsidRDefault="00A85CD6" w:rsidP="00A85CD6">
      <w:pPr>
        <w:spacing w:after="200" w:line="360" w:lineRule="auto"/>
        <w:ind w:firstLine="709"/>
        <w:jc w:val="both"/>
        <w:rPr>
          <w:sz w:val="24"/>
          <w:szCs w:val="24"/>
        </w:rPr>
      </w:pPr>
    </w:p>
    <w:p w14:paraId="0E59FDBB" w14:textId="77777777" w:rsidR="00FE1FF3" w:rsidRDefault="00FE1FF3" w:rsidP="00A85CD6">
      <w:pPr>
        <w:spacing w:after="200" w:line="360" w:lineRule="auto"/>
        <w:ind w:firstLine="709"/>
        <w:jc w:val="both"/>
        <w:rPr>
          <w:sz w:val="24"/>
          <w:szCs w:val="24"/>
        </w:rPr>
      </w:pPr>
    </w:p>
    <w:p w14:paraId="7A335A4F" w14:textId="77777777" w:rsidR="00FE1FF3" w:rsidRDefault="00FE1FF3" w:rsidP="00A85CD6">
      <w:pPr>
        <w:spacing w:after="200" w:line="360" w:lineRule="auto"/>
        <w:ind w:firstLine="709"/>
        <w:jc w:val="both"/>
        <w:rPr>
          <w:sz w:val="24"/>
          <w:szCs w:val="24"/>
        </w:rPr>
      </w:pPr>
    </w:p>
    <w:p w14:paraId="73811F88" w14:textId="2D6797B2" w:rsidR="00A85CD6" w:rsidRDefault="00A85CD6" w:rsidP="00A85CD6">
      <w:pPr>
        <w:spacing w:after="200" w:line="360" w:lineRule="auto"/>
        <w:ind w:firstLine="709"/>
        <w:jc w:val="both"/>
        <w:rPr>
          <w:sz w:val="24"/>
          <w:szCs w:val="24"/>
        </w:rPr>
      </w:pPr>
      <w:r>
        <w:rPr>
          <w:sz w:val="24"/>
          <w:szCs w:val="24"/>
        </w:rPr>
        <w:t>Paradoxalmente, o próprio sistema jurídico prevê mecanismos que, embora essenciais para a garantia dos direitos das partes, contribuem significativamente para a morosidade processual. Os recursos, instrumentos indispensáveis ao controle das decisões judiciais e à segurança jurídica, quando utilizados de forma excessiva ou com fins meramente protelatórios, tornam-se verdadeiros obstáculos à entrega tempestiva da prestação jurisdicional.</w:t>
      </w:r>
    </w:p>
    <w:p w14:paraId="3BA38849" w14:textId="77777777" w:rsidR="00A85CD6" w:rsidRDefault="00A85CD6" w:rsidP="00A85CD6">
      <w:pPr>
        <w:spacing w:after="200" w:line="360" w:lineRule="auto"/>
        <w:ind w:firstLine="720"/>
        <w:jc w:val="both"/>
      </w:pPr>
      <w:r>
        <w:rPr>
          <w:sz w:val="24"/>
          <w:szCs w:val="24"/>
        </w:rPr>
        <w:t>O Brasil é reconhecido internacionalmente por seu sistema recursal extremamente amplo. O Código de Processo Civil de 2015 (Lei n.º 13.105/2015), embora tenha buscado simplificar e agilizar o processo civil, ainda mantém uma estrutura recursal complexa que, somada à cultura do litígio e à resistência das partes em aceitar decisões desfavoráveis, contribui para o congestionamento do Poder Judiciário.</w:t>
      </w:r>
    </w:p>
    <w:p w14:paraId="0BB0374F" w14:textId="77777777" w:rsidR="00A85CD6" w:rsidRDefault="00A85CD6" w:rsidP="00A85CD6">
      <w:pPr>
        <w:spacing w:after="200" w:line="360" w:lineRule="auto"/>
        <w:ind w:firstLine="720"/>
        <w:jc w:val="both"/>
        <w:rPr>
          <w:sz w:val="24"/>
          <w:szCs w:val="24"/>
        </w:rPr>
      </w:pPr>
      <w:r>
        <w:rPr>
          <w:sz w:val="24"/>
          <w:szCs w:val="24"/>
        </w:rPr>
        <w:t>Diante desse cenário, o presente trabalho propõe-se a examinar o conflito entre a celeridade processual e o direito ao recurso, investigando os fundamentos teóricos de ambos os princípios e analisando as tentativas do legislador e da doutrina de encontrar um ponto de equilíbrio. A metodologia empregada é a bibliográfica e documental, com análise da legislação vigente, da jurisprudência dos tribunais superiores e de obras de renomados processualistas brasileiros e estrangeiros.</w:t>
      </w:r>
    </w:p>
    <w:p w14:paraId="02467C90" w14:textId="77777777" w:rsidR="00A85CD6" w:rsidRPr="00003B02" w:rsidRDefault="00A85CD6" w:rsidP="00A85CD6">
      <w:pPr>
        <w:spacing w:after="200" w:line="360" w:lineRule="auto"/>
        <w:ind w:firstLine="720"/>
        <w:jc w:val="both"/>
      </w:pPr>
      <w:r>
        <w:rPr>
          <w:sz w:val="24"/>
          <w:szCs w:val="24"/>
        </w:rPr>
        <w:t>O artigo está estruturado da seguinte forma: inicialmente, aborda-se o princípio da celeridade processual em sua dimensão constitucional e infraconstitucional; em seguida, analisa-se o sistema recursal brasileiro e sua relação com a morosidade da justiça; posteriormente, discutem-se os princípios do duplo grau de jurisdição e do devido processo legal como limites à simplificação recursal; por fim, examina-se o impacto das reformas processuais recentes, especialmente do CPC/2015, na busca pelo equilíbrio entre celeridade e segurança jurídica.</w:t>
      </w:r>
    </w:p>
    <w:p w14:paraId="5E6C628B" w14:textId="77777777" w:rsidR="003E308B" w:rsidRDefault="003E308B">
      <w:pPr>
        <w:spacing w:line="360" w:lineRule="auto"/>
        <w:rPr>
          <w:b/>
          <w:bCs/>
          <w:sz w:val="24"/>
          <w:szCs w:val="24"/>
        </w:rPr>
      </w:pPr>
    </w:p>
    <w:p w14:paraId="7F0D57FE" w14:textId="77777777" w:rsidR="003E308B" w:rsidRDefault="00000000">
      <w:pPr>
        <w:spacing w:line="360" w:lineRule="auto"/>
        <w:rPr>
          <w:sz w:val="24"/>
          <w:szCs w:val="24"/>
        </w:rPr>
      </w:pPr>
      <w:r>
        <w:rPr>
          <w:b/>
          <w:bCs/>
          <w:sz w:val="24"/>
          <w:szCs w:val="24"/>
        </w:rPr>
        <w:t>2 OBJETIVOS</w:t>
      </w:r>
    </w:p>
    <w:p w14:paraId="0E040F45" w14:textId="77777777" w:rsidR="00FE1FF3" w:rsidRDefault="00A85CD6">
      <w:pPr>
        <w:spacing w:line="360" w:lineRule="auto"/>
        <w:rPr>
          <w:sz w:val="24"/>
          <w:szCs w:val="24"/>
        </w:rPr>
      </w:pPr>
      <w:r w:rsidRPr="00F3155A">
        <w:rPr>
          <w:sz w:val="24"/>
          <w:szCs w:val="24"/>
        </w:rPr>
        <w:t xml:space="preserve">    O presente artigo tem como objetivo analisar, de forma crítica, a relação entre a garantia do duplo grau de jurisdição e a consequente demora processual, visto que ocorrem atrasos em prazos processuais devido a possibilidade de recursos, que pode</w:t>
      </w:r>
      <w:r w:rsidR="00FE1FF3">
        <w:rPr>
          <w:sz w:val="24"/>
          <w:szCs w:val="24"/>
        </w:rPr>
        <w:t xml:space="preserve"> </w:t>
      </w:r>
      <w:r w:rsidRPr="00F3155A">
        <w:rPr>
          <w:sz w:val="24"/>
          <w:szCs w:val="24"/>
        </w:rPr>
        <w:t xml:space="preserve">ser </w:t>
      </w:r>
      <w:r w:rsidR="00FE1FF3" w:rsidRPr="00F3155A">
        <w:rPr>
          <w:sz w:val="24"/>
          <w:szCs w:val="24"/>
        </w:rPr>
        <w:t>protelatório</w:t>
      </w:r>
      <w:r w:rsidRPr="00F3155A">
        <w:rPr>
          <w:sz w:val="24"/>
          <w:szCs w:val="24"/>
        </w:rPr>
        <w:t xml:space="preserve">. </w:t>
      </w:r>
      <w:r w:rsidR="00FE1FF3">
        <w:rPr>
          <w:sz w:val="24"/>
          <w:szCs w:val="24"/>
        </w:rPr>
        <w:t xml:space="preserve">Tendo ainda </w:t>
      </w:r>
    </w:p>
    <w:p w14:paraId="0EF73268" w14:textId="77777777" w:rsidR="00FE1FF3" w:rsidRDefault="00FE1FF3">
      <w:pPr>
        <w:spacing w:line="360" w:lineRule="auto"/>
        <w:rPr>
          <w:sz w:val="24"/>
          <w:szCs w:val="24"/>
        </w:rPr>
      </w:pPr>
    </w:p>
    <w:p w14:paraId="3353723F" w14:textId="77777777" w:rsidR="00FE1FF3" w:rsidRDefault="00FE1FF3">
      <w:pPr>
        <w:spacing w:line="360" w:lineRule="auto"/>
        <w:rPr>
          <w:sz w:val="24"/>
          <w:szCs w:val="24"/>
        </w:rPr>
      </w:pPr>
    </w:p>
    <w:p w14:paraId="3681BA07" w14:textId="77777777" w:rsidR="00FE1FF3" w:rsidRDefault="00FE1FF3">
      <w:pPr>
        <w:spacing w:line="360" w:lineRule="auto"/>
        <w:rPr>
          <w:sz w:val="24"/>
          <w:szCs w:val="24"/>
        </w:rPr>
      </w:pPr>
    </w:p>
    <w:p w14:paraId="3DF5A1E3" w14:textId="0BB640A4" w:rsidR="003E308B" w:rsidRDefault="00FE1FF3" w:rsidP="00FE1FF3">
      <w:pPr>
        <w:spacing w:line="360" w:lineRule="auto"/>
        <w:jc w:val="both"/>
        <w:rPr>
          <w:sz w:val="24"/>
          <w:szCs w:val="24"/>
        </w:rPr>
      </w:pPr>
      <w:r>
        <w:rPr>
          <w:sz w:val="24"/>
          <w:szCs w:val="24"/>
        </w:rPr>
        <w:t>como objetivos secundários: Compreender se a celeridade processual acontece com o uso dos recursos. Estudar o sistema recursal brasileiro. Examinar os tipos recursais dentro da dinâmica prática e teórica.</w:t>
      </w:r>
    </w:p>
    <w:p w14:paraId="2A242231" w14:textId="77777777" w:rsidR="00F3155A" w:rsidRPr="00F3155A" w:rsidRDefault="00F3155A">
      <w:pPr>
        <w:spacing w:line="360" w:lineRule="auto"/>
        <w:rPr>
          <w:sz w:val="24"/>
          <w:szCs w:val="24"/>
        </w:rPr>
      </w:pPr>
    </w:p>
    <w:p w14:paraId="135049A0" w14:textId="77777777" w:rsidR="003E308B" w:rsidRDefault="00000000">
      <w:pPr>
        <w:spacing w:line="360" w:lineRule="auto"/>
        <w:rPr>
          <w:sz w:val="24"/>
          <w:szCs w:val="24"/>
        </w:rPr>
      </w:pPr>
      <w:r>
        <w:rPr>
          <w:b/>
          <w:bCs/>
          <w:sz w:val="24"/>
          <w:szCs w:val="24"/>
        </w:rPr>
        <w:t>3 MÉTODO</w:t>
      </w:r>
    </w:p>
    <w:p w14:paraId="0A252F88" w14:textId="69DA8D6C" w:rsidR="003E308B" w:rsidRDefault="00F3155A">
      <w:pPr>
        <w:spacing w:line="360" w:lineRule="auto"/>
        <w:rPr>
          <w:sz w:val="24"/>
          <w:szCs w:val="24"/>
        </w:rPr>
      </w:pPr>
      <w:r w:rsidRPr="00F3155A">
        <w:rPr>
          <w:sz w:val="24"/>
          <w:szCs w:val="24"/>
        </w:rPr>
        <w:t xml:space="preserve">  </w:t>
      </w:r>
      <w:r w:rsidR="00FE1FF3">
        <w:rPr>
          <w:sz w:val="24"/>
          <w:szCs w:val="24"/>
        </w:rPr>
        <w:tab/>
      </w:r>
      <w:r w:rsidRPr="00F3155A">
        <w:rPr>
          <w:sz w:val="24"/>
          <w:szCs w:val="24"/>
        </w:rPr>
        <w:t>A pesquisa foi desenvolvida por meio de abordagem qualitativa, utilizando -se de pesquisa bibliográfica. A parte bibliográfica consistiu no levantamento e estudo de obras doutrinárias e artigos científicos que tratam da interposição de recursos e de celeridade processual</w:t>
      </w:r>
    </w:p>
    <w:p w14:paraId="4D1CA895" w14:textId="77777777" w:rsidR="00F3155A" w:rsidRPr="00F3155A" w:rsidRDefault="00F3155A">
      <w:pPr>
        <w:spacing w:line="360" w:lineRule="auto"/>
        <w:rPr>
          <w:sz w:val="24"/>
          <w:szCs w:val="24"/>
        </w:rPr>
      </w:pPr>
    </w:p>
    <w:p w14:paraId="4F9D34EB" w14:textId="77777777" w:rsidR="003E308B" w:rsidRDefault="00000000">
      <w:pPr>
        <w:spacing w:line="360" w:lineRule="auto"/>
        <w:rPr>
          <w:b/>
          <w:bCs/>
          <w:sz w:val="24"/>
          <w:szCs w:val="24"/>
        </w:rPr>
      </w:pPr>
      <w:r>
        <w:rPr>
          <w:b/>
          <w:bCs/>
          <w:sz w:val="24"/>
          <w:szCs w:val="24"/>
        </w:rPr>
        <w:t>4 RESULTADOS E DISCUSSÃO</w:t>
      </w:r>
    </w:p>
    <w:p w14:paraId="16B6A92F" w14:textId="77777777" w:rsidR="00F3155A" w:rsidRDefault="00F3155A">
      <w:pPr>
        <w:spacing w:line="360" w:lineRule="auto"/>
        <w:rPr>
          <w:b/>
          <w:bCs/>
          <w:sz w:val="24"/>
          <w:szCs w:val="24"/>
        </w:rPr>
      </w:pPr>
    </w:p>
    <w:p w14:paraId="060FA706" w14:textId="77777777" w:rsidR="00F3155A" w:rsidRDefault="00F3155A" w:rsidP="00F3155A">
      <w:pPr>
        <w:pStyle w:val="PargrafodaLista"/>
        <w:numPr>
          <w:ilvl w:val="1"/>
          <w:numId w:val="1"/>
        </w:numPr>
        <w:spacing w:after="0" w:line="360" w:lineRule="auto"/>
        <w:jc w:val="both"/>
        <w:rPr>
          <w:rFonts w:ascii="Times New Roman" w:hAnsi="Times New Roman" w:cs="Times New Roman"/>
          <w:b/>
          <w:bCs/>
          <w:sz w:val="24"/>
          <w:szCs w:val="24"/>
        </w:rPr>
      </w:pPr>
      <w:r w:rsidRPr="004D295D">
        <w:rPr>
          <w:rFonts w:ascii="Times New Roman" w:hAnsi="Times New Roman" w:cs="Times New Roman"/>
          <w:b/>
          <w:bCs/>
          <w:sz w:val="24"/>
          <w:szCs w:val="24"/>
        </w:rPr>
        <w:t>O PRINCÍPIO DA CELERIDADE PROCESSUAL</w:t>
      </w:r>
    </w:p>
    <w:p w14:paraId="21874482" w14:textId="77777777" w:rsidR="00F3155A" w:rsidRPr="004D295D" w:rsidRDefault="00F3155A" w:rsidP="00F3155A">
      <w:pPr>
        <w:spacing w:line="360" w:lineRule="auto"/>
        <w:ind w:firstLine="708"/>
        <w:jc w:val="both"/>
        <w:rPr>
          <w:sz w:val="24"/>
          <w:szCs w:val="24"/>
        </w:rPr>
      </w:pPr>
      <w:r w:rsidRPr="004D295D">
        <w:rPr>
          <w:sz w:val="24"/>
          <w:szCs w:val="24"/>
        </w:rPr>
        <w:t xml:space="preserve">A celeridade processual, enquanto princípio constitucional, representa uma conquista democrática de grande relevância. A </w:t>
      </w:r>
      <w:r w:rsidRPr="00914A2C">
        <w:rPr>
          <w:sz w:val="24"/>
          <w:szCs w:val="24"/>
        </w:rPr>
        <w:t xml:space="preserve">Emenda Constitucional n.º 45/2004, </w:t>
      </w:r>
      <w:r w:rsidRPr="004D295D">
        <w:rPr>
          <w:sz w:val="24"/>
          <w:szCs w:val="24"/>
        </w:rPr>
        <w:t>conhecida como a Reforma do Judiciário, inseriu expressamente no texto constitucional o direito à razoável duração do processo, conferindo-lhe status de garantia fundamental. Tal previsão reflete a compreensão de que a morosidade da justiça é, em si mesma, uma forma de injustiça.</w:t>
      </w:r>
    </w:p>
    <w:p w14:paraId="431CA25C" w14:textId="77777777" w:rsidR="00FE1FF3" w:rsidRDefault="00F3155A" w:rsidP="00FE1FF3">
      <w:pPr>
        <w:spacing w:after="200" w:line="360" w:lineRule="auto"/>
        <w:ind w:firstLine="708"/>
        <w:jc w:val="both"/>
        <w:rPr>
          <w:sz w:val="24"/>
          <w:szCs w:val="24"/>
        </w:rPr>
      </w:pPr>
      <w:r w:rsidRPr="004D295D">
        <w:rPr>
          <w:sz w:val="24"/>
          <w:szCs w:val="24"/>
        </w:rPr>
        <w:t>Na doutrina processual, THEODORO JUNIOR (2020) destaca que a efetividade do processo depende não apenas da correção das decisões judiciais, mas também da oportunidade com que são proferidas. Decisões tardias podem ser juridicamente perfeitas, mas materialmente ineficazes, pois o tempo transcorrido pode ter tornado o direito discutido esvaziado ou irreparável o dano causado pela demora.</w:t>
      </w:r>
    </w:p>
    <w:p w14:paraId="67499689" w14:textId="77777777" w:rsidR="00FE1FF3" w:rsidRDefault="00F3155A" w:rsidP="00FE1FF3">
      <w:pPr>
        <w:spacing w:after="200" w:line="360" w:lineRule="auto"/>
        <w:ind w:firstLine="708"/>
        <w:jc w:val="both"/>
        <w:rPr>
          <w:sz w:val="24"/>
          <w:szCs w:val="24"/>
        </w:rPr>
      </w:pPr>
      <w:r w:rsidRPr="004D295D">
        <w:rPr>
          <w:sz w:val="24"/>
          <w:szCs w:val="24"/>
        </w:rPr>
        <w:t xml:space="preserve">O princípio da celeridade não deve ser compreendido de forma isolada, mas em conjunto com outros princípios processuais, especialmente o do devido processo legal, o contraditório e a ampla defesa. Como adverte DINAMARCO (2018), a rapidez do processo não pode ser obtida à custa do sacrifício das garantias fundamentais das partes. </w:t>
      </w:r>
    </w:p>
    <w:p w14:paraId="41CA6E5C" w14:textId="77777777" w:rsidR="00FE1FF3" w:rsidRDefault="00FE1FF3" w:rsidP="00FE1FF3">
      <w:pPr>
        <w:spacing w:after="200" w:line="360" w:lineRule="auto"/>
        <w:ind w:firstLine="708"/>
        <w:jc w:val="both"/>
        <w:rPr>
          <w:sz w:val="24"/>
          <w:szCs w:val="24"/>
        </w:rPr>
      </w:pPr>
    </w:p>
    <w:p w14:paraId="16306499" w14:textId="77777777" w:rsidR="00FE1FF3" w:rsidRDefault="00FE1FF3" w:rsidP="00FE1FF3">
      <w:pPr>
        <w:spacing w:after="200" w:line="360" w:lineRule="auto"/>
        <w:ind w:firstLine="708"/>
        <w:jc w:val="both"/>
        <w:rPr>
          <w:sz w:val="24"/>
          <w:szCs w:val="24"/>
        </w:rPr>
      </w:pPr>
    </w:p>
    <w:p w14:paraId="069BA561" w14:textId="77777777" w:rsidR="00FE1FF3" w:rsidRDefault="00FE1FF3" w:rsidP="00FE1FF3">
      <w:pPr>
        <w:spacing w:after="200" w:line="360" w:lineRule="auto"/>
        <w:ind w:firstLine="708"/>
        <w:jc w:val="both"/>
        <w:rPr>
          <w:sz w:val="24"/>
          <w:szCs w:val="24"/>
        </w:rPr>
      </w:pPr>
    </w:p>
    <w:p w14:paraId="7F62A34F" w14:textId="31377E9E" w:rsidR="00F3155A" w:rsidRDefault="00F3155A" w:rsidP="00FE1FF3">
      <w:pPr>
        <w:spacing w:after="200" w:line="360" w:lineRule="auto"/>
        <w:ind w:firstLine="708"/>
        <w:jc w:val="both"/>
        <w:rPr>
          <w:sz w:val="24"/>
          <w:szCs w:val="24"/>
        </w:rPr>
      </w:pPr>
      <w:r w:rsidRPr="004D295D">
        <w:rPr>
          <w:sz w:val="24"/>
          <w:szCs w:val="24"/>
        </w:rPr>
        <w:t>O processo deve ser célere, mas não sumário ao ponto de comprometer a legitimidade das decisões judiciais.</w:t>
      </w:r>
      <w:r w:rsidR="00FE1FF3">
        <w:rPr>
          <w:sz w:val="24"/>
          <w:szCs w:val="24"/>
        </w:rPr>
        <w:t xml:space="preserve"> </w:t>
      </w:r>
      <w:r w:rsidRPr="004D295D">
        <w:rPr>
          <w:sz w:val="24"/>
          <w:szCs w:val="24"/>
        </w:rPr>
        <w:t xml:space="preserve">O Código de Processo Civil de 2015 incorporou esse entendimento ao estabelecer, em seu artigo 4º, que "as partes têm o direito de obter em prazo razoável a solução integral do mérito, incluída a </w:t>
      </w:r>
      <w:proofErr w:type="gramStart"/>
      <w:r w:rsidRPr="004D295D">
        <w:rPr>
          <w:sz w:val="24"/>
          <w:szCs w:val="24"/>
        </w:rPr>
        <w:t>atividade</w:t>
      </w:r>
      <w:r w:rsidR="00FE1FF3">
        <w:rPr>
          <w:sz w:val="24"/>
          <w:szCs w:val="24"/>
        </w:rPr>
        <w:t xml:space="preserve">  </w:t>
      </w:r>
      <w:r w:rsidRPr="004D295D">
        <w:rPr>
          <w:sz w:val="24"/>
          <w:szCs w:val="24"/>
        </w:rPr>
        <w:t>satisfativa</w:t>
      </w:r>
      <w:proofErr w:type="gramEnd"/>
      <w:r w:rsidRPr="004D295D">
        <w:rPr>
          <w:sz w:val="24"/>
          <w:szCs w:val="24"/>
        </w:rPr>
        <w:t>". Trata-se de uma norma-objetivo que orienta a interpretação e a aplicação de todo o sistema processual civil brasileiro</w:t>
      </w:r>
    </w:p>
    <w:p w14:paraId="65C93C99" w14:textId="500518A5" w:rsidR="00F3155A" w:rsidRPr="00F3155A" w:rsidRDefault="00F3155A" w:rsidP="00F3155A">
      <w:pPr>
        <w:pStyle w:val="PargrafodaLista"/>
        <w:numPr>
          <w:ilvl w:val="1"/>
          <w:numId w:val="2"/>
        </w:num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O SISTEMA RECURSAL BRASILEIRO E A CULTURA DO LITÍGIO</w:t>
      </w:r>
    </w:p>
    <w:p w14:paraId="0C368B42" w14:textId="77777777" w:rsidR="00F3155A" w:rsidRDefault="00F3155A" w:rsidP="00F3155A">
      <w:pPr>
        <w:spacing w:line="360" w:lineRule="auto"/>
        <w:ind w:firstLine="708"/>
        <w:jc w:val="both"/>
        <w:rPr>
          <w:sz w:val="24"/>
          <w:szCs w:val="24"/>
        </w:rPr>
      </w:pPr>
    </w:p>
    <w:p w14:paraId="3DD952CB" w14:textId="7426B68F" w:rsidR="00F3155A" w:rsidRPr="004D295D" w:rsidRDefault="00F3155A" w:rsidP="00F3155A">
      <w:pPr>
        <w:spacing w:line="360" w:lineRule="auto"/>
        <w:ind w:firstLine="708"/>
        <w:jc w:val="both"/>
        <w:rPr>
          <w:b/>
          <w:bCs/>
          <w:sz w:val="24"/>
          <w:szCs w:val="24"/>
        </w:rPr>
      </w:pPr>
      <w:r w:rsidRPr="004D295D">
        <w:rPr>
          <w:sz w:val="24"/>
          <w:szCs w:val="24"/>
        </w:rPr>
        <w:t>O sistema recursal brasileiro é historicamente marcado por sua amplitude e complexidade. A Constituição Federal prevê o duplo grau de jurisdição como garantia implícita do devido processo legal, e a legislação infraconstitucional regulamenta uma extensa gama de recursos, incluindo a apelação, o agravo de instrumento, o agravo interno, os embargos de declaração, o recurso especial, o recurso extraordinário, os embargos de divergência, entre outros.</w:t>
      </w:r>
    </w:p>
    <w:p w14:paraId="554A1355" w14:textId="77777777" w:rsidR="00F3155A" w:rsidRDefault="00F3155A" w:rsidP="00F3155A">
      <w:pPr>
        <w:spacing w:after="200" w:line="360" w:lineRule="auto"/>
        <w:ind w:firstLine="708"/>
        <w:jc w:val="both"/>
      </w:pPr>
      <w:r w:rsidRPr="004D295D">
        <w:rPr>
          <w:sz w:val="24"/>
          <w:szCs w:val="24"/>
        </w:rPr>
        <w:t>Segundo dados do Relatório Justiça em Números do Conselho Nacional de Justiça (CNJ, 2023), o Judiciário brasileiro contava com aproximadamente 81,4 milhões de processos pendentes de julgamento ao final do ano de 2022. Os tribunais superiores, em especial o Superior Tribunal de Justiça (STJ) e o Supremo Tribunal Federal (STF), recebem anualmente centenas de milhares de recursos, o que evidencia a utilização intensa dos instrumentos recursais no país.</w:t>
      </w:r>
    </w:p>
    <w:p w14:paraId="08D7AC28" w14:textId="77777777" w:rsidR="00FE1FF3" w:rsidRDefault="00FE1FF3" w:rsidP="00FE1FF3">
      <w:pPr>
        <w:spacing w:after="200" w:line="360" w:lineRule="auto"/>
        <w:ind w:firstLine="708"/>
        <w:jc w:val="both"/>
        <w:rPr>
          <w:sz w:val="24"/>
          <w:szCs w:val="24"/>
        </w:rPr>
      </w:pPr>
      <w:r>
        <w:rPr>
          <w:sz w:val="24"/>
          <w:szCs w:val="24"/>
        </w:rPr>
        <w:t xml:space="preserve">Neste sentido, </w:t>
      </w:r>
      <w:r w:rsidR="00F3155A" w:rsidRPr="004D295D">
        <w:rPr>
          <w:sz w:val="24"/>
          <w:szCs w:val="24"/>
        </w:rPr>
        <w:t>DIDIER JR. e CUNHA (2022) identificam que a multiplicidade de recursos existentes no direito brasileiro reflete, em parte, a desconfiança histórica das partes em relação às decisões judiciais de primeiro grau. Essa desconfiança, alimentada por uma cultura adversarial e por uma tradição jurídica que valoriza o exame exaustivo das questões pelos tribunais superiores, contribui para a utilização dos recursos não apenas como instrumentos de correção de injustiças, mas também como meios de protelar a execução de decisões desfavoráveis.</w:t>
      </w:r>
      <w:r>
        <w:t xml:space="preserve"> </w:t>
      </w:r>
      <w:r>
        <w:rPr>
          <w:sz w:val="24"/>
          <w:szCs w:val="24"/>
        </w:rPr>
        <w:t xml:space="preserve">Ainda corrobora com essa temática </w:t>
      </w:r>
      <w:r w:rsidR="00F3155A" w:rsidRPr="004D295D">
        <w:rPr>
          <w:sz w:val="24"/>
          <w:szCs w:val="24"/>
        </w:rPr>
        <w:t xml:space="preserve">MOREIRA (1999), </w:t>
      </w:r>
      <w:r>
        <w:rPr>
          <w:sz w:val="24"/>
          <w:szCs w:val="24"/>
        </w:rPr>
        <w:t xml:space="preserve">que </w:t>
      </w:r>
      <w:r w:rsidR="00F3155A" w:rsidRPr="004D295D">
        <w:rPr>
          <w:sz w:val="24"/>
          <w:szCs w:val="24"/>
        </w:rPr>
        <w:t xml:space="preserve">em obra clássica sobre o tema, já alertava para o problema dos recursos com fins protelatórios, defendendo que o sistema processual deveria criar mecanismos eficazes para desincentivar essa prática. O CPC/2015 buscou responder a esse desafio ao prever, em seu artigo 1.021, §4º, a imposição de </w:t>
      </w:r>
    </w:p>
    <w:p w14:paraId="35794134" w14:textId="77777777" w:rsidR="00FE1FF3" w:rsidRDefault="00FE1FF3" w:rsidP="00FE1FF3">
      <w:pPr>
        <w:spacing w:after="200" w:line="360" w:lineRule="auto"/>
        <w:ind w:firstLine="708"/>
        <w:jc w:val="both"/>
        <w:rPr>
          <w:sz w:val="24"/>
          <w:szCs w:val="24"/>
        </w:rPr>
      </w:pPr>
    </w:p>
    <w:p w14:paraId="0006AD92" w14:textId="77777777" w:rsidR="00FE1FF3" w:rsidRDefault="00FE1FF3" w:rsidP="00FE1FF3">
      <w:pPr>
        <w:spacing w:after="200" w:line="360" w:lineRule="auto"/>
        <w:ind w:firstLine="708"/>
        <w:jc w:val="both"/>
        <w:rPr>
          <w:sz w:val="24"/>
          <w:szCs w:val="24"/>
        </w:rPr>
      </w:pPr>
    </w:p>
    <w:p w14:paraId="1D04251F" w14:textId="77777777" w:rsidR="00FE1FF3" w:rsidRDefault="00FE1FF3" w:rsidP="00FE1FF3">
      <w:pPr>
        <w:spacing w:after="200" w:line="360" w:lineRule="auto"/>
        <w:ind w:firstLine="708"/>
        <w:jc w:val="both"/>
        <w:rPr>
          <w:sz w:val="24"/>
          <w:szCs w:val="24"/>
        </w:rPr>
      </w:pPr>
    </w:p>
    <w:p w14:paraId="46E8EA4B" w14:textId="1B3D62CD" w:rsidR="00F3155A" w:rsidRPr="00FE1FF3" w:rsidRDefault="00F3155A" w:rsidP="00FE1FF3">
      <w:pPr>
        <w:spacing w:after="200" w:line="360" w:lineRule="auto"/>
        <w:jc w:val="both"/>
      </w:pPr>
      <w:r w:rsidRPr="004D295D">
        <w:rPr>
          <w:sz w:val="24"/>
          <w:szCs w:val="24"/>
        </w:rPr>
        <w:t xml:space="preserve">multa </w:t>
      </w:r>
      <w:proofErr w:type="gramStart"/>
      <w:r w:rsidRPr="004D295D">
        <w:rPr>
          <w:sz w:val="24"/>
          <w:szCs w:val="24"/>
        </w:rPr>
        <w:t xml:space="preserve">de </w:t>
      </w:r>
      <w:r w:rsidR="00FE1FF3">
        <w:t xml:space="preserve"> </w:t>
      </w:r>
      <w:r w:rsidRPr="004D295D">
        <w:rPr>
          <w:sz w:val="24"/>
          <w:szCs w:val="24"/>
        </w:rPr>
        <w:t>até</w:t>
      </w:r>
      <w:proofErr w:type="gramEnd"/>
      <w:r w:rsidRPr="004D295D">
        <w:rPr>
          <w:sz w:val="24"/>
          <w:szCs w:val="24"/>
        </w:rPr>
        <w:t xml:space="preserve"> cinco por cento do valor atualizado da causa àquele que interpuser agravo interno manifestamente inadmissível ou infundado.</w:t>
      </w:r>
    </w:p>
    <w:p w14:paraId="590C58FA" w14:textId="19DB7F9C" w:rsidR="00F3155A" w:rsidRPr="00CB73D2" w:rsidRDefault="00F3155A" w:rsidP="00FE1FF3">
      <w:pPr>
        <w:spacing w:after="200" w:line="360" w:lineRule="auto"/>
        <w:ind w:firstLine="708"/>
        <w:jc w:val="both"/>
        <w:rPr>
          <w:sz w:val="24"/>
          <w:szCs w:val="24"/>
        </w:rPr>
      </w:pPr>
      <w:r w:rsidRPr="004D295D">
        <w:rPr>
          <w:sz w:val="24"/>
          <w:szCs w:val="24"/>
        </w:rPr>
        <w:t>A cultura do litígio, fenômeno cultural e sociológico que permeia a sociedade brasileira, é apontada por muitos estudiosos como um dos fatores mais relevantes para a sobrecarga do sistema judiciário.</w:t>
      </w:r>
      <w:r>
        <w:rPr>
          <w:sz w:val="24"/>
          <w:szCs w:val="24"/>
        </w:rPr>
        <w:t xml:space="preserve"> </w:t>
      </w:r>
      <w:r w:rsidRPr="004D295D">
        <w:rPr>
          <w:sz w:val="24"/>
          <w:szCs w:val="24"/>
        </w:rPr>
        <w:t>WATANABE (2005) sustenta que é necessário mudar a cultura da sentença</w:t>
      </w:r>
      <w:r w:rsidR="00FE1FF3">
        <w:rPr>
          <w:sz w:val="24"/>
          <w:szCs w:val="24"/>
        </w:rPr>
        <w:t xml:space="preserve"> </w:t>
      </w:r>
      <w:r w:rsidRPr="004D295D">
        <w:rPr>
          <w:sz w:val="24"/>
          <w:szCs w:val="24"/>
        </w:rPr>
        <w:t>para uma cultura da pacificação, estimulando os meios alternativos de resolução de conflitos, como a mediação e a conciliação, que foram expressamente valorizados pelo CPC/2015.</w:t>
      </w:r>
    </w:p>
    <w:p w14:paraId="7D9BD258" w14:textId="77777777" w:rsidR="00CB73D2" w:rsidRPr="005744A0" w:rsidRDefault="00CB73D2" w:rsidP="00CB73D2">
      <w:pPr>
        <w:pStyle w:val="PargrafodaLista"/>
        <w:numPr>
          <w:ilvl w:val="1"/>
          <w:numId w:val="1"/>
        </w:numPr>
        <w:spacing w:after="200" w:line="360" w:lineRule="auto"/>
        <w:ind w:left="720"/>
        <w:jc w:val="both"/>
        <w:rPr>
          <w:rFonts w:ascii="Times New Roman" w:eastAsia="Times New Roman" w:hAnsi="Times New Roman" w:cs="Times New Roman"/>
          <w:b/>
          <w:bCs/>
          <w:sz w:val="24"/>
          <w:szCs w:val="24"/>
        </w:rPr>
      </w:pPr>
      <w:r w:rsidRPr="005744A0">
        <w:rPr>
          <w:rFonts w:ascii="Times New Roman" w:eastAsia="Times New Roman" w:hAnsi="Times New Roman" w:cs="Times New Roman"/>
          <w:b/>
          <w:bCs/>
          <w:sz w:val="24"/>
          <w:szCs w:val="24"/>
        </w:rPr>
        <w:t>RECURSOS PROTELATÓRIO E ABUSO DO DIREITO DE RECORRER</w:t>
      </w:r>
    </w:p>
    <w:p w14:paraId="5DE17FF0" w14:textId="77777777" w:rsidR="00CB73D2" w:rsidRDefault="00CB73D2" w:rsidP="00CB73D2">
      <w:pPr>
        <w:spacing w:after="200" w:line="360" w:lineRule="auto"/>
        <w:ind w:firstLine="708"/>
        <w:jc w:val="both"/>
      </w:pPr>
      <w:r w:rsidRPr="005744A0">
        <w:rPr>
          <w:sz w:val="24"/>
          <w:szCs w:val="24"/>
        </w:rPr>
        <w:t>O abuso do direito de recorrer constitui um dos mais sérios problemas do processo civil contemporâneo. O uso dos recursos não como instrumentos de busca da justiça, mas como meios de retardar o cumprimento de decisões desfavoráveis, representa uma distorção que o sistema processual precisa combater de forma eficaz.</w:t>
      </w:r>
    </w:p>
    <w:p w14:paraId="2EF611B3" w14:textId="411391BE" w:rsidR="00CB73D2" w:rsidRDefault="00E64276" w:rsidP="00CB73D2">
      <w:pPr>
        <w:spacing w:after="200" w:line="360" w:lineRule="auto"/>
        <w:ind w:firstLine="708"/>
        <w:jc w:val="both"/>
      </w:pPr>
      <w:r>
        <w:rPr>
          <w:sz w:val="24"/>
          <w:szCs w:val="24"/>
        </w:rPr>
        <w:t xml:space="preserve">O autor </w:t>
      </w:r>
      <w:r w:rsidR="00CB73D2" w:rsidRPr="005744A0">
        <w:rPr>
          <w:sz w:val="24"/>
          <w:szCs w:val="24"/>
        </w:rPr>
        <w:t>CÂMARA (2020) identifica diversas manifestações do abuso recursal, entre as quais se destacam: a interposição de recursos manifestamente inadmissíveis, com o único propósito de suspender o prazo para o cumprimento de uma decisão; a oposição repetida de embargos de declaração sem que exista, de fato, qualquer omissão, obscuridade, contradição ou erro material a ser sanado; e a interposição de recursos com fundamentação genérica, sem a observância dos requisitos legais, apenas para forçar uma nova apreciação da causa.</w:t>
      </w:r>
    </w:p>
    <w:p w14:paraId="3111CF01" w14:textId="77777777" w:rsidR="00CB73D2" w:rsidRDefault="00CB73D2" w:rsidP="00CB73D2">
      <w:pPr>
        <w:spacing w:after="200" w:line="360" w:lineRule="auto"/>
        <w:ind w:firstLine="708"/>
        <w:jc w:val="both"/>
      </w:pPr>
      <w:r w:rsidRPr="005744A0">
        <w:rPr>
          <w:sz w:val="24"/>
          <w:szCs w:val="24"/>
        </w:rPr>
        <w:t>Os embargos de declaração merecem destaque especial nessa análise, pois são o recurso mais frequentemente utilizado com fins protelatórios no ordenamento jurídico brasileiro. De acordo com os dados do CNJ (2023), os embargos de declaração representam um percentual significativo dos recursos interpostos nos tribunais brasileiros, e grande parte deles é rejeitada por ausência dos requisitos legais.</w:t>
      </w:r>
    </w:p>
    <w:p w14:paraId="7839BAAB" w14:textId="77777777" w:rsidR="00E64276" w:rsidRDefault="00CB73D2" w:rsidP="00E64276">
      <w:pPr>
        <w:spacing w:after="200" w:line="360" w:lineRule="auto"/>
        <w:ind w:firstLine="708"/>
        <w:jc w:val="both"/>
        <w:rPr>
          <w:sz w:val="24"/>
          <w:szCs w:val="24"/>
        </w:rPr>
      </w:pPr>
      <w:r w:rsidRPr="005744A0">
        <w:rPr>
          <w:sz w:val="24"/>
          <w:szCs w:val="24"/>
        </w:rPr>
        <w:t xml:space="preserve">O CPC/2015 estabeleceu, em seu artigo 1.026, §§ 2º e 3º, que quando manifestamente protelatórios os embargos de declaração, o juiz ou o tribunal, em decisão fundamentada, imporá ao embargante multa não excedente a dois por cento sobre o valor atualizado da causa. Na reiteração de embargos protelatórios, a multa será elevada a até dez por cento, e a interposição </w:t>
      </w:r>
    </w:p>
    <w:p w14:paraId="7D24B04B" w14:textId="77777777" w:rsidR="00E64276" w:rsidRDefault="00E64276" w:rsidP="00E64276">
      <w:pPr>
        <w:spacing w:after="200" w:line="360" w:lineRule="auto"/>
        <w:ind w:firstLine="708"/>
        <w:jc w:val="both"/>
        <w:rPr>
          <w:sz w:val="24"/>
          <w:szCs w:val="24"/>
        </w:rPr>
      </w:pPr>
    </w:p>
    <w:p w14:paraId="49D0924E" w14:textId="59BB2FC6" w:rsidR="00E64276" w:rsidRDefault="00CB73D2" w:rsidP="00E64276">
      <w:pPr>
        <w:spacing w:after="200" w:line="360" w:lineRule="auto"/>
        <w:jc w:val="both"/>
      </w:pPr>
      <w:r w:rsidRPr="005744A0">
        <w:rPr>
          <w:sz w:val="24"/>
          <w:szCs w:val="24"/>
        </w:rPr>
        <w:t>de qualquer recurso ficará condicionada ao depósito prévio do valor correspondente, ressalvados os beneficiários de gratuidade de justiça.</w:t>
      </w:r>
    </w:p>
    <w:p w14:paraId="037A26C0" w14:textId="776A021F" w:rsidR="00F3155A" w:rsidRPr="00E64276" w:rsidRDefault="00CB73D2" w:rsidP="00E64276">
      <w:pPr>
        <w:spacing w:after="200" w:line="360" w:lineRule="auto"/>
        <w:ind w:firstLine="708"/>
        <w:jc w:val="both"/>
      </w:pPr>
      <w:r w:rsidRPr="005744A0">
        <w:rPr>
          <w:sz w:val="24"/>
          <w:szCs w:val="24"/>
        </w:rPr>
        <w:t>Contudo, como adverte NEVES (2021), a aplicação dessas sanções pelos tribunais ainda é tímida e pouco uniforme, o que reduz seu efeito dissuasório. A cultura de tolerância com os recursos protelatórios, enraizada na prática forense brasileira, contribui para a perpetuação do problema.</w:t>
      </w:r>
    </w:p>
    <w:p w14:paraId="2AA48BBC" w14:textId="38E064EF" w:rsidR="00F3155A" w:rsidRDefault="00000000">
      <w:pPr>
        <w:spacing w:line="360" w:lineRule="auto"/>
        <w:rPr>
          <w:b/>
          <w:bCs/>
          <w:sz w:val="24"/>
          <w:szCs w:val="24"/>
        </w:rPr>
      </w:pPr>
      <w:r>
        <w:rPr>
          <w:b/>
          <w:bCs/>
          <w:sz w:val="24"/>
          <w:szCs w:val="24"/>
        </w:rPr>
        <w:t>5 CONSIDERAÇÕES FINAIS</w:t>
      </w:r>
    </w:p>
    <w:p w14:paraId="1CC2BFD1" w14:textId="23578E54" w:rsidR="00F3155A" w:rsidRPr="00E64276" w:rsidRDefault="00F3155A" w:rsidP="00E64276">
      <w:pPr>
        <w:spacing w:after="200" w:line="360" w:lineRule="auto"/>
        <w:ind w:firstLine="708"/>
        <w:jc w:val="both"/>
        <w:rPr>
          <w:sz w:val="24"/>
          <w:szCs w:val="24"/>
        </w:rPr>
      </w:pPr>
      <w:r w:rsidRPr="00EC4B89">
        <w:rPr>
          <w:sz w:val="24"/>
          <w:szCs w:val="24"/>
        </w:rPr>
        <w:t xml:space="preserve">A análise empreendida ao longo do presente artigo permite concluir que a tensão entre celeridade processual e o sistema recursal constitui um dos desafios mais complexos e persistentes do direito processual contemporâneo. Trata-se de uma antinomia aparente: de um lado, o direito fundamental à razoável duração do processo, que exige respostas rápidas </w:t>
      </w:r>
      <w:proofErr w:type="gramStart"/>
      <w:r w:rsidRPr="00EC4B89">
        <w:rPr>
          <w:sz w:val="24"/>
          <w:szCs w:val="24"/>
        </w:rPr>
        <w:t xml:space="preserve">do </w:t>
      </w:r>
      <w:r w:rsidR="00E64276">
        <w:rPr>
          <w:sz w:val="24"/>
          <w:szCs w:val="24"/>
        </w:rPr>
        <w:t xml:space="preserve"> </w:t>
      </w:r>
      <w:r w:rsidRPr="00EC4B89">
        <w:rPr>
          <w:sz w:val="24"/>
          <w:szCs w:val="24"/>
        </w:rPr>
        <w:t>Judiciário</w:t>
      </w:r>
      <w:proofErr w:type="gramEnd"/>
      <w:r w:rsidRPr="00EC4B89">
        <w:rPr>
          <w:sz w:val="24"/>
          <w:szCs w:val="24"/>
        </w:rPr>
        <w:t>; de outro, as garantias do duplo grau de jurisdição, do contraditório e da ampla defesa, que demandam tempo para sua plena realização.</w:t>
      </w:r>
    </w:p>
    <w:p w14:paraId="76456B9F" w14:textId="77777777" w:rsidR="00F3155A" w:rsidRDefault="00F3155A" w:rsidP="00F3155A">
      <w:pPr>
        <w:spacing w:after="200" w:line="360" w:lineRule="auto"/>
        <w:ind w:firstLine="708"/>
        <w:jc w:val="both"/>
      </w:pPr>
      <w:r w:rsidRPr="00EC4B89">
        <w:rPr>
          <w:sz w:val="24"/>
          <w:szCs w:val="24"/>
        </w:rPr>
        <w:t>O equilíbrio entre esses valores não é tarefa simples, tampouco pode ser alcançado por uma única medida ou reforma legislativa. A experiência brasileira demonstra que as sucessivas tentativas de simplificação do sistema recursal, embora necessárias e bem-vindas, são insuficientes sem uma transformação mais profunda da cultura jurídica do país. A superação da cultura do litígio e da postura protelatória de alguns litigantes, especialmente os habituais, como o Estado e as grandes empresas, é condição indispensável para que as reformas processuais produzam os efeitos desejados.</w:t>
      </w:r>
    </w:p>
    <w:p w14:paraId="603EA387" w14:textId="77777777" w:rsidR="00F3155A" w:rsidRDefault="00F3155A" w:rsidP="00F3155A">
      <w:pPr>
        <w:spacing w:after="200" w:line="360" w:lineRule="auto"/>
        <w:ind w:firstLine="708"/>
        <w:jc w:val="both"/>
      </w:pPr>
      <w:r w:rsidRPr="00EC4B89">
        <w:rPr>
          <w:sz w:val="24"/>
          <w:szCs w:val="24"/>
        </w:rPr>
        <w:t>O CPC/2015 avançou significativamente nesse sentido, ao introduzir o sistema de precedentes obrigatórios, o incidente de resolução de demandas repetitivas, as sanções para recursos protelatórios e a valorização dos meios alternativos de resolução de conflitos. Contudo, a efetividade dessas inovações depende de uma aplicação consistente e uniforme pelos tribunais, bem como de um engajamento genuíno de todos os atores do sistema de justiça: juízes, advogados, promotores e partes.</w:t>
      </w:r>
    </w:p>
    <w:p w14:paraId="0C2889CA" w14:textId="77777777" w:rsidR="00E64276" w:rsidRDefault="00F3155A" w:rsidP="00E64276">
      <w:pPr>
        <w:spacing w:after="200" w:line="360" w:lineRule="auto"/>
        <w:ind w:firstLine="708"/>
        <w:jc w:val="both"/>
        <w:rPr>
          <w:sz w:val="24"/>
          <w:szCs w:val="24"/>
        </w:rPr>
      </w:pPr>
      <w:r w:rsidRPr="00EC4B89">
        <w:rPr>
          <w:sz w:val="24"/>
          <w:szCs w:val="24"/>
        </w:rPr>
        <w:t xml:space="preserve">O direito a um processo justo não se resume ao direito a um processo formalmente correto, mas inclui o direito a um processo que produza resultados em tempo útil. A morosidade </w:t>
      </w:r>
    </w:p>
    <w:p w14:paraId="0D0AD625" w14:textId="77777777" w:rsidR="00E64276" w:rsidRDefault="00E64276" w:rsidP="00E64276">
      <w:pPr>
        <w:spacing w:after="200" w:line="360" w:lineRule="auto"/>
        <w:ind w:firstLine="708"/>
        <w:jc w:val="both"/>
        <w:rPr>
          <w:sz w:val="24"/>
          <w:szCs w:val="24"/>
        </w:rPr>
      </w:pPr>
    </w:p>
    <w:p w14:paraId="0F8FBD82" w14:textId="77777777" w:rsidR="00E64276" w:rsidRDefault="00E64276" w:rsidP="00E64276">
      <w:pPr>
        <w:spacing w:after="200" w:line="360" w:lineRule="auto"/>
        <w:ind w:firstLine="708"/>
        <w:jc w:val="both"/>
        <w:rPr>
          <w:sz w:val="24"/>
          <w:szCs w:val="24"/>
        </w:rPr>
      </w:pPr>
    </w:p>
    <w:p w14:paraId="5E145A1E" w14:textId="73C60A8D" w:rsidR="00F3155A" w:rsidRDefault="00F3155A" w:rsidP="00E64276">
      <w:pPr>
        <w:spacing w:after="200" w:line="360" w:lineRule="auto"/>
        <w:jc w:val="both"/>
      </w:pPr>
      <w:r w:rsidRPr="00EC4B89">
        <w:rPr>
          <w:sz w:val="24"/>
          <w:szCs w:val="24"/>
        </w:rPr>
        <w:t>da justiça não apenas nega direitos, mas desgasta a confiança dos cidadãos nas instituições democráticas, com consequências que vão muito além dos litigantes individuais.</w:t>
      </w:r>
    </w:p>
    <w:p w14:paraId="4DD21633" w14:textId="77777777" w:rsidR="00F3155A" w:rsidRPr="00B302C3" w:rsidRDefault="00F3155A" w:rsidP="00F3155A">
      <w:pPr>
        <w:spacing w:line="360" w:lineRule="auto"/>
        <w:ind w:firstLine="708"/>
        <w:jc w:val="both"/>
        <w:rPr>
          <w:sz w:val="24"/>
          <w:szCs w:val="24"/>
        </w:rPr>
      </w:pPr>
      <w:r w:rsidRPr="00EC4B89">
        <w:rPr>
          <w:sz w:val="24"/>
          <w:szCs w:val="24"/>
        </w:rPr>
        <w:t>Por fim, conclui-se que a solução para o problema da celeridade processual passa pela combinação de múltiplos fatores: reformas legislativas que racionalizem o sistema recursal sem violar garantias constitucionais; investimento em tecnologia e gestão judiciária; difusão dos meios alternativos de resolução de conflitos; e, sobretudo, a construção de uma nova cultura jurídica que valorize a efetividade e a tempestividade da prestação jurisdicional como expressões concretas da Justiça</w:t>
      </w:r>
      <w:r>
        <w:rPr>
          <w:sz w:val="24"/>
          <w:szCs w:val="24"/>
        </w:rPr>
        <w:t>.</w:t>
      </w:r>
    </w:p>
    <w:p w14:paraId="608C164B" w14:textId="77777777" w:rsidR="003E308B" w:rsidRDefault="003E308B">
      <w:pPr>
        <w:spacing w:line="360" w:lineRule="auto"/>
        <w:rPr>
          <w:b/>
          <w:bCs/>
          <w:sz w:val="24"/>
          <w:szCs w:val="24"/>
        </w:rPr>
      </w:pPr>
    </w:p>
    <w:p w14:paraId="79402E8F" w14:textId="77777777" w:rsidR="003E308B" w:rsidRDefault="00000000">
      <w:pPr>
        <w:spacing w:line="360" w:lineRule="auto"/>
        <w:jc w:val="center"/>
        <w:rPr>
          <w:b/>
          <w:bCs/>
          <w:sz w:val="24"/>
          <w:szCs w:val="24"/>
        </w:rPr>
      </w:pPr>
      <w:r>
        <w:rPr>
          <w:b/>
          <w:bCs/>
          <w:sz w:val="24"/>
          <w:szCs w:val="24"/>
        </w:rPr>
        <w:t>REFERÊNCIAS</w:t>
      </w:r>
    </w:p>
    <w:p w14:paraId="2E4712B2" w14:textId="77777777" w:rsidR="003E308B" w:rsidRDefault="003E308B">
      <w:pPr>
        <w:spacing w:line="360" w:lineRule="auto"/>
        <w:ind w:hanging="1418"/>
        <w:rPr>
          <w:sz w:val="24"/>
          <w:szCs w:val="24"/>
        </w:rPr>
      </w:pPr>
    </w:p>
    <w:p w14:paraId="1B74EE6E" w14:textId="77777777" w:rsidR="00AE69CF" w:rsidRDefault="00AE69CF" w:rsidP="00AE69CF">
      <w:pPr>
        <w:spacing w:after="200" w:line="480" w:lineRule="auto"/>
        <w:ind w:left="142"/>
      </w:pPr>
      <w:r>
        <w:rPr>
          <w:sz w:val="24"/>
          <w:szCs w:val="24"/>
        </w:rPr>
        <w:t xml:space="preserve">DIDIER JR., </w:t>
      </w:r>
      <w:proofErr w:type="spellStart"/>
      <w:r>
        <w:rPr>
          <w:sz w:val="24"/>
          <w:szCs w:val="24"/>
        </w:rPr>
        <w:t>Fredie</w:t>
      </w:r>
      <w:proofErr w:type="spellEnd"/>
      <w:r>
        <w:rPr>
          <w:sz w:val="24"/>
          <w:szCs w:val="24"/>
        </w:rPr>
        <w:t xml:space="preserve"> (Coord.). Julgamento de casos repetitivos. Salvador: </w:t>
      </w:r>
      <w:proofErr w:type="spellStart"/>
      <w:r>
        <w:rPr>
          <w:sz w:val="24"/>
          <w:szCs w:val="24"/>
        </w:rPr>
        <w:t>JusPodivm</w:t>
      </w:r>
      <w:proofErr w:type="spellEnd"/>
      <w:r>
        <w:rPr>
          <w:sz w:val="24"/>
          <w:szCs w:val="24"/>
        </w:rPr>
        <w:t>, 2016.</w:t>
      </w:r>
    </w:p>
    <w:p w14:paraId="6FEBA6C8" w14:textId="77777777" w:rsidR="00AE69CF" w:rsidRDefault="00AE69CF" w:rsidP="00AE69CF">
      <w:pPr>
        <w:spacing w:after="200" w:line="480" w:lineRule="auto"/>
        <w:ind w:left="142"/>
      </w:pPr>
      <w:r>
        <w:rPr>
          <w:sz w:val="24"/>
          <w:szCs w:val="24"/>
        </w:rPr>
        <w:t>BRASIL. Constituição da República Federativa do Brasil de 1988. Brasília: Senado Federal, 1988.</w:t>
      </w:r>
    </w:p>
    <w:p w14:paraId="157DCE24" w14:textId="1659EC62" w:rsidR="00AE69CF" w:rsidRDefault="00AE69CF" w:rsidP="00AE69CF">
      <w:pPr>
        <w:spacing w:after="200" w:line="480" w:lineRule="auto"/>
        <w:ind w:left="142"/>
        <w:rPr>
          <w:sz w:val="24"/>
          <w:szCs w:val="24"/>
        </w:rPr>
      </w:pPr>
      <w:r>
        <w:rPr>
          <w:sz w:val="24"/>
          <w:szCs w:val="24"/>
        </w:rPr>
        <w:t xml:space="preserve">BRASIL. Lei n.º 13.105, de 16 de março de 2015. </w:t>
      </w:r>
      <w:r w:rsidRPr="00914A2C">
        <w:rPr>
          <w:b/>
          <w:bCs/>
          <w:sz w:val="24"/>
          <w:szCs w:val="24"/>
        </w:rPr>
        <w:t>Código de Processo Civil</w:t>
      </w:r>
      <w:r>
        <w:rPr>
          <w:sz w:val="24"/>
          <w:szCs w:val="24"/>
        </w:rPr>
        <w:t>. Diário Oficial da União, Brasília, 17 mar. 2015.</w:t>
      </w:r>
    </w:p>
    <w:p w14:paraId="1B4B202E" w14:textId="2D25D8C7" w:rsidR="00CB73D2" w:rsidRPr="00E64276" w:rsidRDefault="00CB73D2" w:rsidP="00E64276">
      <w:pPr>
        <w:spacing w:after="200" w:line="480" w:lineRule="auto"/>
        <w:ind w:left="142"/>
      </w:pPr>
      <w:r>
        <w:rPr>
          <w:sz w:val="24"/>
          <w:szCs w:val="24"/>
        </w:rPr>
        <w:t xml:space="preserve">CÂMARA, Alexandre Freitas. </w:t>
      </w:r>
      <w:r w:rsidRPr="00914A2C">
        <w:rPr>
          <w:b/>
          <w:bCs/>
          <w:sz w:val="24"/>
          <w:szCs w:val="24"/>
        </w:rPr>
        <w:t>O novo processo civil brasileiro</w:t>
      </w:r>
      <w:r>
        <w:rPr>
          <w:sz w:val="24"/>
          <w:szCs w:val="24"/>
        </w:rPr>
        <w:t>. 7. ed. São Paulo: Atlas, 2020.</w:t>
      </w:r>
    </w:p>
    <w:p w14:paraId="62305167" w14:textId="2C1E4C92" w:rsidR="00CB73D2" w:rsidRPr="00CB73D2" w:rsidRDefault="00AE69CF" w:rsidP="00CB73D2">
      <w:pPr>
        <w:spacing w:after="200" w:line="480" w:lineRule="auto"/>
        <w:ind w:left="142"/>
      </w:pPr>
      <w:r>
        <w:rPr>
          <w:sz w:val="24"/>
          <w:szCs w:val="24"/>
        </w:rPr>
        <w:t xml:space="preserve">CONSELHO NACIONAL DE JUSTIÇA (CNJ). Justiça em Números 2023: ano-base 2022. Brasília: CNJ, 2023. Disponível em: https://www.cnj.jus.br/pesquisas-judiciarias/justica-em-numeros/. Acesso em: 09 de </w:t>
      </w:r>
      <w:proofErr w:type="gramStart"/>
      <w:r>
        <w:rPr>
          <w:sz w:val="24"/>
          <w:szCs w:val="24"/>
        </w:rPr>
        <w:t>Junho</w:t>
      </w:r>
      <w:proofErr w:type="gramEnd"/>
      <w:r>
        <w:rPr>
          <w:sz w:val="24"/>
          <w:szCs w:val="24"/>
        </w:rPr>
        <w:t xml:space="preserve"> de 2026.</w:t>
      </w:r>
    </w:p>
    <w:p w14:paraId="5AE1572B" w14:textId="77777777" w:rsidR="00E64276" w:rsidRDefault="00E64276" w:rsidP="00CB73D2">
      <w:pPr>
        <w:spacing w:after="200" w:line="480" w:lineRule="auto"/>
        <w:ind w:left="142"/>
        <w:rPr>
          <w:sz w:val="24"/>
          <w:szCs w:val="24"/>
        </w:rPr>
      </w:pPr>
    </w:p>
    <w:p w14:paraId="711D1B02" w14:textId="77777777" w:rsidR="00E64276" w:rsidRDefault="00E64276" w:rsidP="00CB73D2">
      <w:pPr>
        <w:spacing w:after="200" w:line="480" w:lineRule="auto"/>
        <w:ind w:left="142"/>
        <w:rPr>
          <w:sz w:val="24"/>
          <w:szCs w:val="24"/>
        </w:rPr>
      </w:pPr>
    </w:p>
    <w:p w14:paraId="58C03A85" w14:textId="77777777" w:rsidR="00E64276" w:rsidRDefault="00E64276" w:rsidP="00CB73D2">
      <w:pPr>
        <w:spacing w:after="200" w:line="480" w:lineRule="auto"/>
        <w:ind w:left="142"/>
        <w:rPr>
          <w:sz w:val="24"/>
          <w:szCs w:val="24"/>
        </w:rPr>
      </w:pPr>
    </w:p>
    <w:p w14:paraId="5986D03B" w14:textId="04A21304" w:rsidR="00CB73D2" w:rsidRPr="00CB73D2" w:rsidRDefault="00AE69CF" w:rsidP="00CB73D2">
      <w:pPr>
        <w:spacing w:after="200" w:line="480" w:lineRule="auto"/>
        <w:ind w:left="142"/>
      </w:pPr>
      <w:r>
        <w:rPr>
          <w:sz w:val="24"/>
          <w:szCs w:val="24"/>
        </w:rPr>
        <w:t xml:space="preserve">DIDIER JR., </w:t>
      </w:r>
      <w:proofErr w:type="spellStart"/>
      <w:r>
        <w:rPr>
          <w:sz w:val="24"/>
          <w:szCs w:val="24"/>
        </w:rPr>
        <w:t>Fredie</w:t>
      </w:r>
      <w:proofErr w:type="spellEnd"/>
      <w:r>
        <w:rPr>
          <w:sz w:val="24"/>
          <w:szCs w:val="24"/>
        </w:rPr>
        <w:t xml:space="preserve">; CUNHA, Leonardo Carneiro da. </w:t>
      </w:r>
      <w:r w:rsidRPr="00EC4B89">
        <w:rPr>
          <w:b/>
          <w:bCs/>
          <w:sz w:val="24"/>
          <w:szCs w:val="24"/>
        </w:rPr>
        <w:t>Curso de direito processual civil:</w:t>
      </w:r>
      <w:r>
        <w:rPr>
          <w:sz w:val="24"/>
          <w:szCs w:val="24"/>
        </w:rPr>
        <w:t xml:space="preserve"> meios de impugnação às decisões judiciais e processo nos tribunais. 19. ed. Salvador: </w:t>
      </w:r>
      <w:proofErr w:type="spellStart"/>
      <w:r>
        <w:rPr>
          <w:sz w:val="24"/>
          <w:szCs w:val="24"/>
        </w:rPr>
        <w:t>JusPodivm</w:t>
      </w:r>
      <w:proofErr w:type="spellEnd"/>
      <w:r>
        <w:rPr>
          <w:sz w:val="24"/>
          <w:szCs w:val="24"/>
        </w:rPr>
        <w:t>, 2022. v. 3.</w:t>
      </w:r>
    </w:p>
    <w:p w14:paraId="6AE992D5" w14:textId="0E226B9B" w:rsidR="00AE69CF" w:rsidRDefault="00AE69CF" w:rsidP="00AE69CF">
      <w:pPr>
        <w:spacing w:after="200" w:line="480" w:lineRule="auto"/>
        <w:ind w:left="142"/>
      </w:pPr>
      <w:r>
        <w:rPr>
          <w:sz w:val="24"/>
          <w:szCs w:val="24"/>
        </w:rPr>
        <w:t xml:space="preserve">DINAMARCO, Cândido Rangel. </w:t>
      </w:r>
      <w:r w:rsidRPr="00EC4B89">
        <w:rPr>
          <w:b/>
          <w:bCs/>
          <w:sz w:val="24"/>
          <w:szCs w:val="24"/>
        </w:rPr>
        <w:t>A instrumentalidade do processo</w:t>
      </w:r>
      <w:r>
        <w:rPr>
          <w:sz w:val="24"/>
          <w:szCs w:val="24"/>
        </w:rPr>
        <w:t>. 16. ed. São Paulo: Malheiros, 2018.</w:t>
      </w:r>
    </w:p>
    <w:p w14:paraId="1DB2E21A" w14:textId="77777777" w:rsidR="00AE69CF" w:rsidRDefault="00AE69CF" w:rsidP="00AE69CF">
      <w:pPr>
        <w:spacing w:after="200" w:line="480" w:lineRule="auto"/>
        <w:ind w:left="142"/>
        <w:rPr>
          <w:sz w:val="24"/>
          <w:szCs w:val="24"/>
        </w:rPr>
      </w:pPr>
      <w:r>
        <w:rPr>
          <w:sz w:val="24"/>
          <w:szCs w:val="24"/>
        </w:rPr>
        <w:t xml:space="preserve">GRINOVER, Ada Pellegrini; FERNANDES, </w:t>
      </w:r>
      <w:proofErr w:type="spellStart"/>
      <w:r>
        <w:rPr>
          <w:sz w:val="24"/>
          <w:szCs w:val="24"/>
        </w:rPr>
        <w:t>Antonio</w:t>
      </w:r>
      <w:proofErr w:type="spellEnd"/>
      <w:r>
        <w:rPr>
          <w:sz w:val="24"/>
          <w:szCs w:val="24"/>
        </w:rPr>
        <w:t xml:space="preserve"> </w:t>
      </w:r>
      <w:proofErr w:type="spellStart"/>
      <w:r>
        <w:rPr>
          <w:sz w:val="24"/>
          <w:szCs w:val="24"/>
        </w:rPr>
        <w:t>Scarance</w:t>
      </w:r>
      <w:proofErr w:type="spellEnd"/>
      <w:r>
        <w:rPr>
          <w:sz w:val="24"/>
          <w:szCs w:val="24"/>
        </w:rPr>
        <w:t xml:space="preserve">; GOMES FILHO, </w:t>
      </w:r>
      <w:proofErr w:type="spellStart"/>
      <w:r>
        <w:rPr>
          <w:sz w:val="24"/>
          <w:szCs w:val="24"/>
        </w:rPr>
        <w:t>Antonio</w:t>
      </w:r>
      <w:proofErr w:type="spellEnd"/>
      <w:r>
        <w:rPr>
          <w:sz w:val="24"/>
          <w:szCs w:val="24"/>
        </w:rPr>
        <w:t xml:space="preserve"> Magalhães. As nulidades no processo penal. 13. ed. São Paulo: </w:t>
      </w:r>
      <w:r w:rsidRPr="00EC4B89">
        <w:rPr>
          <w:b/>
          <w:bCs/>
          <w:sz w:val="24"/>
          <w:szCs w:val="24"/>
        </w:rPr>
        <w:t>Revista dos Tribunais</w:t>
      </w:r>
      <w:r>
        <w:rPr>
          <w:sz w:val="24"/>
          <w:szCs w:val="24"/>
        </w:rPr>
        <w:t>, 2015.</w:t>
      </w:r>
    </w:p>
    <w:p w14:paraId="76805240" w14:textId="77777777" w:rsidR="00CB73D2" w:rsidRDefault="00CB73D2" w:rsidP="00CB73D2">
      <w:pPr>
        <w:spacing w:after="200" w:line="480" w:lineRule="auto"/>
        <w:ind w:left="142"/>
      </w:pPr>
      <w:r>
        <w:rPr>
          <w:sz w:val="24"/>
          <w:szCs w:val="24"/>
        </w:rPr>
        <w:t xml:space="preserve">NEVES, Daniel Amorim Assumpção. </w:t>
      </w:r>
      <w:r w:rsidRPr="00EC4B89">
        <w:rPr>
          <w:b/>
          <w:bCs/>
          <w:sz w:val="24"/>
          <w:szCs w:val="24"/>
        </w:rPr>
        <w:t>Manual de direito processual civil</w:t>
      </w:r>
      <w:r>
        <w:rPr>
          <w:sz w:val="24"/>
          <w:szCs w:val="24"/>
        </w:rPr>
        <w:t xml:space="preserve">. 13. ed. Salvador: </w:t>
      </w:r>
      <w:proofErr w:type="spellStart"/>
      <w:r>
        <w:rPr>
          <w:sz w:val="24"/>
          <w:szCs w:val="24"/>
        </w:rPr>
        <w:t>JusPodivm</w:t>
      </w:r>
      <w:proofErr w:type="spellEnd"/>
      <w:r>
        <w:rPr>
          <w:sz w:val="24"/>
          <w:szCs w:val="24"/>
        </w:rPr>
        <w:t>, 2021.</w:t>
      </w:r>
    </w:p>
    <w:p w14:paraId="5F4F0BB0" w14:textId="77777777" w:rsidR="00CB73D2" w:rsidRDefault="00CB73D2" w:rsidP="00AE69CF">
      <w:pPr>
        <w:spacing w:after="200" w:line="480" w:lineRule="auto"/>
        <w:ind w:left="142"/>
      </w:pPr>
    </w:p>
    <w:p w14:paraId="7202AE6D" w14:textId="77777777" w:rsidR="003E308B" w:rsidRDefault="003E308B">
      <w:pPr>
        <w:pBdr>
          <w:top w:val="nil"/>
          <w:left w:val="nil"/>
          <w:bottom w:val="nil"/>
          <w:right w:val="nil"/>
          <w:between w:val="nil"/>
        </w:pBdr>
        <w:tabs>
          <w:tab w:val="center" w:pos="4252"/>
          <w:tab w:val="right" w:pos="8504"/>
        </w:tabs>
        <w:rPr>
          <w:color w:val="000000"/>
        </w:rPr>
      </w:pPr>
    </w:p>
    <w:sectPr w:rsidR="003E308B">
      <w:headerReference w:type="default" r:id="rId7"/>
      <w:footerReference w:type="default" r:id="rId8"/>
      <w:pgSz w:w="11906" w:h="16840"/>
      <w:pgMar w:top="1701" w:right="1134" w:bottom="1134"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C8793" w14:textId="77777777" w:rsidR="002847A7" w:rsidRDefault="002847A7">
      <w:r>
        <w:separator/>
      </w:r>
    </w:p>
  </w:endnote>
  <w:endnote w:type="continuationSeparator" w:id="0">
    <w:p w14:paraId="2A044D47" w14:textId="77777777" w:rsidR="002847A7" w:rsidRDefault="002847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878834A3-DA0D-4B43-9FF9-F7AEF33F803B}"/>
  </w:font>
  <w:font w:name="Cambria">
    <w:panose1 w:val="02040503050406030204"/>
    <w:charset w:val="00"/>
    <w:family w:val="roman"/>
    <w:pitch w:val="variable"/>
    <w:sig w:usb0="E00006FF" w:usb1="420024FF" w:usb2="02000000" w:usb3="00000000" w:csb0="0000019F" w:csb1="00000000"/>
    <w:embedRegular r:id="rId2" w:fontKey="{A744C273-D2C1-4C87-A617-0FE0CF05972A}"/>
    <w:embedBold r:id="rId3" w:fontKey="{A063E9A0-07E9-403B-BFFD-49840733FEC4}"/>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4" w:fontKey="{23EAD52A-FF5F-4EDF-9B9C-FD601796231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F2429" w14:textId="77777777" w:rsidR="003E308B" w:rsidRDefault="00000000">
    <w:pPr>
      <w:pBdr>
        <w:top w:val="nil"/>
        <w:left w:val="nil"/>
        <w:bottom w:val="nil"/>
        <w:right w:val="nil"/>
        <w:between w:val="nil"/>
      </w:pBdr>
      <w:tabs>
        <w:tab w:val="center" w:pos="4252"/>
        <w:tab w:val="right" w:pos="8504"/>
      </w:tabs>
      <w:ind w:hanging="1418"/>
      <w:rPr>
        <w:color w:val="000000"/>
      </w:rPr>
    </w:pPr>
    <w:r>
      <w:rPr>
        <w:noProof/>
      </w:rPr>
      <w:drawing>
        <wp:anchor distT="0" distB="0" distL="0" distR="0" simplePos="0" relativeHeight="251659264" behindDoc="1" locked="0" layoutInCell="1" hidden="0" allowOverlap="1" wp14:anchorId="74AAC070" wp14:editId="55A570FD">
          <wp:simplePos x="0" y="0"/>
          <wp:positionH relativeFrom="column">
            <wp:posOffset>-161924</wp:posOffset>
          </wp:positionH>
          <wp:positionV relativeFrom="paragraph">
            <wp:posOffset>0</wp:posOffset>
          </wp:positionV>
          <wp:extent cx="5643037" cy="103759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4411" b="4411"/>
                  <a:stretch>
                    <a:fillRect/>
                  </a:stretch>
                </pic:blipFill>
                <pic:spPr>
                  <a:xfrm>
                    <a:off x="0" y="0"/>
                    <a:ext cx="5643037" cy="1037590"/>
                  </a:xfrm>
                  <a:prstGeom prst="rect">
                    <a:avLst/>
                  </a:prstGeom>
                  <a:ln/>
                </pic:spPr>
              </pic:pic>
            </a:graphicData>
          </a:graphic>
        </wp:anchor>
      </w:drawing>
    </w:r>
  </w:p>
  <w:p w14:paraId="449B241E" w14:textId="77777777" w:rsidR="003E308B" w:rsidRDefault="003E308B">
    <w:pPr>
      <w:pBdr>
        <w:top w:val="nil"/>
        <w:left w:val="nil"/>
        <w:bottom w:val="nil"/>
        <w:right w:val="nil"/>
        <w:between w:val="nil"/>
      </w:pBdr>
      <w:tabs>
        <w:tab w:val="center" w:pos="4252"/>
        <w:tab w:val="right" w:pos="8504"/>
      </w:tabs>
      <w:ind w:hanging="1418"/>
      <w:rPr>
        <w:color w:val="000000"/>
      </w:rPr>
    </w:pPr>
  </w:p>
  <w:p w14:paraId="0EC569F8" w14:textId="77777777" w:rsidR="003E308B" w:rsidRDefault="003E308B">
    <w:pPr>
      <w:pBdr>
        <w:top w:val="nil"/>
        <w:left w:val="nil"/>
        <w:bottom w:val="nil"/>
        <w:right w:val="nil"/>
        <w:between w:val="nil"/>
      </w:pBdr>
      <w:tabs>
        <w:tab w:val="center" w:pos="4252"/>
        <w:tab w:val="right" w:pos="8504"/>
      </w:tabs>
      <w:ind w:hanging="1418"/>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EC67B" w14:textId="77777777" w:rsidR="002847A7" w:rsidRDefault="002847A7">
      <w:r>
        <w:separator/>
      </w:r>
    </w:p>
  </w:footnote>
  <w:footnote w:type="continuationSeparator" w:id="0">
    <w:p w14:paraId="72AA25F9" w14:textId="77777777" w:rsidR="002847A7" w:rsidRDefault="002847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A8C52" w14:textId="77777777" w:rsidR="003E308B" w:rsidRDefault="00000000">
    <w:pPr>
      <w:pBdr>
        <w:top w:val="nil"/>
        <w:left w:val="nil"/>
        <w:bottom w:val="nil"/>
        <w:right w:val="nil"/>
        <w:between w:val="nil"/>
      </w:pBdr>
      <w:tabs>
        <w:tab w:val="center" w:pos="4252"/>
        <w:tab w:val="right" w:pos="8504"/>
        <w:tab w:val="left" w:pos="2595"/>
        <w:tab w:val="left" w:pos="7670"/>
      </w:tabs>
      <w:rPr>
        <w:color w:val="000000"/>
      </w:rPr>
    </w:pPr>
    <w:r>
      <w:rPr>
        <w:color w:val="000000"/>
      </w:rPr>
      <w:tab/>
    </w:r>
    <w:r>
      <w:rPr>
        <w:color w:val="000000"/>
      </w:rPr>
      <w:tab/>
    </w:r>
    <w:r>
      <w:rPr>
        <w:noProof/>
      </w:rPr>
      <w:drawing>
        <wp:anchor distT="0" distB="0" distL="0" distR="0" simplePos="0" relativeHeight="251658240" behindDoc="1" locked="0" layoutInCell="1" hidden="0" allowOverlap="1" wp14:anchorId="5EBB6BCA" wp14:editId="5722FF58">
          <wp:simplePos x="0" y="0"/>
          <wp:positionH relativeFrom="column">
            <wp:posOffset>-1076324</wp:posOffset>
          </wp:positionH>
          <wp:positionV relativeFrom="paragraph">
            <wp:posOffset>-449579</wp:posOffset>
          </wp:positionV>
          <wp:extent cx="7573328" cy="1400175"/>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4160" b="4160"/>
                  <a:stretch>
                    <a:fillRect/>
                  </a:stretch>
                </pic:blipFill>
                <pic:spPr>
                  <a:xfrm>
                    <a:off x="0" y="0"/>
                    <a:ext cx="7573328" cy="140017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987A4B"/>
    <w:multiLevelType w:val="multilevel"/>
    <w:tmpl w:val="8FD20B38"/>
    <w:lvl w:ilvl="0">
      <w:start w:val="1"/>
      <w:numFmt w:val="decimal"/>
      <w:lvlText w:val="%1."/>
      <w:lvlJc w:val="left"/>
      <w:pPr>
        <w:ind w:left="720"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6D3F5B15"/>
    <w:multiLevelType w:val="multilevel"/>
    <w:tmpl w:val="8FD20B38"/>
    <w:lvl w:ilvl="0">
      <w:start w:val="1"/>
      <w:numFmt w:val="decimal"/>
      <w:lvlText w:val="%1."/>
      <w:lvlJc w:val="left"/>
      <w:pPr>
        <w:ind w:left="720"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2116826260">
    <w:abstractNumId w:val="0"/>
  </w:num>
  <w:num w:numId="2" w16cid:durableId="1399267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308B"/>
    <w:rsid w:val="001149E2"/>
    <w:rsid w:val="002847A7"/>
    <w:rsid w:val="003E308B"/>
    <w:rsid w:val="003E3EA2"/>
    <w:rsid w:val="00421F19"/>
    <w:rsid w:val="00A85CD6"/>
    <w:rsid w:val="00AE69CF"/>
    <w:rsid w:val="00CB73D2"/>
    <w:rsid w:val="00D16720"/>
    <w:rsid w:val="00E64276"/>
    <w:rsid w:val="00E76B3D"/>
    <w:rsid w:val="00F3155A"/>
    <w:rsid w:val="00FE1FF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06E34"/>
  <w15:docId w15:val="{28EA2996-670E-4E14-B883-C5588049D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PargrafodaLista">
    <w:name w:val="List Paragraph"/>
    <w:basedOn w:val="Normal"/>
    <w:uiPriority w:val="34"/>
    <w:qFormat/>
    <w:rsid w:val="00F3155A"/>
    <w:pPr>
      <w:spacing w:after="160" w:line="259" w:lineRule="auto"/>
      <w:ind w:left="720"/>
      <w:contextualSpacing/>
    </w:pPr>
    <w:rPr>
      <w:rFonts w:asciiTheme="minorHAnsi" w:eastAsiaTheme="minorHAnsi" w:hAnsiTheme="minorHAnsi" w:cstheme="minorBidi"/>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2219</Words>
  <Characters>11984</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Moisés BRT</dc:creator>
  <cp:lastModifiedBy>Luana Lopes</cp:lastModifiedBy>
  <cp:revision>2</cp:revision>
  <dcterms:created xsi:type="dcterms:W3CDTF">2026-09-09T13:16:00Z</dcterms:created>
  <dcterms:modified xsi:type="dcterms:W3CDTF">2026-09-09T13:16:00Z</dcterms:modified>
</cp:coreProperties>
</file>