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03EE" w14:textId="77777777" w:rsidR="00356464" w:rsidRDefault="00356464" w:rsidP="00356464">
      <w:pPr>
        <w:ind w:left="1" w:hanging="3"/>
        <w:jc w:val="center"/>
        <w:rPr>
          <w:color w:val="000000"/>
          <w:sz w:val="32"/>
          <w:szCs w:val="32"/>
        </w:rPr>
      </w:pPr>
      <w:r>
        <w:rPr>
          <w:b/>
          <w:color w:val="000000"/>
          <w:sz w:val="32"/>
          <w:szCs w:val="32"/>
        </w:rPr>
        <w:t xml:space="preserve">Contribución del Programa Tutores a la retención de estudiantes de la carrera Contador Público y Auditor, Universidad del Bío-Bío </w:t>
      </w:r>
    </w:p>
    <w:p w14:paraId="39CA69C6" w14:textId="77777777" w:rsidR="00356464" w:rsidRDefault="00356464" w:rsidP="00356464">
      <w:pPr>
        <w:spacing w:after="0"/>
        <w:ind w:left="0" w:hanging="2"/>
        <w:rPr>
          <w:sz w:val="24"/>
          <w:szCs w:val="24"/>
        </w:rPr>
      </w:pPr>
    </w:p>
    <w:p w14:paraId="2548A021" w14:textId="77777777" w:rsidR="00356464" w:rsidRDefault="00356464" w:rsidP="00356464">
      <w:pPr>
        <w:tabs>
          <w:tab w:val="left" w:pos="7078"/>
          <w:tab w:val="left" w:pos="9638"/>
        </w:tabs>
        <w:ind w:left="0" w:hanging="2"/>
        <w:rPr>
          <w:sz w:val="24"/>
          <w:szCs w:val="24"/>
        </w:rPr>
      </w:pPr>
      <w:r>
        <w:rPr>
          <w:b/>
          <w:sz w:val="24"/>
          <w:szCs w:val="24"/>
        </w:rPr>
        <w:t>Línea Temática</w:t>
      </w:r>
      <w:r>
        <w:rPr>
          <w:sz w:val="24"/>
          <w:szCs w:val="24"/>
        </w:rPr>
        <w:t>: Línea 4: Prácticas de Integración universitaria a la reducción del abandono.</w:t>
      </w:r>
    </w:p>
    <w:p w14:paraId="4C757581" w14:textId="775F3392" w:rsidR="00C637C2" w:rsidRPr="00EF610E" w:rsidRDefault="00986C01" w:rsidP="00EF610E">
      <w:pPr>
        <w:tabs>
          <w:tab w:val="left" w:pos="9638"/>
        </w:tabs>
        <w:ind w:left="0" w:hanging="2"/>
        <w:jc w:val="right"/>
        <w:rPr>
          <w:i/>
          <w:iCs/>
          <w:color w:val="000000"/>
          <w:sz w:val="24"/>
          <w:szCs w:val="24"/>
        </w:rPr>
      </w:pPr>
      <w:r>
        <w:rPr>
          <w:i/>
          <w:iCs/>
          <w:color w:val="000000"/>
          <w:sz w:val="24"/>
          <w:szCs w:val="24"/>
        </w:rPr>
        <w:t>Fernando Andrés Morales Parada</w:t>
      </w:r>
      <w:r w:rsidR="00EF610E" w:rsidRPr="00172A5C">
        <w:rPr>
          <w:i/>
          <w:iCs/>
          <w:color w:val="000000"/>
          <w:sz w:val="24"/>
          <w:szCs w:val="24"/>
        </w:rPr>
        <w:t xml:space="preserve">, </w:t>
      </w:r>
      <w:r>
        <w:rPr>
          <w:i/>
          <w:iCs/>
          <w:color w:val="000000"/>
          <w:sz w:val="24"/>
          <w:szCs w:val="24"/>
        </w:rPr>
        <w:t>Universidad del Bío-Bío</w:t>
      </w:r>
      <w:r w:rsidR="00EF610E" w:rsidRPr="00172A5C">
        <w:rPr>
          <w:i/>
          <w:iCs/>
          <w:color w:val="000000"/>
          <w:sz w:val="24"/>
          <w:szCs w:val="24"/>
        </w:rPr>
        <w:t xml:space="preserve">, </w:t>
      </w:r>
      <w:r>
        <w:rPr>
          <w:i/>
          <w:iCs/>
          <w:color w:val="000000"/>
          <w:sz w:val="24"/>
          <w:szCs w:val="24"/>
        </w:rPr>
        <w:t>fmorales@ubiobio.cl</w:t>
      </w:r>
      <w:r w:rsidR="00EF610E" w:rsidRPr="00172A5C">
        <w:rPr>
          <w:i/>
          <w:iCs/>
          <w:color w:val="000000"/>
          <w:sz w:val="24"/>
          <w:szCs w:val="24"/>
        </w:rPr>
        <w:t xml:space="preserve"> </w:t>
      </w:r>
      <w:r w:rsidR="00EF610E">
        <w:rPr>
          <w:i/>
          <w:iCs/>
          <w:color w:val="000000"/>
          <w:sz w:val="24"/>
          <w:szCs w:val="24"/>
        </w:rPr>
        <w:br/>
      </w:r>
      <w:r>
        <w:rPr>
          <w:i/>
          <w:iCs/>
          <w:color w:val="000000"/>
          <w:sz w:val="24"/>
          <w:szCs w:val="24"/>
        </w:rPr>
        <w:t>Jorge Andrés Sáez Alarcón</w:t>
      </w:r>
      <w:r w:rsidR="00EF610E" w:rsidRPr="00172A5C">
        <w:rPr>
          <w:i/>
          <w:iCs/>
          <w:color w:val="000000"/>
          <w:sz w:val="24"/>
          <w:szCs w:val="24"/>
        </w:rPr>
        <w:t xml:space="preserve">, </w:t>
      </w:r>
      <w:r>
        <w:rPr>
          <w:i/>
          <w:iCs/>
          <w:color w:val="000000"/>
          <w:sz w:val="24"/>
          <w:szCs w:val="24"/>
        </w:rPr>
        <w:t>Universidad del Bío-Bío</w:t>
      </w:r>
      <w:r w:rsidR="00EF610E" w:rsidRPr="00172A5C">
        <w:rPr>
          <w:i/>
          <w:iCs/>
          <w:color w:val="000000"/>
          <w:sz w:val="24"/>
          <w:szCs w:val="24"/>
        </w:rPr>
        <w:t xml:space="preserve">, </w:t>
      </w:r>
      <w:r>
        <w:rPr>
          <w:i/>
          <w:iCs/>
          <w:color w:val="000000"/>
          <w:sz w:val="24"/>
          <w:szCs w:val="24"/>
        </w:rPr>
        <w:t>jasaez@ubiobio.cl</w:t>
      </w:r>
      <w:r w:rsidR="00EF610E" w:rsidRPr="00172A5C">
        <w:rPr>
          <w:i/>
          <w:iCs/>
          <w:color w:val="000000"/>
          <w:sz w:val="24"/>
          <w:szCs w:val="24"/>
        </w:rPr>
        <w:t xml:space="preserve"> </w:t>
      </w:r>
      <w:r w:rsidR="00EF610E">
        <w:rPr>
          <w:i/>
          <w:iCs/>
          <w:color w:val="000000"/>
          <w:sz w:val="24"/>
          <w:szCs w:val="24"/>
        </w:rPr>
        <w:br/>
      </w:r>
      <w:r w:rsidR="00177CB2">
        <w:t xml:space="preserve">     </w:t>
      </w:r>
    </w:p>
    <w:p w14:paraId="4EC9EF24" w14:textId="1ECFB7D8" w:rsidR="00356464" w:rsidRPr="00DF44FD" w:rsidRDefault="00356464" w:rsidP="00356464">
      <w:pPr>
        <w:spacing w:after="0"/>
        <w:ind w:left="0" w:hanging="2"/>
        <w:rPr>
          <w:color w:val="FF0000"/>
          <w:sz w:val="24"/>
          <w:szCs w:val="24"/>
        </w:rPr>
      </w:pPr>
      <w:r>
        <w:rPr>
          <w:sz w:val="24"/>
          <w:szCs w:val="24"/>
        </w:rPr>
        <w:t xml:space="preserve">La carrera de Contador Público y Auditor (CPA) comienza a impartirse en Chile el año </w:t>
      </w:r>
      <w:r w:rsidRPr="001278F8">
        <w:rPr>
          <w:sz w:val="24"/>
          <w:szCs w:val="24"/>
        </w:rPr>
        <w:t xml:space="preserve">1965 en la Universidad de Santiago de Chile. </w:t>
      </w:r>
      <w:r>
        <w:rPr>
          <w:sz w:val="24"/>
          <w:szCs w:val="24"/>
        </w:rPr>
        <w:t xml:space="preserve">En la Universidad del Bío-Bío (UBB), se comienza a impartir en el año </w:t>
      </w:r>
      <w:r w:rsidRPr="00990DAF">
        <w:rPr>
          <w:sz w:val="24"/>
          <w:szCs w:val="24"/>
        </w:rPr>
        <w:t>1991</w:t>
      </w:r>
      <w:r>
        <w:rPr>
          <w:sz w:val="24"/>
          <w:szCs w:val="24"/>
        </w:rPr>
        <w:t xml:space="preserve">, la cual viene a satisfacer una necesidad existente a nivel nacional respecto a transacciones y transparencia en el actuar de los/as responsables de la gestión empresarial, estado y demás organizaciones. Su objetivo es formar profesionales con una sólida perspectiva global, que permita entender el contexto en el cual operan entes comerciales como las demás organizaciones (UBB). </w:t>
      </w:r>
    </w:p>
    <w:p w14:paraId="68C4F8E3" w14:textId="43F4E99D" w:rsidR="00356464" w:rsidRDefault="00356464" w:rsidP="00356464">
      <w:pPr>
        <w:spacing w:after="0"/>
        <w:ind w:left="0" w:hanging="2"/>
        <w:rPr>
          <w:sz w:val="24"/>
          <w:szCs w:val="24"/>
        </w:rPr>
      </w:pPr>
      <w:r w:rsidRPr="00A73B77">
        <w:rPr>
          <w:sz w:val="24"/>
          <w:szCs w:val="24"/>
        </w:rPr>
        <w:t xml:space="preserve">En Chile, existen 118 programas considerados por el Consejo Nacional de Educación que dictan la carrera de Contabilidad, Auditoria y similares con una tasa de completitud 93,7%. La tasa promedio de retención para el primer año de estas carreras es de 80,4% (CEND, 2020). </w:t>
      </w:r>
      <w:r w:rsidRPr="00DF44FD">
        <w:rPr>
          <w:sz w:val="24"/>
          <w:szCs w:val="24"/>
        </w:rPr>
        <w:t>Contador Público</w:t>
      </w:r>
      <w:r>
        <w:rPr>
          <w:sz w:val="24"/>
          <w:szCs w:val="24"/>
        </w:rPr>
        <w:t xml:space="preserve"> y</w:t>
      </w:r>
      <w:r w:rsidRPr="00DF44FD">
        <w:rPr>
          <w:sz w:val="24"/>
          <w:szCs w:val="24"/>
        </w:rPr>
        <w:t xml:space="preserve"> Auditor en la Universidad del Bío-Bío (UBB), tiene como principales causas de abandono en primer año tres aspectos</w:t>
      </w:r>
      <w:r w:rsidRPr="00990DAF">
        <w:rPr>
          <w:sz w:val="24"/>
          <w:szCs w:val="24"/>
        </w:rPr>
        <w:t xml:space="preserve">: vocacionales, socioeconómicos y rendimiento académico (DGAI-UBB, 2021), </w:t>
      </w:r>
      <w:r w:rsidRPr="00DF44FD">
        <w:rPr>
          <w:sz w:val="24"/>
          <w:szCs w:val="24"/>
        </w:rPr>
        <w:t xml:space="preserve">muy similar a lo planteado por Tinto (1989) y por otras ofertas académicas similares (ZANDOMENI </w:t>
      </w:r>
      <w:r>
        <w:rPr>
          <w:sz w:val="24"/>
          <w:szCs w:val="24"/>
        </w:rPr>
        <w:t>et al., 2013)</w:t>
      </w:r>
      <w:r w:rsidRPr="002B0B91">
        <w:rPr>
          <w:sz w:val="24"/>
          <w:szCs w:val="24"/>
        </w:rPr>
        <w:t xml:space="preserve">. Bajo este contexto, y considerando la alta tasa de abandono que presentaban algunas carreras, la UBB </w:t>
      </w:r>
      <w:r>
        <w:rPr>
          <w:sz w:val="24"/>
          <w:szCs w:val="24"/>
        </w:rPr>
        <w:t>desarrolla</w:t>
      </w:r>
      <w:r w:rsidRPr="002B0B91">
        <w:rPr>
          <w:sz w:val="24"/>
          <w:szCs w:val="24"/>
        </w:rPr>
        <w:t xml:space="preserve"> una estrategia de acompañamiento durante primer año</w:t>
      </w:r>
      <w:r>
        <w:rPr>
          <w:sz w:val="24"/>
          <w:szCs w:val="24"/>
        </w:rPr>
        <w:t xml:space="preserve"> basada en la metodología de pares</w:t>
      </w:r>
      <w:r w:rsidRPr="002B0B91">
        <w:rPr>
          <w:sz w:val="24"/>
          <w:szCs w:val="24"/>
        </w:rPr>
        <w:t>.</w:t>
      </w:r>
      <w:r>
        <w:rPr>
          <w:sz w:val="24"/>
          <w:szCs w:val="24"/>
        </w:rPr>
        <w:t xml:space="preserve"> </w:t>
      </w:r>
      <w:r w:rsidRPr="002B0B91">
        <w:rPr>
          <w:sz w:val="24"/>
          <w:szCs w:val="24"/>
        </w:rPr>
        <w:t>El Programa Tutores</w:t>
      </w:r>
      <w:r>
        <w:rPr>
          <w:sz w:val="24"/>
          <w:szCs w:val="24"/>
        </w:rPr>
        <w:t xml:space="preserve"> (PT)</w:t>
      </w:r>
      <w:r w:rsidRPr="002B0B91">
        <w:rPr>
          <w:sz w:val="24"/>
          <w:szCs w:val="24"/>
        </w:rPr>
        <w:t>, cuyo objetivo es contribuir al éxito académico de los</w:t>
      </w:r>
      <w:r>
        <w:rPr>
          <w:sz w:val="24"/>
          <w:szCs w:val="24"/>
        </w:rPr>
        <w:t>/as</w:t>
      </w:r>
      <w:r w:rsidRPr="002B0B91">
        <w:rPr>
          <w:sz w:val="24"/>
          <w:szCs w:val="24"/>
        </w:rPr>
        <w:t xml:space="preserve"> estudiantes de primer año, mejorando sus tasas de aprobación y retención, mediante la aplicación de estrategias de </w:t>
      </w:r>
      <w:r>
        <w:rPr>
          <w:sz w:val="24"/>
          <w:szCs w:val="24"/>
        </w:rPr>
        <w:t>transición</w:t>
      </w:r>
      <w:r w:rsidRPr="002B0B91">
        <w:rPr>
          <w:sz w:val="24"/>
          <w:szCs w:val="24"/>
        </w:rPr>
        <w:t xml:space="preserve"> a la vida universitaria y el desarrollo de competencias específicas y genéricas surge como una táctica efectiva para favorecer a los</w:t>
      </w:r>
      <w:r>
        <w:rPr>
          <w:sz w:val="24"/>
          <w:szCs w:val="24"/>
        </w:rPr>
        <w:t>/as estudiantes.</w:t>
      </w:r>
    </w:p>
    <w:p w14:paraId="27D748BB" w14:textId="01978777" w:rsidR="00356464" w:rsidRDefault="00356464" w:rsidP="00356464">
      <w:pPr>
        <w:spacing w:after="0"/>
        <w:ind w:left="0" w:hanging="2"/>
        <w:rPr>
          <w:sz w:val="24"/>
          <w:szCs w:val="24"/>
        </w:rPr>
      </w:pPr>
      <w:r>
        <w:rPr>
          <w:sz w:val="24"/>
          <w:szCs w:val="24"/>
        </w:rPr>
        <w:t xml:space="preserve">El objetivo del trabajo es analizar la contribución del PT en la retención de los estudiantes de primer año de CPA de la UBB, a través de un estudio descriptivo y analítico utilizando bases de datos de corte semestral y anual. Se analizaron en profundidad 4 cohortes de estudiantes; 2018, 2019, 2020 y 2021. </w:t>
      </w:r>
    </w:p>
    <w:p w14:paraId="784D5F9E" w14:textId="02D807E9" w:rsidR="00356464" w:rsidRPr="00DB5B88" w:rsidRDefault="00356464" w:rsidP="00356464">
      <w:pPr>
        <w:ind w:left="0" w:right="-7" w:hanging="2"/>
        <w:rPr>
          <w:sz w:val="24"/>
          <w:szCs w:val="24"/>
        </w:rPr>
      </w:pPr>
      <w:r>
        <w:rPr>
          <w:sz w:val="24"/>
          <w:szCs w:val="24"/>
        </w:rPr>
        <w:t>Los resultados revelan que la tasa de retención de primer año para la cohorte 2011</w:t>
      </w:r>
      <w:r w:rsidRPr="00A73B77">
        <w:rPr>
          <w:sz w:val="24"/>
          <w:szCs w:val="24"/>
        </w:rPr>
        <w:t xml:space="preserve"> </w:t>
      </w:r>
      <w:r>
        <w:rPr>
          <w:sz w:val="24"/>
          <w:szCs w:val="24"/>
        </w:rPr>
        <w:t>fue un 76,9</w:t>
      </w:r>
      <w:r w:rsidRPr="00A73B77">
        <w:rPr>
          <w:sz w:val="24"/>
          <w:szCs w:val="24"/>
        </w:rPr>
        <w:t>%</w:t>
      </w:r>
      <w:r>
        <w:rPr>
          <w:sz w:val="24"/>
          <w:szCs w:val="24"/>
        </w:rPr>
        <w:t xml:space="preserve"> siendo la tasa de retención histórica más baja de la carrera</w:t>
      </w:r>
      <w:r w:rsidRPr="00A73B77">
        <w:rPr>
          <w:sz w:val="24"/>
          <w:szCs w:val="24"/>
        </w:rPr>
        <w:t xml:space="preserve"> </w:t>
      </w:r>
      <w:r w:rsidRPr="00DB5B88">
        <w:rPr>
          <w:sz w:val="24"/>
          <w:szCs w:val="24"/>
        </w:rPr>
        <w:t xml:space="preserve">y actualmente para la cohorte 2021 </w:t>
      </w:r>
      <w:r>
        <w:rPr>
          <w:sz w:val="24"/>
          <w:szCs w:val="24"/>
        </w:rPr>
        <w:t>fue</w:t>
      </w:r>
      <w:r>
        <w:rPr>
          <w:color w:val="FF0000"/>
          <w:sz w:val="24"/>
          <w:szCs w:val="24"/>
        </w:rPr>
        <w:t xml:space="preserve"> </w:t>
      </w:r>
      <w:r w:rsidRPr="00990DAF">
        <w:rPr>
          <w:sz w:val="24"/>
          <w:szCs w:val="24"/>
        </w:rPr>
        <w:t xml:space="preserve">88,5% </w:t>
      </w:r>
      <w:r>
        <w:rPr>
          <w:sz w:val="24"/>
          <w:szCs w:val="24"/>
        </w:rPr>
        <w:t>(DGAI-UBB, 2021</w:t>
      </w:r>
      <w:r w:rsidRPr="00DB5B88">
        <w:rPr>
          <w:sz w:val="24"/>
          <w:szCs w:val="24"/>
        </w:rPr>
        <w:t>)</w:t>
      </w:r>
      <w:r w:rsidRPr="00DF44FD">
        <w:rPr>
          <w:color w:val="FF0000"/>
          <w:sz w:val="24"/>
          <w:szCs w:val="24"/>
        </w:rPr>
        <w:t xml:space="preserve"> </w:t>
      </w:r>
      <w:r w:rsidRPr="00DB5B88">
        <w:rPr>
          <w:sz w:val="24"/>
          <w:szCs w:val="24"/>
        </w:rPr>
        <w:t>lo que muestra un aumento</w:t>
      </w:r>
      <w:r>
        <w:rPr>
          <w:sz w:val="24"/>
          <w:szCs w:val="24"/>
        </w:rPr>
        <w:t xml:space="preserve"> sustancial</w:t>
      </w:r>
      <w:r w:rsidRPr="00DB5B88">
        <w:rPr>
          <w:sz w:val="24"/>
          <w:szCs w:val="24"/>
        </w:rPr>
        <w:t xml:space="preserve"> en la tasa de retención. </w:t>
      </w:r>
    </w:p>
    <w:p w14:paraId="4B5A34CC" w14:textId="6059F4F1" w:rsidR="00356464" w:rsidRPr="00504211" w:rsidRDefault="00356464" w:rsidP="00356464">
      <w:pPr>
        <w:ind w:left="0" w:right="-7" w:hanging="2"/>
        <w:rPr>
          <w:color w:val="FF0000"/>
          <w:sz w:val="24"/>
          <w:szCs w:val="24"/>
        </w:rPr>
      </w:pPr>
      <w:r w:rsidRPr="00990DAF">
        <w:rPr>
          <w:sz w:val="24"/>
          <w:szCs w:val="24"/>
        </w:rPr>
        <w:t xml:space="preserve">En los últimos años la asistencia promedio a las tutorías es un 84,2% superior a años anteriores (2011-2015) en donde el promedio era 51,9%, la evaluación promedio en el periodo a los/as tutores/as pares es un 6,5, la evaluación al programa es un 6,5 y la evaluación al encargado/a de la carrera es un 6,5. En </w:t>
      </w:r>
      <w:r w:rsidRPr="00DB5B88">
        <w:rPr>
          <w:sz w:val="24"/>
          <w:szCs w:val="24"/>
        </w:rPr>
        <w:t>cuanto a la retención según adherencia al PT, los estudiantes que tienen sobre un 70% de asistencia presentan</w:t>
      </w:r>
      <w:r>
        <w:rPr>
          <w:sz w:val="24"/>
          <w:szCs w:val="24"/>
        </w:rPr>
        <w:t xml:space="preserve"> </w:t>
      </w:r>
      <w:r w:rsidRPr="00990DAF">
        <w:rPr>
          <w:sz w:val="24"/>
          <w:szCs w:val="24"/>
        </w:rPr>
        <w:t xml:space="preserve">en promedio un 96,9% versus los estudiantes que tienen una asistencia bajo el 30%, que presentan sólo 63,3% de retención. </w:t>
      </w:r>
    </w:p>
    <w:p w14:paraId="5EA84E73" w14:textId="067CF18B" w:rsidR="00356464" w:rsidRDefault="00356464" w:rsidP="00356464">
      <w:pPr>
        <w:ind w:left="0" w:right="-7" w:hanging="2"/>
        <w:rPr>
          <w:sz w:val="24"/>
          <w:szCs w:val="24"/>
        </w:rPr>
      </w:pPr>
      <w:r>
        <w:rPr>
          <w:sz w:val="24"/>
          <w:szCs w:val="24"/>
        </w:rPr>
        <w:t>Se puede concluir que el PT es valorado por los/as estudiantes de la carrera de CPA aporta a la retención global de la carrera debido a que los/as estudiantes que tienen una mayor adherencia o participación de este obtienen una mayor tasa de retención en comparación con sus compañeros/as que asisten en menor cantidad.</w:t>
      </w:r>
    </w:p>
    <w:p w14:paraId="79D67188" w14:textId="25B30F9E" w:rsidR="00356464" w:rsidRDefault="00356464" w:rsidP="00356464">
      <w:pPr>
        <w:ind w:left="0" w:right="-7" w:hanging="2"/>
        <w:rPr>
          <w:sz w:val="24"/>
          <w:szCs w:val="24"/>
        </w:rPr>
      </w:pPr>
      <w:r>
        <w:rPr>
          <w:sz w:val="24"/>
          <w:szCs w:val="24"/>
        </w:rPr>
        <w:lastRenderedPageBreak/>
        <w:t>Esta investigación aporta a la disminución del abandono evidenciando la importancia de los programas de acompañamiento guiados por pares como estrategias en las carreras de CPA. Ofrece una oportunidad de mejora y de análisis de efectividad de estos con un foco en la carrera. A futuro se pueden incluir más carreras al análisis, esperando que estos resultados sirvan para orientar acerca de los programas de acompañamiento entre pares en base a tutorías como estrategia en el aumento de la retención.</w:t>
      </w:r>
    </w:p>
    <w:p w14:paraId="353F5F5E" w14:textId="77777777" w:rsidR="00356464" w:rsidRPr="00504211" w:rsidRDefault="00356464" w:rsidP="00356464">
      <w:pPr>
        <w:pBdr>
          <w:top w:val="nil"/>
          <w:left w:val="nil"/>
          <w:bottom w:val="nil"/>
          <w:right w:val="nil"/>
          <w:between w:val="nil"/>
        </w:pBdr>
        <w:spacing w:after="0"/>
        <w:ind w:left="0" w:right="283" w:hanging="2"/>
        <w:rPr>
          <w:sz w:val="24"/>
          <w:szCs w:val="24"/>
        </w:rPr>
      </w:pPr>
      <w:bookmarkStart w:id="0" w:name="_gjdgxs" w:colFirst="0" w:colLast="0"/>
      <w:bookmarkStart w:id="1" w:name="_30j0zll" w:colFirst="0" w:colLast="0"/>
      <w:bookmarkEnd w:id="0"/>
      <w:bookmarkEnd w:id="1"/>
      <w:r w:rsidRPr="00D7083D">
        <w:rPr>
          <w:b/>
          <w:color w:val="000000"/>
          <w:sz w:val="24"/>
          <w:szCs w:val="24"/>
        </w:rPr>
        <w:t>Descriptores o Palabras Clave:</w:t>
      </w:r>
      <w:r w:rsidRPr="00D7083D">
        <w:rPr>
          <w:color w:val="000000"/>
          <w:sz w:val="24"/>
          <w:szCs w:val="24"/>
        </w:rPr>
        <w:t xml:space="preserve"> </w:t>
      </w:r>
      <w:r>
        <w:rPr>
          <w:color w:val="000000"/>
          <w:sz w:val="24"/>
          <w:szCs w:val="24"/>
        </w:rPr>
        <w:t>Contador Público Auditor, Retención, Tutores, Tutorías.</w:t>
      </w:r>
    </w:p>
    <w:p w14:paraId="480313F1" w14:textId="7616ACEC" w:rsidR="00C637C2" w:rsidRDefault="00177CB2" w:rsidP="00356464">
      <w:pPr>
        <w:ind w:leftChars="0" w:left="0" w:firstLineChars="0" w:firstLine="0"/>
      </w:pPr>
      <w:r>
        <w:t xml:space="preserve"> </w:t>
      </w:r>
    </w:p>
    <w:p w14:paraId="103CD4D9" w14:textId="7C8AE67C" w:rsidR="001255FD" w:rsidRDefault="001255FD" w:rsidP="001255FD">
      <w:pPr>
        <w:pStyle w:val="Ttulo2"/>
        <w:tabs>
          <w:tab w:val="left" w:pos="9638"/>
        </w:tabs>
        <w:spacing w:before="0" w:after="120" w:line="240" w:lineRule="auto"/>
        <w:ind w:left="0" w:hanging="2"/>
        <w:jc w:val="both"/>
        <w:rPr>
          <w:rFonts w:ascii="Times New Roman" w:hAnsi="Times New Roman"/>
          <w:color w:val="000000"/>
          <w:position w:val="0"/>
          <w:sz w:val="24"/>
          <w:szCs w:val="24"/>
          <w:lang w:eastAsia="x-none"/>
        </w:rPr>
      </w:pPr>
      <w:r>
        <w:rPr>
          <w:rFonts w:ascii="Times New Roman" w:hAnsi="Times New Roman"/>
          <w:color w:val="000000"/>
          <w:sz w:val="24"/>
          <w:szCs w:val="24"/>
        </w:rPr>
        <w:t>Introducción</w:t>
      </w:r>
    </w:p>
    <w:p w14:paraId="08BE3A70" w14:textId="0C1C7492" w:rsidR="001255FD" w:rsidRPr="00020B51" w:rsidRDefault="001255FD" w:rsidP="001255FD">
      <w:pPr>
        <w:ind w:left="0" w:hanging="2"/>
        <w:rPr>
          <w:sz w:val="24"/>
          <w:szCs w:val="24"/>
        </w:rPr>
      </w:pPr>
      <w:r w:rsidRPr="00020B51">
        <w:rPr>
          <w:sz w:val="24"/>
          <w:szCs w:val="24"/>
        </w:rPr>
        <w:t>La carrera de Contador Público y Auditor</w:t>
      </w:r>
      <w:r w:rsidR="00020B51" w:rsidRPr="00020B51">
        <w:rPr>
          <w:sz w:val="24"/>
          <w:szCs w:val="24"/>
        </w:rPr>
        <w:t>, se ofrece en 21</w:t>
      </w:r>
      <w:r w:rsidRPr="00020B51">
        <w:rPr>
          <w:sz w:val="24"/>
          <w:szCs w:val="24"/>
        </w:rPr>
        <w:t xml:space="preserve"> de las un</w:t>
      </w:r>
      <w:r w:rsidR="00020B51" w:rsidRPr="00020B51">
        <w:rPr>
          <w:sz w:val="24"/>
          <w:szCs w:val="24"/>
        </w:rPr>
        <w:t>iversidades existentes en Chile (CNED, 2022). Es así que el año 2021</w:t>
      </w:r>
      <w:r w:rsidRPr="00020B51">
        <w:rPr>
          <w:sz w:val="24"/>
          <w:szCs w:val="24"/>
        </w:rPr>
        <w:t xml:space="preserve">, el total de matriculados ascendió a </w:t>
      </w:r>
      <w:r w:rsidR="00020B51" w:rsidRPr="00020B51">
        <w:rPr>
          <w:sz w:val="24"/>
          <w:szCs w:val="24"/>
        </w:rPr>
        <w:t>7.730</w:t>
      </w:r>
      <w:r w:rsidRPr="00020B51">
        <w:rPr>
          <w:sz w:val="24"/>
          <w:szCs w:val="24"/>
        </w:rPr>
        <w:t xml:space="preserve">. En el 2013 eran </w:t>
      </w:r>
      <w:r w:rsidR="00020B51" w:rsidRPr="00020B51">
        <w:rPr>
          <w:sz w:val="24"/>
          <w:szCs w:val="24"/>
        </w:rPr>
        <w:t>5.817</w:t>
      </w:r>
      <w:r w:rsidRPr="00020B51">
        <w:rPr>
          <w:sz w:val="24"/>
          <w:szCs w:val="24"/>
        </w:rPr>
        <w:t xml:space="preserve">, </w:t>
      </w:r>
      <w:r w:rsidR="00020B51" w:rsidRPr="00020B51">
        <w:rPr>
          <w:sz w:val="24"/>
          <w:szCs w:val="24"/>
        </w:rPr>
        <w:t xml:space="preserve">por lo que ha habido un aumento en la matrícula general en los últimos años (CNED, </w:t>
      </w:r>
      <w:r w:rsidRPr="00020B51">
        <w:rPr>
          <w:sz w:val="24"/>
          <w:szCs w:val="24"/>
        </w:rPr>
        <w:t>2018).</w:t>
      </w:r>
    </w:p>
    <w:p w14:paraId="04D4979C" w14:textId="1925BB79" w:rsidR="001255FD" w:rsidRDefault="00020B51" w:rsidP="001255FD">
      <w:pPr>
        <w:ind w:left="0" w:hanging="2"/>
        <w:rPr>
          <w:sz w:val="24"/>
          <w:szCs w:val="24"/>
        </w:rPr>
      </w:pPr>
      <w:r>
        <w:rPr>
          <w:sz w:val="24"/>
          <w:szCs w:val="24"/>
        </w:rPr>
        <w:t>E</w:t>
      </w:r>
      <w:r w:rsidR="001255FD">
        <w:rPr>
          <w:sz w:val="24"/>
          <w:szCs w:val="24"/>
        </w:rPr>
        <w:t>xiste una alta competitividad para captar a los</w:t>
      </w:r>
      <w:r>
        <w:rPr>
          <w:sz w:val="24"/>
          <w:szCs w:val="24"/>
        </w:rPr>
        <w:t>/as</w:t>
      </w:r>
      <w:r w:rsidR="001255FD">
        <w:rPr>
          <w:sz w:val="24"/>
          <w:szCs w:val="24"/>
        </w:rPr>
        <w:t xml:space="preserve"> estudiantes, esta competencia no solo se produce con las universidades que existen dentro del territorio de influencia de la UBB, sino también con las universidades líderes en esta carrera a nivel nacional, ya que los</w:t>
      </w:r>
      <w:r>
        <w:rPr>
          <w:sz w:val="24"/>
          <w:szCs w:val="24"/>
        </w:rPr>
        <w:t>/as</w:t>
      </w:r>
      <w:r w:rsidR="001255FD">
        <w:rPr>
          <w:sz w:val="24"/>
          <w:szCs w:val="24"/>
        </w:rPr>
        <w:t xml:space="preserve"> estudiantes se encuentran dispuestos a emigrar de sus ciudades por ingresar a las que consideran “las mejores universidades del país”.</w:t>
      </w:r>
    </w:p>
    <w:p w14:paraId="2B88DADD" w14:textId="6A733A11" w:rsidR="00B64A0C" w:rsidRPr="006A77D9" w:rsidRDefault="00B64A0C" w:rsidP="00B64A0C">
      <w:pPr>
        <w:ind w:left="0" w:hanging="2"/>
        <w:rPr>
          <w:sz w:val="24"/>
          <w:szCs w:val="24"/>
        </w:rPr>
      </w:pPr>
      <w:r w:rsidRPr="006A77D9">
        <w:rPr>
          <w:sz w:val="24"/>
          <w:szCs w:val="24"/>
        </w:rPr>
        <w:t>Uno estudio reciente relacionado</w:t>
      </w:r>
      <w:r w:rsidR="00B50F77">
        <w:rPr>
          <w:sz w:val="24"/>
          <w:szCs w:val="24"/>
        </w:rPr>
        <w:t xml:space="preserve"> </w:t>
      </w:r>
      <w:r w:rsidRPr="006A77D9">
        <w:rPr>
          <w:sz w:val="24"/>
          <w:szCs w:val="24"/>
        </w:rPr>
        <w:t>a la carrera de contaduría y auditoría es el de Salvioni (2020) realiza un análisis comparativo de los planes de estudio ofertados por la Universidad Nacional de Asunción (UNA) y la Universidad Nacional Autónoma de México (UNAM). Por otro lado, la UNAM, estructura su plan en tres ciclos formativos, conocimientos fundamentales, profesionalización en contaduría y área de desarrollo temprano, cuyos principales requisitos de titulación aparte de la aprobación de asignaturas es un dominio intermedio del idioma inglés y también lo que internamente denominan liberación del Servicio Social y de acreditación en programas de actividades culturales, deportivas y/o de apoyo comunitario. Esto marca una de las principales diferencias entre ambas instituciones. Otra de las diferencias importantes fue la extensión del plan, en la UNAM la carrera tiene una duración de ocho semestres y en la UNA un equivalente diez semestres.</w:t>
      </w:r>
    </w:p>
    <w:p w14:paraId="3C4116DE" w14:textId="77777777" w:rsidR="00B64A0C" w:rsidRPr="006A77D9" w:rsidRDefault="00B64A0C" w:rsidP="00B64A0C">
      <w:pPr>
        <w:ind w:left="0" w:hanging="2"/>
        <w:rPr>
          <w:sz w:val="24"/>
          <w:szCs w:val="24"/>
        </w:rPr>
      </w:pPr>
      <w:r w:rsidRPr="006A77D9">
        <w:rPr>
          <w:sz w:val="24"/>
          <w:szCs w:val="24"/>
        </w:rPr>
        <w:t xml:space="preserve">Otro estudio, de Duarte (2021) comparó la malla curricular con la recomendación del manual de los pronunciamientos internacionales de formación emitida por la Federación Internacional de Contadores (IFAC) a través del Consejo de Normas Internacionales de Formación en Contaduría (IAESB), específicamente con respecto a la IES 2. Dentro de la estructura del estudio se establecieron aquellas asignaturas clasificadas dentro del marco de la contaduría, finanzas y conocimientos relacionados, donde el plan de estudios de Contaduría Pública cumplió íntegramente con la recomendación de la IFAC. Componentes de conocimiento organizacional y de negocios donde se obtiene un pleno cumplimiento de la malla con respecto a las IES, además menciona que se agregan más materias que complementan el programa de estudios. Por último, se observó un muy buen grado de cumplimiento con el componente de tecnologías de información. </w:t>
      </w:r>
    </w:p>
    <w:p w14:paraId="28172089" w14:textId="77777777" w:rsidR="00B64A0C" w:rsidRPr="006A77D9" w:rsidRDefault="00B64A0C" w:rsidP="0032155E">
      <w:pPr>
        <w:spacing w:line="240" w:lineRule="auto"/>
        <w:ind w:left="0" w:hanging="2"/>
        <w:rPr>
          <w:sz w:val="24"/>
          <w:szCs w:val="24"/>
        </w:rPr>
      </w:pPr>
      <w:r w:rsidRPr="006A77D9">
        <w:rPr>
          <w:sz w:val="24"/>
          <w:szCs w:val="24"/>
        </w:rPr>
        <w:t xml:space="preserve">En Brito et al., (2017), realizaron un estudió de enfoque cuantitativo descriptivo a través de un cuestionario estructurado y entrevista semiestructurada a empleadores y egresados de la Licenciatura en Contaduría de la Universidad Autónoma de Baja California (UABC) con la finalidad de evaluar la pertinencia y la calidad del programa ofertado por la institución. Los autores obtuvieron como principales conclusiones que los empleadores perciben un alto grado de satisfacción con respecto al desempeño de los egresados de la UABC del programa de contaduría, pero también detectan ciertos aspectos a mejorar en la formación de estos profesionales, una de ellas es el liderazgo y también el dominio del inglés. De igual forma se considera que el programa es pertinente y de calidad teniendo en cuenta que un alto porcentaje de egresados está ejerciendo su profesión en un trabajo directamente relacionado al área de especialización. A partir de estas conclusiones Brito et al., (2017) generaron </w:t>
      </w:r>
      <w:r w:rsidRPr="006A77D9">
        <w:rPr>
          <w:sz w:val="24"/>
          <w:szCs w:val="24"/>
        </w:rPr>
        <w:lastRenderedPageBreak/>
        <w:t>cinco recomendaciones para que el programa genere profesionales más productivos y competentes, primero actualizar los contenidos contables que se utilizan en el mercado laboral, segundo incluir una mayor formación en inglés teniendo como requisito de egreso el dominio de cierto nivel, tercero fortalecer el aprendizaje a través de prácticas profesionales y proyectos de vinculación, cuarto fomentar talleres que otorguen la oportunidad de desarrollar el liderazgo, proactividad y el trabajo colaborativo y por último, actualizar constantemente los contenidos del área fiscal debido a las constantes reformas de leyes.</w:t>
      </w:r>
    </w:p>
    <w:p w14:paraId="1A47F21A" w14:textId="5EC6B2D1" w:rsidR="00B64A0C" w:rsidRPr="006A77D9" w:rsidRDefault="00B64A0C" w:rsidP="0032155E">
      <w:pPr>
        <w:spacing w:line="240" w:lineRule="auto"/>
        <w:ind w:left="0" w:hanging="2"/>
        <w:rPr>
          <w:sz w:val="24"/>
          <w:szCs w:val="24"/>
        </w:rPr>
      </w:pPr>
      <w:r w:rsidRPr="006A77D9">
        <w:rPr>
          <w:sz w:val="24"/>
          <w:szCs w:val="24"/>
        </w:rPr>
        <w:t xml:space="preserve">Mientras que La Paz y Armijo (2020) investigaron sobre la construcción curricular de la carrera de contaduría en Chile. Los autores conformaron un marco ontológico logrando estructurar de manera sistémica la información extraída de 36 universidades chilenas que ofertan una carrera se obtuvo como principales resultados que las áreas dominantes dentro del plan curricular son Contabilidad con un promedio de 8,7 asignaturas relacionadas, Administración y Operaciones con un promedio de 6,3 cursos, y, por último, Auditoría con un promedio de 4,8 asignaturas. Además, para los autores resulta imperante mencionar el bajo número promedio de cursos relacionados a los Sistemas de Información (3,8) y una alta presencia de cursos de formación complementaria (15,0) que contemplan idiomas, deporte, desarrollo de habilidades personales. Por otro lado, señalan que llama la atención que los cursos relacionados a la ética tengan una baja proporción de participación (0,8) ya que estos establecen los principios que norman el comportamiento y la conducta profesional del contador auditor. </w:t>
      </w:r>
    </w:p>
    <w:p w14:paraId="6AC8E2A2" w14:textId="53A5BB65" w:rsidR="001255FD" w:rsidRDefault="001255FD" w:rsidP="001255FD">
      <w:pPr>
        <w:ind w:left="0" w:hanging="2"/>
        <w:rPr>
          <w:sz w:val="24"/>
          <w:szCs w:val="24"/>
        </w:rPr>
      </w:pPr>
      <w:r>
        <w:rPr>
          <w:sz w:val="24"/>
          <w:szCs w:val="24"/>
        </w:rPr>
        <w:t xml:space="preserve">En este contexto, la </w:t>
      </w:r>
      <w:r w:rsidR="00020B51">
        <w:rPr>
          <w:sz w:val="24"/>
          <w:szCs w:val="24"/>
        </w:rPr>
        <w:t>carrera de Contador Público y Auditor de la Universidad</w:t>
      </w:r>
      <w:r>
        <w:rPr>
          <w:sz w:val="24"/>
          <w:szCs w:val="24"/>
        </w:rPr>
        <w:t xml:space="preserve"> del Bío-Bío, como uno de sus principales elementos diferenciadores ha definido que su preocup</w:t>
      </w:r>
      <w:r w:rsidR="00020B51">
        <w:rPr>
          <w:sz w:val="24"/>
          <w:szCs w:val="24"/>
        </w:rPr>
        <w:t>ación central son los más de 400</w:t>
      </w:r>
      <w:r>
        <w:rPr>
          <w:sz w:val="24"/>
          <w:szCs w:val="24"/>
        </w:rPr>
        <w:t xml:space="preserve"> estudiantes</w:t>
      </w:r>
      <w:r w:rsidR="00020B51">
        <w:rPr>
          <w:sz w:val="24"/>
          <w:szCs w:val="24"/>
        </w:rPr>
        <w:t xml:space="preserve"> cursando la carrera, serados en dos sedes</w:t>
      </w:r>
      <w:r>
        <w:rPr>
          <w:sz w:val="24"/>
          <w:szCs w:val="24"/>
        </w:rPr>
        <w:t>. Uno de los pilares sobre los que se basa la gestión académica es el reconocimiento de cada uno</w:t>
      </w:r>
      <w:r w:rsidR="00020B51">
        <w:rPr>
          <w:sz w:val="24"/>
          <w:szCs w:val="24"/>
        </w:rPr>
        <w:t>/a</w:t>
      </w:r>
      <w:r>
        <w:rPr>
          <w:sz w:val="24"/>
          <w:szCs w:val="24"/>
        </w:rPr>
        <w:t xml:space="preserve"> de ellos</w:t>
      </w:r>
      <w:r w:rsidR="00020B51">
        <w:rPr>
          <w:sz w:val="24"/>
          <w:szCs w:val="24"/>
        </w:rPr>
        <w:t>/a</w:t>
      </w:r>
      <w:r>
        <w:rPr>
          <w:sz w:val="24"/>
          <w:szCs w:val="24"/>
        </w:rPr>
        <w:t xml:space="preserve"> como un ser individual, con talentos, expectativas y sueños propios, que, a su v</w:t>
      </w:r>
      <w:r w:rsidR="00020B51">
        <w:rPr>
          <w:sz w:val="24"/>
          <w:szCs w:val="24"/>
        </w:rPr>
        <w:t>ez y debido a los acontecimientos mundiales vividos en los últimos años, poseen una gran cantidad de carencias</w:t>
      </w:r>
      <w:r>
        <w:rPr>
          <w:sz w:val="24"/>
          <w:szCs w:val="24"/>
        </w:rPr>
        <w:t xml:space="preserve">.  </w:t>
      </w:r>
    </w:p>
    <w:p w14:paraId="37AB4C13" w14:textId="3E88C4A0" w:rsidR="001255FD" w:rsidRDefault="001255FD" w:rsidP="000F5F58">
      <w:pPr>
        <w:ind w:left="0" w:hanging="2"/>
        <w:rPr>
          <w:sz w:val="24"/>
          <w:szCs w:val="24"/>
        </w:rPr>
      </w:pPr>
      <w:r w:rsidRPr="00BF183A">
        <w:rPr>
          <w:sz w:val="24"/>
          <w:szCs w:val="24"/>
        </w:rPr>
        <w:t>Prueba de esto ú</w:t>
      </w:r>
      <w:r w:rsidR="00E16D18" w:rsidRPr="00BF183A">
        <w:rPr>
          <w:sz w:val="24"/>
          <w:szCs w:val="24"/>
        </w:rPr>
        <w:t>ltimo es que durante el año 2021</w:t>
      </w:r>
      <w:r w:rsidR="00BF183A" w:rsidRPr="00BF183A">
        <w:rPr>
          <w:sz w:val="24"/>
          <w:szCs w:val="24"/>
        </w:rPr>
        <w:t xml:space="preserve"> un 76,9</w:t>
      </w:r>
      <w:r w:rsidRPr="00BF183A">
        <w:rPr>
          <w:sz w:val="24"/>
          <w:szCs w:val="24"/>
        </w:rPr>
        <w:t>% de los estudiantes cuenta con gratuidad, lo que refleja un nivel socioeconómico más bajo, y un 2</w:t>
      </w:r>
      <w:r w:rsidR="00BF183A" w:rsidRPr="00BF183A">
        <w:rPr>
          <w:sz w:val="24"/>
          <w:szCs w:val="24"/>
        </w:rPr>
        <w:t>3,1</w:t>
      </w:r>
      <w:r w:rsidRPr="00BF183A">
        <w:rPr>
          <w:sz w:val="24"/>
          <w:szCs w:val="24"/>
        </w:rPr>
        <w:t>% no la posee</w:t>
      </w:r>
      <w:r w:rsidR="00E16D18" w:rsidRPr="00BF183A">
        <w:rPr>
          <w:sz w:val="24"/>
          <w:szCs w:val="24"/>
        </w:rPr>
        <w:t xml:space="preserve"> (DGAI</w:t>
      </w:r>
      <w:r w:rsidR="00E16D18">
        <w:rPr>
          <w:sz w:val="24"/>
          <w:szCs w:val="24"/>
        </w:rPr>
        <w:t>-UBB, 2021</w:t>
      </w:r>
      <w:r w:rsidR="000F5F58">
        <w:rPr>
          <w:sz w:val="24"/>
          <w:szCs w:val="24"/>
        </w:rPr>
        <w:t xml:space="preserve">). </w:t>
      </w:r>
      <w:r>
        <w:rPr>
          <w:sz w:val="24"/>
          <w:szCs w:val="24"/>
        </w:rPr>
        <w:t>Además, los</w:t>
      </w:r>
      <w:r w:rsidR="00E16D18">
        <w:rPr>
          <w:sz w:val="24"/>
          <w:szCs w:val="24"/>
        </w:rPr>
        <w:t>/as</w:t>
      </w:r>
      <w:r>
        <w:rPr>
          <w:sz w:val="24"/>
          <w:szCs w:val="24"/>
        </w:rPr>
        <w:t xml:space="preserve"> estudiantes son de comunas a</w:t>
      </w:r>
      <w:r w:rsidR="00E16D18">
        <w:rPr>
          <w:sz w:val="24"/>
          <w:szCs w:val="24"/>
        </w:rPr>
        <w:t>ledañas o de sectores apartados de la región, por lo que, e</w:t>
      </w:r>
      <w:r>
        <w:rPr>
          <w:sz w:val="24"/>
          <w:szCs w:val="24"/>
        </w:rPr>
        <w:t xml:space="preserve">sta realidad </w:t>
      </w:r>
      <w:r w:rsidR="00E16D18">
        <w:rPr>
          <w:sz w:val="24"/>
          <w:szCs w:val="24"/>
        </w:rPr>
        <w:t xml:space="preserve">podría reflejar </w:t>
      </w:r>
      <w:r>
        <w:rPr>
          <w:sz w:val="24"/>
          <w:szCs w:val="24"/>
        </w:rPr>
        <w:t>una falta de redes sociales y personales</w:t>
      </w:r>
      <w:r w:rsidR="00E16D18">
        <w:rPr>
          <w:sz w:val="24"/>
          <w:szCs w:val="24"/>
        </w:rPr>
        <w:t xml:space="preserve"> al momento de comenzar el año universitario</w:t>
      </w:r>
      <w:r>
        <w:rPr>
          <w:sz w:val="24"/>
          <w:szCs w:val="24"/>
        </w:rPr>
        <w:t>. Durante el año académico se encuentran lejos de sus familias y amigos</w:t>
      </w:r>
      <w:r w:rsidR="00E16D18">
        <w:rPr>
          <w:sz w:val="24"/>
          <w:szCs w:val="24"/>
        </w:rPr>
        <w:t>/as, por lo que, bajo este</w:t>
      </w:r>
      <w:r>
        <w:rPr>
          <w:sz w:val="24"/>
          <w:szCs w:val="24"/>
        </w:rPr>
        <w:t xml:space="preserve"> contexto, el Programa Tutores constituye un aporte para acompañar su inserción, no solo a la universidad y su carrera, sino que también para la construcción de capital social de los estudiantes, permitiéndoles desarrollar rápidamente relaciones sociales y de amistad con estudiantes pares y con los tutores, que son estudiantes de niveles superiores la misma carrera</w:t>
      </w:r>
      <w:r w:rsidR="00E16D18">
        <w:rPr>
          <w:sz w:val="24"/>
          <w:szCs w:val="24"/>
        </w:rPr>
        <w:t>.</w:t>
      </w:r>
      <w:r>
        <w:rPr>
          <w:sz w:val="24"/>
          <w:szCs w:val="24"/>
        </w:rPr>
        <w:t xml:space="preserve"> </w:t>
      </w:r>
    </w:p>
    <w:p w14:paraId="0199300A" w14:textId="18737015" w:rsidR="00BF183A" w:rsidRPr="00986C01" w:rsidRDefault="00986C01" w:rsidP="00BF183A">
      <w:pPr>
        <w:ind w:left="0" w:hanging="2"/>
        <w:rPr>
          <w:b/>
          <w:bCs/>
          <w:color w:val="000000"/>
          <w:position w:val="0"/>
          <w:sz w:val="24"/>
          <w:szCs w:val="24"/>
          <w:lang w:val="es-CL" w:eastAsia="x-none"/>
        </w:rPr>
      </w:pPr>
      <w:r>
        <w:rPr>
          <w:b/>
          <w:bCs/>
          <w:color w:val="000000"/>
          <w:sz w:val="24"/>
          <w:szCs w:val="24"/>
          <w:lang w:val="es-CL" w:eastAsia="x-none"/>
        </w:rPr>
        <w:t>Desarrollo</w:t>
      </w:r>
    </w:p>
    <w:p w14:paraId="6CD4A594" w14:textId="59484479" w:rsidR="00BF183A" w:rsidRDefault="00BF183A" w:rsidP="00BF183A">
      <w:pPr>
        <w:ind w:left="0" w:hanging="2"/>
        <w:rPr>
          <w:sz w:val="24"/>
          <w:szCs w:val="24"/>
          <w:lang w:val="es-CL" w:eastAsia="x-none"/>
        </w:rPr>
      </w:pPr>
      <w:r>
        <w:rPr>
          <w:sz w:val="24"/>
          <w:szCs w:val="24"/>
          <w:lang w:val="es-CL" w:eastAsia="x-none"/>
        </w:rPr>
        <w:t>El Programa de Tutores de la Universidad del Bío-Bío trabaja con un diseño universal, en el cual la carrera cuenta con tutores/as para la totalidad de estudiantes de primer año durante todo el primer año de la vida universitaria en una relación de un/a tutor/a por cada quince estudiantes, siendo los/as tutores/as estudiantes de cursos superiores la misma carrera. Las acciones tutoriales se realizan de acuerdo a una planificación mensual, en donde se realizan actividades de carácter presencial, autónomo y acompañamiento integral, sumando además que esto está incorporado en la malla curricular como una asignatura de formación integral con valor en créditos a través del sistema de créditos transferibles, tributando a las competencias de trabajo colaborativo el primer semestre y disposición para el aprendizaje el segundo semestre. Resulta fundamental por lo mismo analizar cuál ha sido la contribución de la incorporación del programa a la malla académica de la carrera dando énfasis en primer año en cuanto a disminuir las tasas de abandono y mejorar los resultados académicos de la carrera de Contador Público y Auditor. Considerando que dichos indicadores son parte de los procesos de acreditación de las Carreras de Contador y Auditor en Chile (CNA, 2020).</w:t>
      </w:r>
    </w:p>
    <w:p w14:paraId="34E11694" w14:textId="3351E140" w:rsidR="00BF183A" w:rsidRDefault="00BF183A" w:rsidP="00BF183A">
      <w:pPr>
        <w:ind w:left="0" w:hanging="2"/>
        <w:rPr>
          <w:b/>
          <w:bCs/>
          <w:color w:val="000000"/>
          <w:sz w:val="24"/>
          <w:szCs w:val="24"/>
          <w:lang w:val="es-CL" w:eastAsia="x-none"/>
        </w:rPr>
      </w:pPr>
      <w:r>
        <w:rPr>
          <w:b/>
          <w:bCs/>
          <w:color w:val="000000"/>
          <w:sz w:val="24"/>
          <w:szCs w:val="24"/>
          <w:lang w:val="es-CL" w:eastAsia="x-none"/>
        </w:rPr>
        <w:lastRenderedPageBreak/>
        <w:t>Objetivo General</w:t>
      </w:r>
    </w:p>
    <w:p w14:paraId="3A2BFBDD" w14:textId="7AD15C64" w:rsidR="00BF183A" w:rsidRDefault="00BF183A" w:rsidP="00BF183A">
      <w:pPr>
        <w:ind w:left="0" w:hanging="2"/>
        <w:rPr>
          <w:b/>
          <w:bCs/>
          <w:color w:val="000000"/>
          <w:sz w:val="24"/>
          <w:szCs w:val="24"/>
          <w:lang w:val="es-CL" w:eastAsia="x-none"/>
        </w:rPr>
      </w:pPr>
      <w:r>
        <w:rPr>
          <w:sz w:val="24"/>
          <w:szCs w:val="24"/>
        </w:rPr>
        <w:t>Analizar la contribución del Programa Tutores en la retención de los estudiantes de primer año de Contador Público y Auditor de la Universidad del Bío-Bío para las cohortes 2018, 2019, 2020 y 2021.</w:t>
      </w:r>
      <w:r>
        <w:rPr>
          <w:b/>
          <w:bCs/>
          <w:color w:val="000000"/>
          <w:sz w:val="24"/>
          <w:szCs w:val="24"/>
          <w:lang w:val="es-CL" w:eastAsia="x-none"/>
        </w:rPr>
        <w:t xml:space="preserve"> </w:t>
      </w:r>
    </w:p>
    <w:p w14:paraId="446A2DCB" w14:textId="55037DA4" w:rsidR="00BF183A" w:rsidRDefault="00BF183A" w:rsidP="00BF183A">
      <w:pPr>
        <w:ind w:left="0" w:hanging="2"/>
        <w:rPr>
          <w:b/>
          <w:bCs/>
          <w:color w:val="000000"/>
          <w:sz w:val="24"/>
          <w:szCs w:val="24"/>
          <w:lang w:val="es-CL" w:eastAsia="x-none"/>
        </w:rPr>
      </w:pPr>
      <w:r>
        <w:rPr>
          <w:b/>
          <w:bCs/>
          <w:color w:val="000000"/>
          <w:sz w:val="24"/>
          <w:szCs w:val="24"/>
          <w:lang w:val="es-CL" w:eastAsia="x-none"/>
        </w:rPr>
        <w:t>Metodología</w:t>
      </w:r>
    </w:p>
    <w:p w14:paraId="386B9CCA" w14:textId="47199C8B" w:rsidR="00BF183A" w:rsidRDefault="00BF183A" w:rsidP="00BF183A">
      <w:pPr>
        <w:pStyle w:val="Default"/>
        <w:spacing w:after="240"/>
        <w:jc w:val="both"/>
        <w:rPr>
          <w:color w:val="auto"/>
          <w:lang w:val="es-ES" w:eastAsia="es-ES"/>
        </w:rPr>
      </w:pPr>
      <w:r>
        <w:rPr>
          <w:lang w:val="es-CL"/>
        </w:rPr>
        <w:t xml:space="preserve">La presente investigación se enfoca en una metodología de tipo descriptiva, analítica y comparativa, considerando las cohortes 2018, 2019, 2020 y 2021 de estudiantes de primer año de la sede Concepción. </w:t>
      </w:r>
      <w:r>
        <w:rPr>
          <w:color w:val="auto"/>
          <w:lang w:val="es-ES" w:eastAsia="es-ES"/>
        </w:rPr>
        <w:t>Para de</w:t>
      </w:r>
      <w:r w:rsidR="002A3A45">
        <w:rPr>
          <w:color w:val="auto"/>
          <w:lang w:val="es-ES" w:eastAsia="es-ES"/>
        </w:rPr>
        <w:t>scribir la contribución que el P</w:t>
      </w:r>
      <w:r>
        <w:rPr>
          <w:color w:val="auto"/>
          <w:lang w:val="es-ES" w:eastAsia="es-ES"/>
        </w:rPr>
        <w:t>rograma</w:t>
      </w:r>
      <w:r w:rsidR="002A3A45">
        <w:rPr>
          <w:color w:val="auto"/>
          <w:lang w:val="es-ES" w:eastAsia="es-ES"/>
        </w:rPr>
        <w:t xml:space="preserve"> Tutores</w:t>
      </w:r>
      <w:r>
        <w:rPr>
          <w:color w:val="auto"/>
          <w:lang w:val="es-ES" w:eastAsia="es-ES"/>
        </w:rPr>
        <w:t xml:space="preserve"> ha tenido en la carrera, se realizará un análisis que </w:t>
      </w:r>
      <w:r w:rsidR="002A3A45">
        <w:rPr>
          <w:color w:val="auto"/>
          <w:lang w:val="es-ES" w:eastAsia="es-ES"/>
        </w:rPr>
        <w:t>abarcará lo siguiente</w:t>
      </w:r>
      <w:r>
        <w:rPr>
          <w:color w:val="auto"/>
          <w:lang w:val="es-ES" w:eastAsia="es-ES"/>
        </w:rPr>
        <w:t xml:space="preserve">: </w:t>
      </w:r>
    </w:p>
    <w:p w14:paraId="136AB545" w14:textId="77777777" w:rsidR="00BF183A" w:rsidRDefault="00BF183A" w:rsidP="00BF183A">
      <w:pPr>
        <w:pStyle w:val="Default"/>
        <w:spacing w:after="240"/>
        <w:jc w:val="both"/>
        <w:rPr>
          <w:color w:val="auto"/>
          <w:lang w:val="es-ES" w:eastAsia="es-ES"/>
        </w:rPr>
      </w:pPr>
      <w:r>
        <w:rPr>
          <w:color w:val="auto"/>
          <w:lang w:val="es-ES" w:eastAsia="es-ES"/>
        </w:rPr>
        <w:t xml:space="preserve">a) Análisis descriptivo de indicadores institucionales asociados al Programa y la Universidad. </w:t>
      </w:r>
    </w:p>
    <w:p w14:paraId="7FB8E145" w14:textId="785B5B75" w:rsidR="00BF183A" w:rsidRDefault="00BF183A" w:rsidP="00BF183A">
      <w:pPr>
        <w:ind w:left="0" w:hanging="2"/>
        <w:rPr>
          <w:sz w:val="24"/>
          <w:szCs w:val="24"/>
        </w:rPr>
      </w:pPr>
      <w:r>
        <w:rPr>
          <w:sz w:val="24"/>
          <w:szCs w:val="24"/>
        </w:rPr>
        <w:t>b) Análisis correlacionado del indicador institucional de retención en primer año con el indicador de asistencia</w:t>
      </w:r>
      <w:r w:rsidR="002A3A45">
        <w:rPr>
          <w:sz w:val="24"/>
          <w:szCs w:val="24"/>
        </w:rPr>
        <w:t xml:space="preserve"> al programa</w:t>
      </w:r>
      <w:r>
        <w:rPr>
          <w:sz w:val="24"/>
          <w:szCs w:val="24"/>
        </w:rPr>
        <w:t>.</w:t>
      </w:r>
    </w:p>
    <w:p w14:paraId="72A6FFA9" w14:textId="191B3723" w:rsidR="00BF183A" w:rsidRDefault="00BF183A" w:rsidP="00BF183A">
      <w:pPr>
        <w:ind w:left="0" w:hanging="2"/>
        <w:rPr>
          <w:b/>
          <w:bCs/>
          <w:color w:val="000000"/>
          <w:sz w:val="24"/>
          <w:szCs w:val="24"/>
          <w:lang w:val="es-CL" w:eastAsia="x-none"/>
        </w:rPr>
      </w:pPr>
      <w:r>
        <w:rPr>
          <w:b/>
          <w:bCs/>
          <w:color w:val="000000"/>
          <w:sz w:val="24"/>
          <w:szCs w:val="24"/>
          <w:lang w:val="es-CL" w:eastAsia="x-none"/>
        </w:rPr>
        <w:t>Descripción</w:t>
      </w:r>
    </w:p>
    <w:p w14:paraId="0BAAF04E" w14:textId="178D3FDE" w:rsidR="00BF183A" w:rsidRDefault="00BF183A" w:rsidP="00BF183A">
      <w:pPr>
        <w:pStyle w:val="Default"/>
        <w:spacing w:after="240"/>
        <w:jc w:val="both"/>
        <w:rPr>
          <w:b/>
          <w:bCs/>
          <w:lang w:val="es-CL" w:eastAsia="x-none"/>
        </w:rPr>
      </w:pPr>
      <w:r>
        <w:rPr>
          <w:color w:val="auto"/>
          <w:lang w:val="es-ES" w:eastAsia="es-ES"/>
        </w:rPr>
        <w:t xml:space="preserve">La Universidad del Bío-Bío desarrolla diversos programas </w:t>
      </w:r>
      <w:r w:rsidR="00E23B2E">
        <w:rPr>
          <w:color w:val="auto"/>
          <w:lang w:val="es-ES" w:eastAsia="es-ES"/>
        </w:rPr>
        <w:t xml:space="preserve">e iniciativas </w:t>
      </w:r>
      <w:r>
        <w:rPr>
          <w:color w:val="auto"/>
          <w:lang w:val="es-ES" w:eastAsia="es-ES"/>
        </w:rPr>
        <w:t xml:space="preserve">que buscan aportar a </w:t>
      </w:r>
      <w:r w:rsidR="00E23B2E">
        <w:rPr>
          <w:color w:val="auto"/>
          <w:lang w:val="es-ES" w:eastAsia="es-ES"/>
        </w:rPr>
        <w:t xml:space="preserve">mejorar </w:t>
      </w:r>
      <w:r>
        <w:rPr>
          <w:color w:val="auto"/>
          <w:lang w:val="es-ES" w:eastAsia="es-ES"/>
        </w:rPr>
        <w:t xml:space="preserve">la retención de sus estudiantes. Donde se destaca el Programa Tutores, creado el año 2009, con el objetivo de contribuir al éxito académico de los estudiantes de primer año de los tres primeros quintiles, mejorando sus tasas de aprobación y retención. Dicho trabajo se logra mediante la aplicación de estrategias institucionales de inducción y transición a la vida universitaria, y el desarrollo de competencias específicas y genéricas. El PT utiliza una metodología de pares, que permite el desarrollo del trabajo colaborativo entre estudiantes, enfocándose principalmente en un </w:t>
      </w:r>
      <w:r w:rsidR="00E23B2E">
        <w:rPr>
          <w:color w:val="auto"/>
          <w:lang w:val="es-ES" w:eastAsia="es-ES"/>
        </w:rPr>
        <w:t>acompañamiento</w:t>
      </w:r>
      <w:r>
        <w:rPr>
          <w:color w:val="auto"/>
          <w:lang w:val="es-ES" w:eastAsia="es-ES"/>
        </w:rPr>
        <w:t xml:space="preserve"> integral del fenómeno</w:t>
      </w:r>
      <w:r w:rsidR="00E23B2E">
        <w:rPr>
          <w:color w:val="auto"/>
          <w:lang w:val="es-ES" w:eastAsia="es-ES"/>
        </w:rPr>
        <w:t xml:space="preserve"> de deserción</w:t>
      </w:r>
      <w:r>
        <w:rPr>
          <w:color w:val="auto"/>
          <w:lang w:val="es-ES" w:eastAsia="es-ES"/>
        </w:rPr>
        <w:t>. Dicho modelo, se ha caracterizado por generar equidad educativa y ser universal, aplicándose a todos</w:t>
      </w:r>
      <w:r w:rsidR="00E23B2E">
        <w:rPr>
          <w:color w:val="auto"/>
          <w:lang w:val="es-ES" w:eastAsia="es-ES"/>
        </w:rPr>
        <w:t>/as</w:t>
      </w:r>
      <w:r>
        <w:rPr>
          <w:color w:val="auto"/>
          <w:lang w:val="es-ES" w:eastAsia="es-ES"/>
        </w:rPr>
        <w:t xml:space="preserve"> los</w:t>
      </w:r>
      <w:r w:rsidR="00E23B2E">
        <w:rPr>
          <w:color w:val="auto"/>
          <w:lang w:val="es-ES" w:eastAsia="es-ES"/>
        </w:rPr>
        <w:t>/as</w:t>
      </w:r>
      <w:r>
        <w:rPr>
          <w:color w:val="auto"/>
          <w:lang w:val="es-ES" w:eastAsia="es-ES"/>
        </w:rPr>
        <w:t xml:space="preserve"> estudiantes de primer año, independiente de sus características de ingreso, utilizando como criterio de focalización sólo los indicadores académicos de las carreras asociadas al programa. El PT, posee una mirada de “carreras”, por lo que para el presente estudio se analiza la carrera de </w:t>
      </w:r>
      <w:r w:rsidR="00E23B2E">
        <w:rPr>
          <w:color w:val="auto"/>
          <w:lang w:val="es-ES" w:eastAsia="es-ES"/>
        </w:rPr>
        <w:t>CPA</w:t>
      </w:r>
      <w:r>
        <w:rPr>
          <w:color w:val="auto"/>
          <w:lang w:val="es-ES" w:eastAsia="es-ES"/>
        </w:rPr>
        <w:t>, donde el Director de Escuela, junto a un Encargado de Carrera y los</w:t>
      </w:r>
      <w:r w:rsidR="00E23B2E">
        <w:rPr>
          <w:color w:val="auto"/>
          <w:lang w:val="es-ES" w:eastAsia="es-ES"/>
        </w:rPr>
        <w:t>/as</w:t>
      </w:r>
      <w:r>
        <w:rPr>
          <w:color w:val="auto"/>
          <w:lang w:val="es-ES" w:eastAsia="es-ES"/>
        </w:rPr>
        <w:t xml:space="preserve"> tutores</w:t>
      </w:r>
      <w:r w:rsidR="00E23B2E">
        <w:rPr>
          <w:color w:val="auto"/>
          <w:lang w:val="es-ES" w:eastAsia="es-ES"/>
        </w:rPr>
        <w:t>/as</w:t>
      </w:r>
      <w:r>
        <w:rPr>
          <w:color w:val="auto"/>
          <w:lang w:val="es-ES" w:eastAsia="es-ES"/>
        </w:rPr>
        <w:t>, facilitan el quehacer en torno a los estudiantes de primer año. Los</w:t>
      </w:r>
      <w:r w:rsidR="00E23B2E">
        <w:rPr>
          <w:color w:val="auto"/>
          <w:lang w:val="es-ES" w:eastAsia="es-ES"/>
        </w:rPr>
        <w:t>/as</w:t>
      </w:r>
      <w:r>
        <w:rPr>
          <w:color w:val="auto"/>
          <w:lang w:val="es-ES" w:eastAsia="es-ES"/>
        </w:rPr>
        <w:t xml:space="preserve"> tutores</w:t>
      </w:r>
      <w:r w:rsidR="00E23B2E">
        <w:rPr>
          <w:color w:val="auto"/>
          <w:lang w:val="es-ES" w:eastAsia="es-ES"/>
        </w:rPr>
        <w:t>/as</w:t>
      </w:r>
      <w:r>
        <w:rPr>
          <w:color w:val="auto"/>
          <w:lang w:val="es-ES" w:eastAsia="es-ES"/>
        </w:rPr>
        <w:t>, son quienes trabajan de manera directa con cada estudiante de primer añ</w:t>
      </w:r>
      <w:r w:rsidR="00E23B2E">
        <w:rPr>
          <w:color w:val="auto"/>
          <w:lang w:val="es-ES" w:eastAsia="es-ES"/>
        </w:rPr>
        <w:t>o en grupos de aprendizaje de 15</w:t>
      </w:r>
      <w:r>
        <w:rPr>
          <w:color w:val="auto"/>
          <w:lang w:val="es-ES" w:eastAsia="es-ES"/>
        </w:rPr>
        <w:t xml:space="preserve"> estudiantes aproximadamente, reforzando y fortaleciendo contenidos ausentes relacionados a asignaturas críticas, desarrollando métodos y estrategias de est</w:t>
      </w:r>
      <w:r w:rsidR="00E23B2E">
        <w:rPr>
          <w:color w:val="auto"/>
          <w:lang w:val="es-ES" w:eastAsia="es-ES"/>
        </w:rPr>
        <w:t xml:space="preserve">udio pertinentes a la carrera, </w:t>
      </w:r>
      <w:r>
        <w:rPr>
          <w:color w:val="auto"/>
          <w:lang w:val="es-ES" w:eastAsia="es-ES"/>
        </w:rPr>
        <w:t xml:space="preserve">guiando y acompañando el proceso de adaptación y transición a la vida universitaria, siendo </w:t>
      </w:r>
      <w:r w:rsidR="00E23B2E">
        <w:rPr>
          <w:color w:val="auto"/>
          <w:lang w:val="es-ES" w:eastAsia="es-ES"/>
        </w:rPr>
        <w:t>un ejemplo</w:t>
      </w:r>
      <w:r>
        <w:rPr>
          <w:color w:val="auto"/>
          <w:lang w:val="es-ES" w:eastAsia="es-ES"/>
        </w:rPr>
        <w:t xml:space="preserve"> y entregando herramientas básicas para el desarro</w:t>
      </w:r>
      <w:r w:rsidR="00E23B2E">
        <w:rPr>
          <w:color w:val="auto"/>
          <w:lang w:val="es-ES" w:eastAsia="es-ES"/>
        </w:rPr>
        <w:t xml:space="preserve">llo de competencias genéricas, </w:t>
      </w:r>
      <w:r>
        <w:rPr>
          <w:color w:val="auto"/>
          <w:lang w:val="es-ES" w:eastAsia="es-ES"/>
        </w:rPr>
        <w:t>orientando y motivando a los estudiantes de primer año. Comprendiendo también que, para el logro del éxito académico, es necesario el desarrollo integral</w:t>
      </w:r>
      <w:r w:rsidR="00E23B2E">
        <w:rPr>
          <w:color w:val="auto"/>
          <w:lang w:val="es-ES" w:eastAsia="es-ES"/>
        </w:rPr>
        <w:t xml:space="preserve"> del estudiante</w:t>
      </w:r>
      <w:r>
        <w:rPr>
          <w:color w:val="auto"/>
          <w:lang w:val="es-ES" w:eastAsia="es-ES"/>
        </w:rPr>
        <w:t xml:space="preserve">, lo que beneficiará </w:t>
      </w:r>
      <w:r w:rsidR="00E23B2E">
        <w:rPr>
          <w:color w:val="auto"/>
          <w:lang w:val="es-ES" w:eastAsia="es-ES"/>
        </w:rPr>
        <w:t xml:space="preserve">de manera directa a </w:t>
      </w:r>
      <w:r>
        <w:rPr>
          <w:color w:val="auto"/>
          <w:lang w:val="es-ES" w:eastAsia="es-ES"/>
        </w:rPr>
        <w:t>los indicadores institucionales. Así, las tutorías se transforman en un espacio colaborativo</w:t>
      </w:r>
      <w:r w:rsidR="00E23B2E">
        <w:rPr>
          <w:color w:val="auto"/>
          <w:lang w:val="es-ES" w:eastAsia="es-ES"/>
        </w:rPr>
        <w:t xml:space="preserve"> y de disposición para el aprendizaje </w:t>
      </w:r>
      <w:r>
        <w:rPr>
          <w:color w:val="auto"/>
          <w:lang w:val="es-ES" w:eastAsia="es-ES"/>
        </w:rPr>
        <w:t>entre los</w:t>
      </w:r>
      <w:r w:rsidR="00E23B2E">
        <w:rPr>
          <w:color w:val="auto"/>
          <w:lang w:val="es-ES" w:eastAsia="es-ES"/>
        </w:rPr>
        <w:t>/as</w:t>
      </w:r>
      <w:r>
        <w:rPr>
          <w:color w:val="auto"/>
          <w:lang w:val="es-ES" w:eastAsia="es-ES"/>
        </w:rPr>
        <w:t xml:space="preserve"> estudiantes de primer año y su respectivo tutor</w:t>
      </w:r>
      <w:r w:rsidR="00E23B2E">
        <w:rPr>
          <w:color w:val="auto"/>
          <w:lang w:val="es-ES" w:eastAsia="es-ES"/>
        </w:rPr>
        <w:t>/a</w:t>
      </w:r>
      <w:r>
        <w:rPr>
          <w:color w:val="auto"/>
          <w:lang w:val="es-ES" w:eastAsia="es-ES"/>
        </w:rPr>
        <w:t xml:space="preserve">, </w:t>
      </w:r>
      <w:r w:rsidR="00E23B2E">
        <w:rPr>
          <w:color w:val="auto"/>
          <w:lang w:val="es-ES" w:eastAsia="es-ES"/>
        </w:rPr>
        <w:t>trabajando</w:t>
      </w:r>
      <w:r>
        <w:rPr>
          <w:color w:val="auto"/>
          <w:lang w:val="es-ES" w:eastAsia="es-ES"/>
        </w:rPr>
        <w:t xml:space="preserve"> los componentes del programa, </w:t>
      </w:r>
      <w:r w:rsidR="00E23B2E">
        <w:rPr>
          <w:color w:val="auto"/>
          <w:lang w:val="es-ES" w:eastAsia="es-ES"/>
        </w:rPr>
        <w:t xml:space="preserve">de manera mensual con un mínimo de actividades requeridas, cada instancia con una duración aproximada de 80 minutos </w:t>
      </w:r>
      <w:r>
        <w:rPr>
          <w:color w:val="auto"/>
          <w:lang w:val="es-ES" w:eastAsia="es-ES"/>
        </w:rPr>
        <w:t>(2 horas pedagógicas) desarrollando actividades de apoyo en el área que los estudiantes lo requieran, ya sea según diagnóstico inicial o necesidades emergentes del período académico.</w:t>
      </w:r>
      <w:r>
        <w:rPr>
          <w:color w:val="FF0000"/>
          <w:lang w:val="es-ES" w:eastAsia="es-ES"/>
        </w:rPr>
        <w:t xml:space="preserve"> </w:t>
      </w:r>
    </w:p>
    <w:p w14:paraId="37D1A831" w14:textId="36E3D418" w:rsidR="00BF183A" w:rsidRDefault="00BF183A" w:rsidP="00BC1C98">
      <w:pPr>
        <w:suppressAutoHyphens w:val="0"/>
        <w:spacing w:line="240" w:lineRule="auto"/>
        <w:ind w:leftChars="0" w:left="0" w:firstLineChars="0" w:firstLine="0"/>
        <w:textDirection w:val="lrTb"/>
        <w:textAlignment w:val="auto"/>
        <w:outlineLvl w:val="9"/>
        <w:rPr>
          <w:b/>
          <w:bCs/>
          <w:color w:val="000000"/>
          <w:sz w:val="24"/>
          <w:szCs w:val="24"/>
          <w:lang w:val="es-CL" w:eastAsia="x-none"/>
        </w:rPr>
      </w:pPr>
      <w:r>
        <w:rPr>
          <w:b/>
          <w:bCs/>
          <w:color w:val="000000"/>
          <w:sz w:val="24"/>
          <w:szCs w:val="24"/>
          <w:lang w:val="es-CL" w:eastAsia="x-none"/>
        </w:rPr>
        <w:t>Resultados Obtenidos</w:t>
      </w:r>
    </w:p>
    <w:p w14:paraId="012E4110" w14:textId="237A35AB" w:rsidR="00BF183A" w:rsidRDefault="00BF183A" w:rsidP="00BC1C98">
      <w:pPr>
        <w:pStyle w:val="Default"/>
        <w:spacing w:after="120"/>
        <w:ind w:left="-1"/>
        <w:rPr>
          <w:b/>
          <w:color w:val="auto"/>
          <w:lang w:val="es-ES" w:eastAsia="es-ES"/>
        </w:rPr>
      </w:pPr>
      <w:r>
        <w:rPr>
          <w:b/>
          <w:color w:val="auto"/>
          <w:lang w:val="es-ES" w:eastAsia="es-ES"/>
        </w:rPr>
        <w:t>Cobertura y Asistencia</w:t>
      </w:r>
    </w:p>
    <w:p w14:paraId="6682AD72" w14:textId="3D2D68FF" w:rsidR="00BF183A" w:rsidRDefault="00BF183A" w:rsidP="00BC1C98">
      <w:pPr>
        <w:pStyle w:val="Default"/>
        <w:spacing w:after="120"/>
        <w:ind w:left="-1"/>
        <w:jc w:val="both"/>
        <w:rPr>
          <w:color w:val="auto"/>
          <w:lang w:val="es-ES" w:eastAsia="es-ES"/>
        </w:rPr>
      </w:pPr>
      <w:r>
        <w:rPr>
          <w:color w:val="auto"/>
          <w:lang w:val="es-ES" w:eastAsia="es-ES"/>
        </w:rPr>
        <w:t xml:space="preserve">La cobertura del PT para la carrera de </w:t>
      </w:r>
      <w:r w:rsidR="00E23B2E">
        <w:rPr>
          <w:color w:val="auto"/>
          <w:lang w:val="es-ES" w:eastAsia="es-ES"/>
        </w:rPr>
        <w:t>CPA</w:t>
      </w:r>
      <w:r>
        <w:rPr>
          <w:color w:val="auto"/>
          <w:lang w:val="es-ES" w:eastAsia="es-ES"/>
        </w:rPr>
        <w:t xml:space="preserve"> está representada por el número de matriculados por cada año, esto debido a que el PT trabaja con todos</w:t>
      </w:r>
      <w:r w:rsidR="00E23B2E">
        <w:rPr>
          <w:color w:val="auto"/>
          <w:lang w:val="es-ES" w:eastAsia="es-ES"/>
        </w:rPr>
        <w:t>/as</w:t>
      </w:r>
      <w:r>
        <w:rPr>
          <w:color w:val="auto"/>
          <w:lang w:val="es-ES" w:eastAsia="es-ES"/>
        </w:rPr>
        <w:t xml:space="preserve"> los</w:t>
      </w:r>
      <w:r w:rsidR="00E23B2E">
        <w:rPr>
          <w:color w:val="auto"/>
          <w:lang w:val="es-ES" w:eastAsia="es-ES"/>
        </w:rPr>
        <w:t>/as</w:t>
      </w:r>
      <w:r>
        <w:rPr>
          <w:color w:val="auto"/>
          <w:lang w:val="es-ES" w:eastAsia="es-ES"/>
        </w:rPr>
        <w:t xml:space="preserve"> estudiantes de la cohorte durante primer y segundo semestre sin distinción. A continuación, se presenta una tabla con la m</w:t>
      </w:r>
      <w:r w:rsidR="00E23B2E">
        <w:rPr>
          <w:color w:val="auto"/>
          <w:lang w:val="es-ES" w:eastAsia="es-ES"/>
        </w:rPr>
        <w:t>atrícula anual de la carrera CPA</w:t>
      </w:r>
      <w:r>
        <w:rPr>
          <w:color w:val="auto"/>
          <w:lang w:val="es-ES" w:eastAsia="es-ES"/>
        </w:rPr>
        <w:t>.</w:t>
      </w:r>
    </w:p>
    <w:p w14:paraId="3E44D5D1" w14:textId="72B6BB27" w:rsidR="00BF183A" w:rsidRDefault="00BF183A" w:rsidP="00BF183A">
      <w:pPr>
        <w:pStyle w:val="Default"/>
        <w:jc w:val="both"/>
        <w:rPr>
          <w:color w:val="auto"/>
          <w:lang w:val="es-ES" w:eastAsia="es-ES"/>
        </w:rPr>
      </w:pPr>
      <w:r>
        <w:rPr>
          <w:color w:val="auto"/>
          <w:sz w:val="16"/>
          <w:lang w:val="es-ES" w:eastAsia="es-ES"/>
        </w:rPr>
        <w:lastRenderedPageBreak/>
        <w:t xml:space="preserve">Tabla 1: Matrícula anual carrera </w:t>
      </w:r>
      <w:r w:rsidR="00E23B2E">
        <w:rPr>
          <w:color w:val="auto"/>
          <w:sz w:val="16"/>
          <w:lang w:val="es-ES" w:eastAsia="es-ES"/>
        </w:rPr>
        <w:t>Contador Público Auditor</w:t>
      </w:r>
      <w:r>
        <w:rPr>
          <w:color w:val="auto"/>
          <w:sz w:val="16"/>
          <w:lang w:val="es-ES" w:eastAsia="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374"/>
        <w:gridCol w:w="1375"/>
        <w:gridCol w:w="1375"/>
        <w:gridCol w:w="1375"/>
        <w:gridCol w:w="1375"/>
        <w:gridCol w:w="1379"/>
      </w:tblGrid>
      <w:tr w:rsidR="00BF183A" w:rsidRPr="00BF183A" w14:paraId="28AD6F55" w14:textId="77777777" w:rsidTr="00E23B2E">
        <w:trPr>
          <w:trHeight w:val="281"/>
        </w:trPr>
        <w:tc>
          <w:tcPr>
            <w:tcW w:w="9633" w:type="dxa"/>
            <w:gridSpan w:val="7"/>
            <w:tcBorders>
              <w:top w:val="single" w:sz="4" w:space="0" w:color="auto"/>
              <w:left w:val="single" w:sz="4" w:space="0" w:color="auto"/>
              <w:bottom w:val="single" w:sz="4" w:space="0" w:color="auto"/>
              <w:right w:val="single" w:sz="4" w:space="0" w:color="auto"/>
            </w:tcBorders>
            <w:shd w:val="clear" w:color="auto" w:fill="000099"/>
            <w:hideMark/>
          </w:tcPr>
          <w:p w14:paraId="71CB8B57" w14:textId="77777777" w:rsidR="00BF183A" w:rsidRDefault="00BF183A">
            <w:pPr>
              <w:pStyle w:val="Default"/>
              <w:jc w:val="center"/>
              <w:rPr>
                <w:color w:val="auto"/>
                <w:sz w:val="20"/>
                <w:lang w:val="es-ES" w:eastAsia="es-ES"/>
              </w:rPr>
            </w:pPr>
            <w:r>
              <w:rPr>
                <w:color w:val="auto"/>
                <w:sz w:val="20"/>
                <w:lang w:val="es-ES" w:eastAsia="es-ES"/>
              </w:rPr>
              <w:t>Matrícula/Cobertura Estudiantes Primer Año</w:t>
            </w:r>
          </w:p>
        </w:tc>
      </w:tr>
      <w:tr w:rsidR="00E23B2E" w14:paraId="7F41F057" w14:textId="77777777" w:rsidTr="00E23B2E">
        <w:trPr>
          <w:trHeight w:val="281"/>
        </w:trPr>
        <w:tc>
          <w:tcPr>
            <w:tcW w:w="1283" w:type="dxa"/>
            <w:tcBorders>
              <w:top w:val="single" w:sz="4" w:space="0" w:color="auto"/>
              <w:left w:val="single" w:sz="4" w:space="0" w:color="auto"/>
              <w:bottom w:val="single" w:sz="4" w:space="0" w:color="auto"/>
              <w:right w:val="single" w:sz="4" w:space="0" w:color="auto"/>
            </w:tcBorders>
            <w:shd w:val="clear" w:color="auto" w:fill="000099"/>
            <w:hideMark/>
          </w:tcPr>
          <w:p w14:paraId="2094EAEB" w14:textId="2B751BBB" w:rsidR="00BF183A" w:rsidRDefault="00E23B2E">
            <w:pPr>
              <w:pStyle w:val="Default"/>
              <w:jc w:val="center"/>
              <w:rPr>
                <w:color w:val="auto"/>
                <w:sz w:val="20"/>
                <w:lang w:val="es-ES" w:eastAsia="es-ES"/>
              </w:rPr>
            </w:pPr>
            <w:r>
              <w:rPr>
                <w:color w:val="auto"/>
                <w:sz w:val="20"/>
                <w:lang w:val="es-ES" w:eastAsia="es-ES"/>
              </w:rPr>
              <w:t>2015</w:t>
            </w:r>
          </w:p>
        </w:tc>
        <w:tc>
          <w:tcPr>
            <w:tcW w:w="1391" w:type="dxa"/>
            <w:tcBorders>
              <w:top w:val="single" w:sz="4" w:space="0" w:color="auto"/>
              <w:left w:val="single" w:sz="4" w:space="0" w:color="auto"/>
              <w:bottom w:val="single" w:sz="4" w:space="0" w:color="auto"/>
              <w:right w:val="single" w:sz="4" w:space="0" w:color="auto"/>
            </w:tcBorders>
            <w:shd w:val="clear" w:color="auto" w:fill="000099"/>
            <w:hideMark/>
          </w:tcPr>
          <w:p w14:paraId="0C050773" w14:textId="5680E7C4" w:rsidR="00BF183A" w:rsidRDefault="00E23B2E">
            <w:pPr>
              <w:pStyle w:val="Default"/>
              <w:jc w:val="center"/>
              <w:rPr>
                <w:color w:val="auto"/>
                <w:sz w:val="20"/>
                <w:lang w:val="es-ES" w:eastAsia="es-ES"/>
              </w:rPr>
            </w:pPr>
            <w:r>
              <w:rPr>
                <w:color w:val="auto"/>
                <w:sz w:val="20"/>
                <w:lang w:val="es-ES" w:eastAsia="es-ES"/>
              </w:rPr>
              <w:t>2016</w:t>
            </w:r>
          </w:p>
        </w:tc>
        <w:tc>
          <w:tcPr>
            <w:tcW w:w="1391" w:type="dxa"/>
            <w:tcBorders>
              <w:top w:val="single" w:sz="4" w:space="0" w:color="auto"/>
              <w:left w:val="single" w:sz="4" w:space="0" w:color="auto"/>
              <w:bottom w:val="single" w:sz="4" w:space="0" w:color="auto"/>
              <w:right w:val="single" w:sz="4" w:space="0" w:color="auto"/>
            </w:tcBorders>
            <w:shd w:val="clear" w:color="auto" w:fill="000099"/>
            <w:hideMark/>
          </w:tcPr>
          <w:p w14:paraId="37FB8498" w14:textId="01029A5A" w:rsidR="00BF183A" w:rsidRDefault="00E23B2E">
            <w:pPr>
              <w:pStyle w:val="Default"/>
              <w:jc w:val="center"/>
              <w:rPr>
                <w:color w:val="auto"/>
                <w:sz w:val="20"/>
                <w:lang w:val="es-ES" w:eastAsia="es-ES"/>
              </w:rPr>
            </w:pPr>
            <w:r>
              <w:rPr>
                <w:color w:val="auto"/>
                <w:sz w:val="20"/>
                <w:lang w:val="es-ES" w:eastAsia="es-ES"/>
              </w:rPr>
              <w:t>2017</w:t>
            </w:r>
          </w:p>
        </w:tc>
        <w:tc>
          <w:tcPr>
            <w:tcW w:w="1391" w:type="dxa"/>
            <w:tcBorders>
              <w:top w:val="single" w:sz="4" w:space="0" w:color="auto"/>
              <w:left w:val="single" w:sz="4" w:space="0" w:color="auto"/>
              <w:bottom w:val="single" w:sz="4" w:space="0" w:color="auto"/>
              <w:right w:val="single" w:sz="4" w:space="0" w:color="auto"/>
            </w:tcBorders>
            <w:shd w:val="clear" w:color="auto" w:fill="000099"/>
            <w:hideMark/>
          </w:tcPr>
          <w:p w14:paraId="471A8F70" w14:textId="372B4CB8" w:rsidR="00BF183A" w:rsidRDefault="00E23B2E">
            <w:pPr>
              <w:pStyle w:val="Default"/>
              <w:jc w:val="center"/>
              <w:rPr>
                <w:color w:val="auto"/>
                <w:sz w:val="20"/>
                <w:lang w:val="es-ES" w:eastAsia="es-ES"/>
              </w:rPr>
            </w:pPr>
            <w:r>
              <w:rPr>
                <w:color w:val="auto"/>
                <w:sz w:val="20"/>
                <w:lang w:val="es-ES" w:eastAsia="es-ES"/>
              </w:rPr>
              <w:t>2018</w:t>
            </w:r>
          </w:p>
        </w:tc>
        <w:tc>
          <w:tcPr>
            <w:tcW w:w="1391" w:type="dxa"/>
            <w:tcBorders>
              <w:top w:val="single" w:sz="4" w:space="0" w:color="auto"/>
              <w:left w:val="single" w:sz="4" w:space="0" w:color="auto"/>
              <w:bottom w:val="single" w:sz="4" w:space="0" w:color="auto"/>
              <w:right w:val="single" w:sz="4" w:space="0" w:color="auto"/>
            </w:tcBorders>
            <w:shd w:val="clear" w:color="auto" w:fill="000099"/>
            <w:hideMark/>
          </w:tcPr>
          <w:p w14:paraId="60FD9BD2" w14:textId="76F498C4" w:rsidR="00BF183A" w:rsidRDefault="00E23B2E">
            <w:pPr>
              <w:pStyle w:val="Default"/>
              <w:jc w:val="center"/>
              <w:rPr>
                <w:color w:val="auto"/>
                <w:sz w:val="20"/>
                <w:lang w:val="es-ES" w:eastAsia="es-ES"/>
              </w:rPr>
            </w:pPr>
            <w:r>
              <w:rPr>
                <w:color w:val="auto"/>
                <w:sz w:val="20"/>
                <w:lang w:val="es-ES" w:eastAsia="es-ES"/>
              </w:rPr>
              <w:t>2019</w:t>
            </w:r>
          </w:p>
        </w:tc>
        <w:tc>
          <w:tcPr>
            <w:tcW w:w="1391" w:type="dxa"/>
            <w:tcBorders>
              <w:top w:val="single" w:sz="4" w:space="0" w:color="auto"/>
              <w:left w:val="single" w:sz="4" w:space="0" w:color="auto"/>
              <w:bottom w:val="single" w:sz="4" w:space="0" w:color="auto"/>
              <w:right w:val="single" w:sz="4" w:space="0" w:color="auto"/>
            </w:tcBorders>
            <w:shd w:val="clear" w:color="auto" w:fill="000099"/>
            <w:hideMark/>
          </w:tcPr>
          <w:p w14:paraId="7C4FA2D9" w14:textId="67F32411" w:rsidR="00BF183A" w:rsidRDefault="00E23B2E">
            <w:pPr>
              <w:pStyle w:val="Default"/>
              <w:jc w:val="center"/>
              <w:rPr>
                <w:color w:val="auto"/>
                <w:sz w:val="20"/>
                <w:lang w:val="es-ES" w:eastAsia="es-ES"/>
              </w:rPr>
            </w:pPr>
            <w:r>
              <w:rPr>
                <w:color w:val="auto"/>
                <w:sz w:val="20"/>
                <w:lang w:val="es-ES" w:eastAsia="es-ES"/>
              </w:rPr>
              <w:t>2020</w:t>
            </w:r>
          </w:p>
        </w:tc>
        <w:tc>
          <w:tcPr>
            <w:tcW w:w="1395" w:type="dxa"/>
            <w:tcBorders>
              <w:top w:val="single" w:sz="4" w:space="0" w:color="auto"/>
              <w:left w:val="single" w:sz="4" w:space="0" w:color="auto"/>
              <w:bottom w:val="single" w:sz="4" w:space="0" w:color="auto"/>
              <w:right w:val="single" w:sz="4" w:space="0" w:color="auto"/>
            </w:tcBorders>
            <w:shd w:val="clear" w:color="auto" w:fill="000099"/>
            <w:hideMark/>
          </w:tcPr>
          <w:p w14:paraId="16275DB0" w14:textId="6332DB1B" w:rsidR="00BF183A" w:rsidRDefault="00E23B2E">
            <w:pPr>
              <w:pStyle w:val="Default"/>
              <w:jc w:val="center"/>
              <w:rPr>
                <w:color w:val="auto"/>
                <w:sz w:val="20"/>
                <w:lang w:val="es-ES" w:eastAsia="es-ES"/>
              </w:rPr>
            </w:pPr>
            <w:r>
              <w:rPr>
                <w:color w:val="auto"/>
                <w:sz w:val="20"/>
                <w:lang w:val="es-ES" w:eastAsia="es-ES"/>
              </w:rPr>
              <w:t>2021</w:t>
            </w:r>
          </w:p>
        </w:tc>
      </w:tr>
      <w:tr w:rsidR="00BF183A" w14:paraId="5D1527EB" w14:textId="77777777" w:rsidTr="00E23B2E">
        <w:trPr>
          <w:trHeight w:val="281"/>
        </w:trPr>
        <w:tc>
          <w:tcPr>
            <w:tcW w:w="1283" w:type="dxa"/>
            <w:tcBorders>
              <w:top w:val="single" w:sz="4" w:space="0" w:color="auto"/>
              <w:left w:val="single" w:sz="4" w:space="0" w:color="auto"/>
              <w:bottom w:val="single" w:sz="4" w:space="0" w:color="auto"/>
              <w:right w:val="single" w:sz="4" w:space="0" w:color="auto"/>
            </w:tcBorders>
            <w:hideMark/>
          </w:tcPr>
          <w:p w14:paraId="1FAE3DC8" w14:textId="1C3CC7DC" w:rsidR="00BF183A" w:rsidRDefault="00E23B2E">
            <w:pPr>
              <w:pStyle w:val="Default"/>
              <w:jc w:val="center"/>
              <w:rPr>
                <w:color w:val="auto"/>
                <w:sz w:val="20"/>
                <w:lang w:val="es-ES" w:eastAsia="es-ES"/>
              </w:rPr>
            </w:pPr>
            <w:r>
              <w:rPr>
                <w:color w:val="auto"/>
                <w:sz w:val="20"/>
                <w:lang w:val="es-ES" w:eastAsia="es-ES"/>
              </w:rPr>
              <w:t>67</w:t>
            </w:r>
          </w:p>
        </w:tc>
        <w:tc>
          <w:tcPr>
            <w:tcW w:w="1391" w:type="dxa"/>
            <w:tcBorders>
              <w:top w:val="single" w:sz="4" w:space="0" w:color="auto"/>
              <w:left w:val="single" w:sz="4" w:space="0" w:color="auto"/>
              <w:bottom w:val="single" w:sz="4" w:space="0" w:color="auto"/>
              <w:right w:val="single" w:sz="4" w:space="0" w:color="auto"/>
            </w:tcBorders>
            <w:hideMark/>
          </w:tcPr>
          <w:p w14:paraId="7A84E503" w14:textId="45E396C9" w:rsidR="00BF183A" w:rsidRDefault="00E23B2E">
            <w:pPr>
              <w:pStyle w:val="Default"/>
              <w:jc w:val="center"/>
              <w:rPr>
                <w:color w:val="auto"/>
                <w:sz w:val="20"/>
                <w:lang w:val="es-ES" w:eastAsia="es-ES"/>
              </w:rPr>
            </w:pPr>
            <w:r>
              <w:rPr>
                <w:color w:val="auto"/>
                <w:sz w:val="20"/>
                <w:lang w:val="es-ES" w:eastAsia="es-ES"/>
              </w:rPr>
              <w:t>65</w:t>
            </w:r>
          </w:p>
        </w:tc>
        <w:tc>
          <w:tcPr>
            <w:tcW w:w="1391" w:type="dxa"/>
            <w:tcBorders>
              <w:top w:val="single" w:sz="4" w:space="0" w:color="auto"/>
              <w:left w:val="single" w:sz="4" w:space="0" w:color="auto"/>
              <w:bottom w:val="single" w:sz="4" w:space="0" w:color="auto"/>
              <w:right w:val="single" w:sz="4" w:space="0" w:color="auto"/>
            </w:tcBorders>
            <w:hideMark/>
          </w:tcPr>
          <w:p w14:paraId="5752AF9B" w14:textId="2C336EA3" w:rsidR="00BF183A" w:rsidRDefault="00E23B2E">
            <w:pPr>
              <w:pStyle w:val="Default"/>
              <w:jc w:val="center"/>
              <w:rPr>
                <w:color w:val="auto"/>
                <w:sz w:val="20"/>
                <w:lang w:val="es-ES" w:eastAsia="es-ES"/>
              </w:rPr>
            </w:pPr>
            <w:r>
              <w:rPr>
                <w:color w:val="auto"/>
                <w:sz w:val="20"/>
                <w:lang w:val="es-ES" w:eastAsia="es-ES"/>
              </w:rPr>
              <w:t>62</w:t>
            </w:r>
          </w:p>
        </w:tc>
        <w:tc>
          <w:tcPr>
            <w:tcW w:w="1391" w:type="dxa"/>
            <w:tcBorders>
              <w:top w:val="single" w:sz="4" w:space="0" w:color="auto"/>
              <w:left w:val="single" w:sz="4" w:space="0" w:color="auto"/>
              <w:bottom w:val="single" w:sz="4" w:space="0" w:color="auto"/>
              <w:right w:val="single" w:sz="4" w:space="0" w:color="auto"/>
            </w:tcBorders>
            <w:hideMark/>
          </w:tcPr>
          <w:p w14:paraId="1A27AF8B" w14:textId="549FFF9E" w:rsidR="00BF183A" w:rsidRDefault="00E23B2E">
            <w:pPr>
              <w:pStyle w:val="Default"/>
              <w:jc w:val="center"/>
              <w:rPr>
                <w:color w:val="auto"/>
                <w:sz w:val="20"/>
                <w:lang w:val="es-ES" w:eastAsia="es-ES"/>
              </w:rPr>
            </w:pPr>
            <w:r>
              <w:rPr>
                <w:color w:val="auto"/>
                <w:sz w:val="20"/>
                <w:lang w:val="es-ES" w:eastAsia="es-ES"/>
              </w:rPr>
              <w:t>71</w:t>
            </w:r>
          </w:p>
        </w:tc>
        <w:tc>
          <w:tcPr>
            <w:tcW w:w="1391" w:type="dxa"/>
            <w:tcBorders>
              <w:top w:val="single" w:sz="4" w:space="0" w:color="auto"/>
              <w:left w:val="single" w:sz="4" w:space="0" w:color="auto"/>
              <w:bottom w:val="single" w:sz="4" w:space="0" w:color="auto"/>
              <w:right w:val="single" w:sz="4" w:space="0" w:color="auto"/>
            </w:tcBorders>
            <w:hideMark/>
          </w:tcPr>
          <w:p w14:paraId="7F861FFD" w14:textId="38C52F9D" w:rsidR="00BF183A" w:rsidRDefault="00E23B2E">
            <w:pPr>
              <w:pStyle w:val="Default"/>
              <w:jc w:val="center"/>
              <w:rPr>
                <w:color w:val="auto"/>
                <w:sz w:val="20"/>
                <w:lang w:val="es-ES" w:eastAsia="es-ES"/>
              </w:rPr>
            </w:pPr>
            <w:r>
              <w:rPr>
                <w:color w:val="auto"/>
                <w:sz w:val="20"/>
                <w:lang w:val="es-ES" w:eastAsia="es-ES"/>
              </w:rPr>
              <w:t>71</w:t>
            </w:r>
          </w:p>
        </w:tc>
        <w:tc>
          <w:tcPr>
            <w:tcW w:w="1391" w:type="dxa"/>
            <w:tcBorders>
              <w:top w:val="single" w:sz="4" w:space="0" w:color="auto"/>
              <w:left w:val="single" w:sz="4" w:space="0" w:color="auto"/>
              <w:bottom w:val="single" w:sz="4" w:space="0" w:color="auto"/>
              <w:right w:val="single" w:sz="4" w:space="0" w:color="auto"/>
            </w:tcBorders>
            <w:hideMark/>
          </w:tcPr>
          <w:p w14:paraId="57862B77" w14:textId="12C025DB" w:rsidR="00BF183A" w:rsidRDefault="00E23B2E">
            <w:pPr>
              <w:pStyle w:val="Default"/>
              <w:jc w:val="center"/>
              <w:rPr>
                <w:color w:val="auto"/>
                <w:sz w:val="20"/>
                <w:lang w:val="es-ES" w:eastAsia="es-ES"/>
              </w:rPr>
            </w:pPr>
            <w:r>
              <w:rPr>
                <w:color w:val="auto"/>
                <w:sz w:val="20"/>
                <w:lang w:val="es-ES" w:eastAsia="es-ES"/>
              </w:rPr>
              <w:t>55</w:t>
            </w:r>
          </w:p>
        </w:tc>
        <w:tc>
          <w:tcPr>
            <w:tcW w:w="1395" w:type="dxa"/>
            <w:tcBorders>
              <w:top w:val="single" w:sz="4" w:space="0" w:color="auto"/>
              <w:left w:val="single" w:sz="4" w:space="0" w:color="auto"/>
              <w:bottom w:val="single" w:sz="4" w:space="0" w:color="auto"/>
              <w:right w:val="single" w:sz="4" w:space="0" w:color="auto"/>
            </w:tcBorders>
            <w:hideMark/>
          </w:tcPr>
          <w:p w14:paraId="513E4620" w14:textId="6C020340" w:rsidR="00BF183A" w:rsidRDefault="00E23B2E">
            <w:pPr>
              <w:pStyle w:val="Default"/>
              <w:jc w:val="center"/>
              <w:rPr>
                <w:color w:val="auto"/>
                <w:sz w:val="20"/>
                <w:lang w:val="es-ES" w:eastAsia="es-ES"/>
              </w:rPr>
            </w:pPr>
            <w:r>
              <w:rPr>
                <w:color w:val="auto"/>
                <w:sz w:val="20"/>
                <w:lang w:val="es-ES" w:eastAsia="es-ES"/>
              </w:rPr>
              <w:t>52</w:t>
            </w:r>
          </w:p>
        </w:tc>
      </w:tr>
    </w:tbl>
    <w:p w14:paraId="0FA94A9A" w14:textId="77777777" w:rsidR="00BF183A" w:rsidRDefault="00BF183A" w:rsidP="00BF183A">
      <w:pPr>
        <w:tabs>
          <w:tab w:val="left" w:pos="3544"/>
        </w:tabs>
        <w:ind w:left="0" w:right="-46" w:hanging="2"/>
        <w:jc w:val="center"/>
        <w:rPr>
          <w:sz w:val="16"/>
          <w:szCs w:val="16"/>
        </w:rPr>
      </w:pPr>
      <w:r>
        <w:rPr>
          <w:b/>
          <w:i/>
          <w:sz w:val="16"/>
          <w:szCs w:val="16"/>
        </w:rPr>
        <w:t>Fuente:</w:t>
      </w:r>
      <w:r>
        <w:rPr>
          <w:sz w:val="16"/>
          <w:szCs w:val="16"/>
        </w:rPr>
        <w:t xml:space="preserve"> Elaboración propia en base a datos proporcionados por Sistema de Intranet Institucional.</w:t>
      </w:r>
    </w:p>
    <w:p w14:paraId="6C9F9C75" w14:textId="6DA67D88" w:rsidR="00BF183A" w:rsidRDefault="00E23B2E" w:rsidP="00BF183A">
      <w:pPr>
        <w:pStyle w:val="Default"/>
        <w:spacing w:after="240"/>
        <w:jc w:val="both"/>
        <w:rPr>
          <w:color w:val="auto"/>
          <w:lang w:val="es-ES" w:eastAsia="es-ES"/>
        </w:rPr>
      </w:pPr>
      <w:r>
        <w:rPr>
          <w:color w:val="auto"/>
          <w:lang w:val="es-ES" w:eastAsia="es-ES"/>
        </w:rPr>
        <w:t xml:space="preserve">La matrícula general de la carrera ha ido bajando en los últimos años, esto ha provocado que las cohortes de estudiantes sean menores para el análisis, </w:t>
      </w:r>
      <w:r w:rsidR="007F4321">
        <w:rPr>
          <w:color w:val="auto"/>
          <w:lang w:val="es-ES" w:eastAsia="es-ES"/>
        </w:rPr>
        <w:t>a</w:t>
      </w:r>
      <w:r w:rsidR="00BF183A">
        <w:rPr>
          <w:color w:val="auto"/>
          <w:lang w:val="es-ES" w:eastAsia="es-ES"/>
        </w:rPr>
        <w:t xml:space="preserve"> su vez, el primer resultado que se analiza constantemente es la adherencia que los</w:t>
      </w:r>
      <w:r w:rsidR="007F4321">
        <w:rPr>
          <w:color w:val="auto"/>
          <w:lang w:val="es-ES" w:eastAsia="es-ES"/>
        </w:rPr>
        <w:t>/as</w:t>
      </w:r>
      <w:r w:rsidR="00BF183A">
        <w:rPr>
          <w:color w:val="auto"/>
          <w:lang w:val="es-ES" w:eastAsia="es-ES"/>
        </w:rPr>
        <w:t xml:space="preserve"> estudiantes tienen al PT a través de la asistencia, y se mide por medio de la sistematización que se realiza en el sistema de intranet institucional. El indicador de asistencia al programa, es obtenido por la cantidad de estudiantes que asisten a las tutorías realizadas por el programa. </w:t>
      </w:r>
    </w:p>
    <w:p w14:paraId="42421C48" w14:textId="569242A4" w:rsidR="00BF183A" w:rsidRDefault="00BF183A" w:rsidP="00BF183A">
      <w:pPr>
        <w:pStyle w:val="Default"/>
        <w:jc w:val="both"/>
        <w:rPr>
          <w:color w:val="auto"/>
          <w:sz w:val="16"/>
          <w:lang w:val="es-ES" w:eastAsia="es-ES"/>
        </w:rPr>
      </w:pPr>
      <w:r>
        <w:rPr>
          <w:color w:val="auto"/>
          <w:sz w:val="16"/>
          <w:lang w:val="es-ES" w:eastAsia="es-ES"/>
        </w:rPr>
        <w:t>Tabla 2: Porcentaje de Asistencia al PT, carrera Ingeniería Comercial.</w:t>
      </w:r>
    </w:p>
    <w:tbl>
      <w:tblPr>
        <w:tblStyle w:val="Tabelacomgrade"/>
        <w:tblW w:w="0" w:type="auto"/>
        <w:tblLook w:val="04A0" w:firstRow="1" w:lastRow="0" w:firstColumn="1" w:lastColumn="0" w:noHBand="0" w:noVBand="1"/>
      </w:tblPr>
      <w:tblGrid>
        <w:gridCol w:w="834"/>
        <w:gridCol w:w="833"/>
        <w:gridCol w:w="833"/>
        <w:gridCol w:w="793"/>
        <w:gridCol w:w="792"/>
        <w:gridCol w:w="792"/>
        <w:gridCol w:w="792"/>
        <w:gridCol w:w="792"/>
        <w:gridCol w:w="792"/>
        <w:gridCol w:w="792"/>
        <w:gridCol w:w="792"/>
        <w:gridCol w:w="792"/>
      </w:tblGrid>
      <w:tr w:rsidR="007F4321" w14:paraId="785AF8A3" w14:textId="5E37023E" w:rsidTr="005D0042">
        <w:tc>
          <w:tcPr>
            <w:tcW w:w="9629" w:type="dxa"/>
            <w:gridSpan w:val="12"/>
            <w:shd w:val="clear" w:color="auto" w:fill="000099"/>
          </w:tcPr>
          <w:p w14:paraId="7F5DFF54" w14:textId="6225E81C" w:rsidR="007F4321" w:rsidRDefault="007F4321" w:rsidP="007F4321">
            <w:pPr>
              <w:pStyle w:val="Default"/>
              <w:jc w:val="center"/>
              <w:rPr>
                <w:color w:val="auto"/>
                <w:sz w:val="16"/>
                <w:lang w:val="es-ES" w:eastAsia="es-ES"/>
              </w:rPr>
            </w:pPr>
            <w:r>
              <w:rPr>
                <w:color w:val="auto"/>
                <w:sz w:val="20"/>
                <w:lang w:val="es-ES" w:eastAsia="es-ES"/>
              </w:rPr>
              <w:t>Asistencia al PT</w:t>
            </w:r>
          </w:p>
        </w:tc>
      </w:tr>
      <w:tr w:rsidR="007F4321" w14:paraId="72FF6B5D" w14:textId="54192E8D" w:rsidTr="00A00489">
        <w:tc>
          <w:tcPr>
            <w:tcW w:w="2410" w:type="dxa"/>
            <w:gridSpan w:val="3"/>
            <w:shd w:val="clear" w:color="auto" w:fill="000099"/>
          </w:tcPr>
          <w:p w14:paraId="551FF28B" w14:textId="099E7929" w:rsidR="007F4321" w:rsidRDefault="007F4321" w:rsidP="007F4321">
            <w:pPr>
              <w:pStyle w:val="Default"/>
              <w:jc w:val="center"/>
              <w:rPr>
                <w:color w:val="auto"/>
                <w:sz w:val="16"/>
                <w:lang w:val="es-ES" w:eastAsia="es-ES"/>
              </w:rPr>
            </w:pPr>
            <w:r>
              <w:rPr>
                <w:color w:val="auto"/>
                <w:sz w:val="20"/>
                <w:lang w:val="es-ES" w:eastAsia="es-ES"/>
              </w:rPr>
              <w:t>2018</w:t>
            </w:r>
          </w:p>
        </w:tc>
        <w:tc>
          <w:tcPr>
            <w:tcW w:w="2407" w:type="dxa"/>
            <w:gridSpan w:val="3"/>
            <w:shd w:val="clear" w:color="auto" w:fill="000099"/>
          </w:tcPr>
          <w:p w14:paraId="5207DE45" w14:textId="1F9AD4A4" w:rsidR="007F4321" w:rsidRDefault="007F4321" w:rsidP="007F4321">
            <w:pPr>
              <w:pStyle w:val="Default"/>
              <w:jc w:val="center"/>
              <w:rPr>
                <w:color w:val="auto"/>
                <w:sz w:val="16"/>
                <w:lang w:val="es-ES" w:eastAsia="es-ES"/>
              </w:rPr>
            </w:pPr>
            <w:r>
              <w:rPr>
                <w:color w:val="auto"/>
                <w:sz w:val="20"/>
                <w:lang w:val="es-ES" w:eastAsia="es-ES"/>
              </w:rPr>
              <w:t>2019</w:t>
            </w:r>
          </w:p>
        </w:tc>
        <w:tc>
          <w:tcPr>
            <w:tcW w:w="2406" w:type="dxa"/>
            <w:gridSpan w:val="3"/>
            <w:shd w:val="clear" w:color="auto" w:fill="000099"/>
          </w:tcPr>
          <w:p w14:paraId="1C47BD40" w14:textId="11DC5AA4" w:rsidR="007F4321" w:rsidRDefault="007F4321" w:rsidP="007F4321">
            <w:pPr>
              <w:pStyle w:val="Default"/>
              <w:jc w:val="center"/>
              <w:rPr>
                <w:color w:val="auto"/>
                <w:sz w:val="16"/>
                <w:lang w:val="es-ES" w:eastAsia="es-ES"/>
              </w:rPr>
            </w:pPr>
            <w:r>
              <w:rPr>
                <w:color w:val="auto"/>
                <w:sz w:val="20"/>
                <w:lang w:val="es-ES" w:eastAsia="es-ES"/>
              </w:rPr>
              <w:t>2020</w:t>
            </w:r>
          </w:p>
        </w:tc>
        <w:tc>
          <w:tcPr>
            <w:tcW w:w="2406" w:type="dxa"/>
            <w:gridSpan w:val="3"/>
            <w:shd w:val="clear" w:color="auto" w:fill="000099"/>
          </w:tcPr>
          <w:p w14:paraId="651BCCEF" w14:textId="4D8E0EDC" w:rsidR="007F4321" w:rsidRDefault="007F4321" w:rsidP="007F4321">
            <w:pPr>
              <w:pStyle w:val="Default"/>
              <w:jc w:val="center"/>
              <w:rPr>
                <w:color w:val="auto"/>
                <w:sz w:val="16"/>
                <w:lang w:val="es-ES" w:eastAsia="es-ES"/>
              </w:rPr>
            </w:pPr>
            <w:r>
              <w:rPr>
                <w:color w:val="auto"/>
                <w:sz w:val="20"/>
                <w:lang w:val="es-ES" w:eastAsia="es-ES"/>
              </w:rPr>
              <w:t>2021</w:t>
            </w:r>
          </w:p>
        </w:tc>
      </w:tr>
      <w:tr w:rsidR="007F4321" w14:paraId="66643BC7" w14:textId="7691D45F" w:rsidTr="007F4321">
        <w:tc>
          <w:tcPr>
            <w:tcW w:w="804" w:type="dxa"/>
            <w:shd w:val="clear" w:color="auto" w:fill="000099"/>
          </w:tcPr>
          <w:p w14:paraId="4BC6C3F9" w14:textId="71D19646" w:rsidR="007F4321" w:rsidRDefault="007F4321" w:rsidP="007F4321">
            <w:pPr>
              <w:pStyle w:val="Default"/>
              <w:jc w:val="both"/>
              <w:rPr>
                <w:color w:val="auto"/>
                <w:sz w:val="16"/>
                <w:lang w:val="es-ES" w:eastAsia="es-ES"/>
              </w:rPr>
            </w:pPr>
            <w:r>
              <w:rPr>
                <w:color w:val="auto"/>
                <w:sz w:val="20"/>
                <w:szCs w:val="20"/>
                <w:lang w:val="es-ES" w:eastAsia="es-ES"/>
              </w:rPr>
              <w:t>1° Se.</w:t>
            </w:r>
          </w:p>
        </w:tc>
        <w:tc>
          <w:tcPr>
            <w:tcW w:w="803" w:type="dxa"/>
            <w:shd w:val="clear" w:color="auto" w:fill="000099"/>
          </w:tcPr>
          <w:p w14:paraId="23590498" w14:textId="4A365851" w:rsidR="007F4321" w:rsidRDefault="007F4321" w:rsidP="007F4321">
            <w:pPr>
              <w:pStyle w:val="Default"/>
              <w:jc w:val="both"/>
              <w:rPr>
                <w:color w:val="auto"/>
                <w:sz w:val="16"/>
                <w:lang w:val="es-ES" w:eastAsia="es-ES"/>
              </w:rPr>
            </w:pPr>
            <w:r>
              <w:rPr>
                <w:color w:val="auto"/>
                <w:sz w:val="20"/>
                <w:szCs w:val="20"/>
                <w:lang w:val="es-ES" w:eastAsia="es-ES"/>
              </w:rPr>
              <w:t>2° Se.</w:t>
            </w:r>
          </w:p>
        </w:tc>
        <w:tc>
          <w:tcPr>
            <w:tcW w:w="803" w:type="dxa"/>
            <w:shd w:val="clear" w:color="auto" w:fill="000099"/>
          </w:tcPr>
          <w:p w14:paraId="29120C98" w14:textId="3D5262BC" w:rsidR="007F4321" w:rsidRDefault="007F4321" w:rsidP="007F4321">
            <w:pPr>
              <w:pStyle w:val="Default"/>
              <w:jc w:val="both"/>
              <w:rPr>
                <w:color w:val="auto"/>
                <w:sz w:val="16"/>
                <w:lang w:val="es-ES" w:eastAsia="es-ES"/>
              </w:rPr>
            </w:pPr>
            <w:r>
              <w:rPr>
                <w:color w:val="auto"/>
                <w:sz w:val="20"/>
                <w:szCs w:val="20"/>
                <w:lang w:val="es-ES" w:eastAsia="es-ES"/>
              </w:rPr>
              <w:t>Total</w:t>
            </w:r>
          </w:p>
        </w:tc>
        <w:tc>
          <w:tcPr>
            <w:tcW w:w="803" w:type="dxa"/>
            <w:shd w:val="clear" w:color="auto" w:fill="000099"/>
          </w:tcPr>
          <w:p w14:paraId="3479E0BC" w14:textId="403584C5" w:rsidR="007F4321" w:rsidRDefault="007F4321" w:rsidP="007F4321">
            <w:pPr>
              <w:pStyle w:val="Default"/>
              <w:jc w:val="both"/>
              <w:rPr>
                <w:color w:val="auto"/>
                <w:sz w:val="16"/>
                <w:lang w:val="es-ES" w:eastAsia="es-ES"/>
              </w:rPr>
            </w:pPr>
            <w:r>
              <w:rPr>
                <w:color w:val="auto"/>
                <w:sz w:val="20"/>
                <w:szCs w:val="20"/>
                <w:lang w:val="es-ES" w:eastAsia="es-ES"/>
              </w:rPr>
              <w:t>1° Se.</w:t>
            </w:r>
          </w:p>
        </w:tc>
        <w:tc>
          <w:tcPr>
            <w:tcW w:w="802" w:type="dxa"/>
            <w:shd w:val="clear" w:color="auto" w:fill="000099"/>
          </w:tcPr>
          <w:p w14:paraId="42AF6B02" w14:textId="28B75139" w:rsidR="007F4321" w:rsidRDefault="007F4321" w:rsidP="007F4321">
            <w:pPr>
              <w:pStyle w:val="Default"/>
              <w:jc w:val="both"/>
              <w:rPr>
                <w:color w:val="auto"/>
                <w:sz w:val="16"/>
                <w:lang w:val="es-ES" w:eastAsia="es-ES"/>
              </w:rPr>
            </w:pPr>
            <w:r>
              <w:rPr>
                <w:color w:val="auto"/>
                <w:sz w:val="20"/>
                <w:szCs w:val="20"/>
                <w:lang w:val="es-ES" w:eastAsia="es-ES"/>
              </w:rPr>
              <w:t>2° Se.</w:t>
            </w:r>
          </w:p>
        </w:tc>
        <w:tc>
          <w:tcPr>
            <w:tcW w:w="802" w:type="dxa"/>
            <w:shd w:val="clear" w:color="auto" w:fill="000099"/>
          </w:tcPr>
          <w:p w14:paraId="5EA8F5FB" w14:textId="0ABC0240" w:rsidR="007F4321" w:rsidRDefault="007F4321" w:rsidP="007F4321">
            <w:pPr>
              <w:pStyle w:val="Default"/>
              <w:jc w:val="both"/>
              <w:rPr>
                <w:color w:val="auto"/>
                <w:sz w:val="16"/>
                <w:lang w:val="es-ES" w:eastAsia="es-ES"/>
              </w:rPr>
            </w:pPr>
            <w:r>
              <w:rPr>
                <w:color w:val="auto"/>
                <w:sz w:val="20"/>
                <w:szCs w:val="20"/>
                <w:lang w:val="es-ES" w:eastAsia="es-ES"/>
              </w:rPr>
              <w:t>Total</w:t>
            </w:r>
          </w:p>
        </w:tc>
        <w:tc>
          <w:tcPr>
            <w:tcW w:w="802" w:type="dxa"/>
            <w:shd w:val="clear" w:color="auto" w:fill="000099"/>
          </w:tcPr>
          <w:p w14:paraId="12F17840" w14:textId="07F23279" w:rsidR="007F4321" w:rsidRDefault="007F4321" w:rsidP="007F4321">
            <w:pPr>
              <w:pStyle w:val="Default"/>
              <w:jc w:val="both"/>
              <w:rPr>
                <w:color w:val="auto"/>
                <w:sz w:val="16"/>
                <w:lang w:val="es-ES" w:eastAsia="es-ES"/>
              </w:rPr>
            </w:pPr>
            <w:r>
              <w:rPr>
                <w:color w:val="auto"/>
                <w:sz w:val="20"/>
                <w:szCs w:val="20"/>
                <w:lang w:val="es-ES" w:eastAsia="es-ES"/>
              </w:rPr>
              <w:t>1° Se.</w:t>
            </w:r>
          </w:p>
        </w:tc>
        <w:tc>
          <w:tcPr>
            <w:tcW w:w="802" w:type="dxa"/>
            <w:shd w:val="clear" w:color="auto" w:fill="000099"/>
          </w:tcPr>
          <w:p w14:paraId="549EEF76" w14:textId="259BA74B" w:rsidR="007F4321" w:rsidRDefault="007F4321" w:rsidP="007F4321">
            <w:pPr>
              <w:pStyle w:val="Default"/>
              <w:jc w:val="both"/>
              <w:rPr>
                <w:color w:val="auto"/>
                <w:sz w:val="16"/>
                <w:lang w:val="es-ES" w:eastAsia="es-ES"/>
              </w:rPr>
            </w:pPr>
            <w:r>
              <w:rPr>
                <w:color w:val="auto"/>
                <w:sz w:val="20"/>
                <w:szCs w:val="20"/>
                <w:lang w:val="es-ES" w:eastAsia="es-ES"/>
              </w:rPr>
              <w:t>2° Se.</w:t>
            </w:r>
          </w:p>
        </w:tc>
        <w:tc>
          <w:tcPr>
            <w:tcW w:w="802" w:type="dxa"/>
            <w:shd w:val="clear" w:color="auto" w:fill="000099"/>
          </w:tcPr>
          <w:p w14:paraId="70557541" w14:textId="6A44E653" w:rsidR="007F4321" w:rsidRDefault="007F4321" w:rsidP="007F4321">
            <w:pPr>
              <w:pStyle w:val="Default"/>
              <w:jc w:val="both"/>
              <w:rPr>
                <w:color w:val="auto"/>
                <w:sz w:val="16"/>
                <w:lang w:val="es-ES" w:eastAsia="es-ES"/>
              </w:rPr>
            </w:pPr>
            <w:r>
              <w:rPr>
                <w:color w:val="auto"/>
                <w:sz w:val="20"/>
                <w:szCs w:val="20"/>
                <w:lang w:val="es-ES" w:eastAsia="es-ES"/>
              </w:rPr>
              <w:t>Total</w:t>
            </w:r>
          </w:p>
        </w:tc>
        <w:tc>
          <w:tcPr>
            <w:tcW w:w="802" w:type="dxa"/>
            <w:shd w:val="clear" w:color="auto" w:fill="000099"/>
          </w:tcPr>
          <w:p w14:paraId="19803454" w14:textId="73153607" w:rsidR="007F4321" w:rsidRDefault="007F4321" w:rsidP="007F4321">
            <w:pPr>
              <w:pStyle w:val="Default"/>
              <w:jc w:val="both"/>
              <w:rPr>
                <w:color w:val="auto"/>
                <w:sz w:val="16"/>
                <w:lang w:val="es-ES" w:eastAsia="es-ES"/>
              </w:rPr>
            </w:pPr>
            <w:r>
              <w:rPr>
                <w:color w:val="auto"/>
                <w:sz w:val="20"/>
                <w:szCs w:val="20"/>
                <w:lang w:val="es-ES" w:eastAsia="es-ES"/>
              </w:rPr>
              <w:t>1° Se.</w:t>
            </w:r>
          </w:p>
        </w:tc>
        <w:tc>
          <w:tcPr>
            <w:tcW w:w="802" w:type="dxa"/>
            <w:shd w:val="clear" w:color="auto" w:fill="000099"/>
          </w:tcPr>
          <w:p w14:paraId="53D8BA16" w14:textId="0C1C4D1B" w:rsidR="007F4321" w:rsidRDefault="007F4321" w:rsidP="007F4321">
            <w:pPr>
              <w:pStyle w:val="Default"/>
              <w:jc w:val="both"/>
              <w:rPr>
                <w:color w:val="auto"/>
                <w:sz w:val="16"/>
                <w:lang w:val="es-ES" w:eastAsia="es-ES"/>
              </w:rPr>
            </w:pPr>
            <w:r>
              <w:rPr>
                <w:color w:val="auto"/>
                <w:sz w:val="20"/>
                <w:szCs w:val="20"/>
                <w:lang w:val="es-ES" w:eastAsia="es-ES"/>
              </w:rPr>
              <w:t>2° Se.</w:t>
            </w:r>
          </w:p>
        </w:tc>
        <w:tc>
          <w:tcPr>
            <w:tcW w:w="802" w:type="dxa"/>
            <w:shd w:val="clear" w:color="auto" w:fill="000099"/>
          </w:tcPr>
          <w:p w14:paraId="538D41C3" w14:textId="2E76C556" w:rsidR="007F4321" w:rsidRDefault="007F4321" w:rsidP="007F4321">
            <w:pPr>
              <w:pStyle w:val="Default"/>
              <w:jc w:val="both"/>
              <w:rPr>
                <w:color w:val="auto"/>
                <w:sz w:val="16"/>
                <w:lang w:val="es-ES" w:eastAsia="es-ES"/>
              </w:rPr>
            </w:pPr>
            <w:r>
              <w:rPr>
                <w:color w:val="auto"/>
                <w:sz w:val="20"/>
                <w:szCs w:val="20"/>
                <w:lang w:val="es-ES" w:eastAsia="es-ES"/>
              </w:rPr>
              <w:t>Total</w:t>
            </w:r>
          </w:p>
        </w:tc>
      </w:tr>
      <w:tr w:rsidR="007F4321" w14:paraId="665BE583" w14:textId="6D20BC6A" w:rsidTr="007F4321">
        <w:tc>
          <w:tcPr>
            <w:tcW w:w="804" w:type="dxa"/>
          </w:tcPr>
          <w:p w14:paraId="2E562327" w14:textId="06EBB83C" w:rsidR="007F4321" w:rsidRPr="007F4321" w:rsidRDefault="007F4321" w:rsidP="007F4321">
            <w:pPr>
              <w:pStyle w:val="Default"/>
              <w:jc w:val="center"/>
              <w:rPr>
                <w:color w:val="auto"/>
                <w:sz w:val="20"/>
                <w:lang w:val="es-ES" w:eastAsia="es-ES"/>
              </w:rPr>
            </w:pPr>
            <w:r w:rsidRPr="007F4321">
              <w:rPr>
                <w:color w:val="auto"/>
                <w:sz w:val="20"/>
                <w:lang w:val="es-ES" w:eastAsia="es-ES"/>
              </w:rPr>
              <w:t>130,1%</w:t>
            </w:r>
          </w:p>
        </w:tc>
        <w:tc>
          <w:tcPr>
            <w:tcW w:w="803" w:type="dxa"/>
          </w:tcPr>
          <w:p w14:paraId="398F4B30" w14:textId="780A0AB7" w:rsidR="007F4321" w:rsidRPr="007F4321" w:rsidRDefault="007F4321" w:rsidP="007F4321">
            <w:pPr>
              <w:pStyle w:val="Default"/>
              <w:jc w:val="center"/>
              <w:rPr>
                <w:color w:val="auto"/>
                <w:sz w:val="20"/>
                <w:lang w:val="es-ES" w:eastAsia="es-ES"/>
              </w:rPr>
            </w:pPr>
            <w:r w:rsidRPr="007F4321">
              <w:rPr>
                <w:color w:val="auto"/>
                <w:sz w:val="20"/>
                <w:lang w:val="es-ES" w:eastAsia="es-ES"/>
              </w:rPr>
              <w:t>165,8%</w:t>
            </w:r>
          </w:p>
        </w:tc>
        <w:tc>
          <w:tcPr>
            <w:tcW w:w="803" w:type="dxa"/>
          </w:tcPr>
          <w:p w14:paraId="494436DF" w14:textId="1AB6740C" w:rsidR="007F4321" w:rsidRPr="007F4321" w:rsidRDefault="007F4321" w:rsidP="007F4321">
            <w:pPr>
              <w:pStyle w:val="Default"/>
              <w:jc w:val="center"/>
              <w:rPr>
                <w:color w:val="auto"/>
                <w:sz w:val="20"/>
                <w:lang w:val="es-ES" w:eastAsia="es-ES"/>
              </w:rPr>
            </w:pPr>
            <w:r w:rsidRPr="007F4321">
              <w:rPr>
                <w:color w:val="auto"/>
                <w:sz w:val="20"/>
                <w:lang w:val="es-ES" w:eastAsia="es-ES"/>
              </w:rPr>
              <w:t>148,9%</w:t>
            </w:r>
          </w:p>
        </w:tc>
        <w:tc>
          <w:tcPr>
            <w:tcW w:w="803" w:type="dxa"/>
          </w:tcPr>
          <w:p w14:paraId="58F9D8F6" w14:textId="1E566A2F" w:rsidR="007F4321" w:rsidRPr="007F4321" w:rsidRDefault="007F4321" w:rsidP="007F4321">
            <w:pPr>
              <w:pStyle w:val="Default"/>
              <w:jc w:val="center"/>
              <w:rPr>
                <w:color w:val="auto"/>
                <w:sz w:val="20"/>
                <w:lang w:val="es-ES" w:eastAsia="es-ES"/>
              </w:rPr>
            </w:pPr>
            <w:r>
              <w:rPr>
                <w:color w:val="auto"/>
                <w:sz w:val="20"/>
                <w:lang w:val="es-ES" w:eastAsia="es-ES"/>
              </w:rPr>
              <w:t>91,4%</w:t>
            </w:r>
          </w:p>
        </w:tc>
        <w:tc>
          <w:tcPr>
            <w:tcW w:w="802" w:type="dxa"/>
          </w:tcPr>
          <w:p w14:paraId="040527F1" w14:textId="0420EC14" w:rsidR="007F4321" w:rsidRPr="007F4321" w:rsidRDefault="007F4321" w:rsidP="007F4321">
            <w:pPr>
              <w:pStyle w:val="Default"/>
              <w:jc w:val="center"/>
              <w:rPr>
                <w:color w:val="auto"/>
                <w:sz w:val="20"/>
                <w:lang w:val="es-ES" w:eastAsia="es-ES"/>
              </w:rPr>
            </w:pPr>
            <w:r>
              <w:rPr>
                <w:color w:val="auto"/>
                <w:sz w:val="20"/>
                <w:lang w:val="es-ES" w:eastAsia="es-ES"/>
              </w:rPr>
              <w:t>62,2%</w:t>
            </w:r>
          </w:p>
        </w:tc>
        <w:tc>
          <w:tcPr>
            <w:tcW w:w="802" w:type="dxa"/>
          </w:tcPr>
          <w:p w14:paraId="54DA0278" w14:textId="7F05955D" w:rsidR="007F4321" w:rsidRPr="007F4321" w:rsidRDefault="007F4321" w:rsidP="007F4321">
            <w:pPr>
              <w:pStyle w:val="Default"/>
              <w:jc w:val="center"/>
              <w:rPr>
                <w:color w:val="auto"/>
                <w:sz w:val="20"/>
                <w:lang w:val="es-ES" w:eastAsia="es-ES"/>
              </w:rPr>
            </w:pPr>
            <w:r>
              <w:rPr>
                <w:color w:val="auto"/>
                <w:sz w:val="20"/>
                <w:lang w:val="es-ES" w:eastAsia="es-ES"/>
              </w:rPr>
              <w:t>82,6%</w:t>
            </w:r>
          </w:p>
        </w:tc>
        <w:tc>
          <w:tcPr>
            <w:tcW w:w="802" w:type="dxa"/>
          </w:tcPr>
          <w:p w14:paraId="4A9D9F18" w14:textId="64B22685" w:rsidR="007F4321" w:rsidRPr="007F4321" w:rsidRDefault="007F4321" w:rsidP="007F4321">
            <w:pPr>
              <w:pStyle w:val="Default"/>
              <w:jc w:val="center"/>
              <w:rPr>
                <w:color w:val="auto"/>
                <w:sz w:val="20"/>
                <w:lang w:val="es-ES" w:eastAsia="es-ES"/>
              </w:rPr>
            </w:pPr>
            <w:r>
              <w:rPr>
                <w:color w:val="auto"/>
                <w:sz w:val="20"/>
                <w:lang w:val="es-ES" w:eastAsia="es-ES"/>
              </w:rPr>
              <w:t>90,8%</w:t>
            </w:r>
          </w:p>
        </w:tc>
        <w:tc>
          <w:tcPr>
            <w:tcW w:w="802" w:type="dxa"/>
          </w:tcPr>
          <w:p w14:paraId="1BED2BF8" w14:textId="323F4955" w:rsidR="007F4321" w:rsidRPr="007F4321" w:rsidRDefault="007F4321" w:rsidP="007F4321">
            <w:pPr>
              <w:pStyle w:val="Default"/>
              <w:jc w:val="center"/>
              <w:rPr>
                <w:color w:val="auto"/>
                <w:sz w:val="20"/>
                <w:lang w:val="es-ES" w:eastAsia="es-ES"/>
              </w:rPr>
            </w:pPr>
            <w:r>
              <w:rPr>
                <w:color w:val="auto"/>
                <w:sz w:val="20"/>
                <w:lang w:val="es-ES" w:eastAsia="es-ES"/>
              </w:rPr>
              <w:t>86,8%</w:t>
            </w:r>
          </w:p>
        </w:tc>
        <w:tc>
          <w:tcPr>
            <w:tcW w:w="802" w:type="dxa"/>
          </w:tcPr>
          <w:p w14:paraId="74BC912C" w14:textId="54191839" w:rsidR="007F4321" w:rsidRPr="007F4321" w:rsidRDefault="007F4321" w:rsidP="007F4321">
            <w:pPr>
              <w:pStyle w:val="Default"/>
              <w:jc w:val="center"/>
              <w:rPr>
                <w:color w:val="auto"/>
                <w:sz w:val="20"/>
                <w:lang w:val="es-ES" w:eastAsia="es-ES"/>
              </w:rPr>
            </w:pPr>
            <w:r>
              <w:rPr>
                <w:color w:val="auto"/>
                <w:sz w:val="20"/>
                <w:lang w:val="es-ES" w:eastAsia="es-ES"/>
              </w:rPr>
              <w:t>91,3%</w:t>
            </w:r>
          </w:p>
        </w:tc>
        <w:tc>
          <w:tcPr>
            <w:tcW w:w="802" w:type="dxa"/>
          </w:tcPr>
          <w:p w14:paraId="011A3B27" w14:textId="74E92449" w:rsidR="007F4321" w:rsidRPr="007F4321" w:rsidRDefault="007F4321" w:rsidP="007F4321">
            <w:pPr>
              <w:pStyle w:val="Default"/>
              <w:jc w:val="center"/>
              <w:rPr>
                <w:color w:val="auto"/>
                <w:sz w:val="20"/>
                <w:lang w:val="es-ES" w:eastAsia="es-ES"/>
              </w:rPr>
            </w:pPr>
            <w:r>
              <w:rPr>
                <w:color w:val="auto"/>
                <w:sz w:val="20"/>
                <w:lang w:val="es-ES" w:eastAsia="es-ES"/>
              </w:rPr>
              <w:t>86,2%</w:t>
            </w:r>
          </w:p>
        </w:tc>
        <w:tc>
          <w:tcPr>
            <w:tcW w:w="802" w:type="dxa"/>
          </w:tcPr>
          <w:p w14:paraId="74C7583C" w14:textId="004B2244" w:rsidR="007F4321" w:rsidRPr="007F4321" w:rsidRDefault="007F4321" w:rsidP="007F4321">
            <w:pPr>
              <w:pStyle w:val="Default"/>
              <w:jc w:val="center"/>
              <w:rPr>
                <w:color w:val="auto"/>
                <w:sz w:val="20"/>
                <w:lang w:val="es-ES" w:eastAsia="es-ES"/>
              </w:rPr>
            </w:pPr>
            <w:r>
              <w:rPr>
                <w:color w:val="auto"/>
                <w:sz w:val="20"/>
                <w:lang w:val="es-ES" w:eastAsia="es-ES"/>
              </w:rPr>
              <w:t>76,5%</w:t>
            </w:r>
          </w:p>
        </w:tc>
        <w:tc>
          <w:tcPr>
            <w:tcW w:w="802" w:type="dxa"/>
          </w:tcPr>
          <w:p w14:paraId="1BE921E6" w14:textId="44A91660" w:rsidR="007F4321" w:rsidRPr="007F4321" w:rsidRDefault="007F4321" w:rsidP="007F4321">
            <w:pPr>
              <w:pStyle w:val="Default"/>
              <w:jc w:val="center"/>
              <w:rPr>
                <w:color w:val="auto"/>
                <w:sz w:val="20"/>
                <w:lang w:val="es-ES" w:eastAsia="es-ES"/>
              </w:rPr>
            </w:pPr>
            <w:r>
              <w:rPr>
                <w:color w:val="auto"/>
                <w:sz w:val="20"/>
                <w:lang w:val="es-ES" w:eastAsia="es-ES"/>
              </w:rPr>
              <w:t>82,0%</w:t>
            </w:r>
          </w:p>
        </w:tc>
      </w:tr>
    </w:tbl>
    <w:p w14:paraId="5DD74316" w14:textId="77777777" w:rsidR="00BF183A" w:rsidRDefault="00BF183A" w:rsidP="007F4321">
      <w:pPr>
        <w:tabs>
          <w:tab w:val="left" w:pos="3544"/>
        </w:tabs>
        <w:ind w:leftChars="0" w:left="0" w:right="-46" w:firstLineChars="0" w:firstLine="0"/>
        <w:jc w:val="center"/>
        <w:rPr>
          <w:sz w:val="16"/>
          <w:szCs w:val="16"/>
        </w:rPr>
      </w:pPr>
      <w:r>
        <w:rPr>
          <w:b/>
          <w:i/>
          <w:sz w:val="16"/>
          <w:szCs w:val="16"/>
        </w:rPr>
        <w:t>Fuente:</w:t>
      </w:r>
      <w:r>
        <w:rPr>
          <w:sz w:val="16"/>
          <w:szCs w:val="16"/>
        </w:rPr>
        <w:t xml:space="preserve"> Elaboración propia en base a datos proporcionados por Sistema de Intranet Institucional.</w:t>
      </w:r>
    </w:p>
    <w:p w14:paraId="263578B7" w14:textId="6D48D517" w:rsidR="00BF183A" w:rsidRDefault="007F4321" w:rsidP="00BF183A">
      <w:pPr>
        <w:pStyle w:val="Default"/>
        <w:spacing w:after="240"/>
        <w:jc w:val="both"/>
        <w:rPr>
          <w:color w:val="auto"/>
          <w:lang w:val="es-ES" w:eastAsia="es-ES"/>
        </w:rPr>
      </w:pPr>
      <w:r>
        <w:rPr>
          <w:color w:val="auto"/>
          <w:lang w:val="es-ES" w:eastAsia="es-ES"/>
        </w:rPr>
        <w:t>El año 2018</w:t>
      </w:r>
      <w:r w:rsidR="00BF183A">
        <w:rPr>
          <w:color w:val="auto"/>
          <w:lang w:val="es-ES" w:eastAsia="es-ES"/>
        </w:rPr>
        <w:t xml:space="preserve"> hay un elevado % debido a que los</w:t>
      </w:r>
      <w:r>
        <w:rPr>
          <w:color w:val="auto"/>
          <w:lang w:val="es-ES" w:eastAsia="es-ES"/>
        </w:rPr>
        <w:t>/a</w:t>
      </w:r>
      <w:r w:rsidR="00BF183A">
        <w:rPr>
          <w:color w:val="auto"/>
          <w:lang w:val="es-ES" w:eastAsia="es-ES"/>
        </w:rPr>
        <w:t xml:space="preserve"> estudiantes asistían a las tutorías de su tutor</w:t>
      </w:r>
      <w:r>
        <w:rPr>
          <w:color w:val="auto"/>
          <w:lang w:val="es-ES" w:eastAsia="es-ES"/>
        </w:rPr>
        <w:t>/a</w:t>
      </w:r>
      <w:r w:rsidR="00BF183A">
        <w:rPr>
          <w:color w:val="auto"/>
          <w:lang w:val="es-ES" w:eastAsia="es-ES"/>
        </w:rPr>
        <w:t xml:space="preserve"> asignado</w:t>
      </w:r>
      <w:r>
        <w:rPr>
          <w:color w:val="auto"/>
          <w:lang w:val="es-ES" w:eastAsia="es-ES"/>
        </w:rPr>
        <w:t>/a</w:t>
      </w:r>
      <w:r w:rsidR="00BF183A">
        <w:rPr>
          <w:color w:val="auto"/>
          <w:lang w:val="es-ES" w:eastAsia="es-ES"/>
        </w:rPr>
        <w:t xml:space="preserve"> y además asistían a las tutorías de otro</w:t>
      </w:r>
      <w:r>
        <w:rPr>
          <w:color w:val="auto"/>
          <w:lang w:val="es-ES" w:eastAsia="es-ES"/>
        </w:rPr>
        <w:t>/a</w:t>
      </w:r>
      <w:r w:rsidR="00BF183A">
        <w:rPr>
          <w:color w:val="auto"/>
          <w:lang w:val="es-ES" w:eastAsia="es-ES"/>
        </w:rPr>
        <w:t xml:space="preserve"> tutor</w:t>
      </w:r>
      <w:r>
        <w:rPr>
          <w:color w:val="auto"/>
          <w:lang w:val="es-ES" w:eastAsia="es-ES"/>
        </w:rPr>
        <w:t>/a</w:t>
      </w:r>
      <w:r w:rsidR="00BF183A">
        <w:rPr>
          <w:color w:val="auto"/>
          <w:lang w:val="es-ES" w:eastAsia="es-ES"/>
        </w:rPr>
        <w:t>.</w:t>
      </w:r>
      <w:r>
        <w:rPr>
          <w:color w:val="auto"/>
          <w:lang w:val="es-ES" w:eastAsia="es-ES"/>
        </w:rPr>
        <w:t xml:space="preserve"> La asistencia de los/as estudiantes de primer año al PT ha sido sobre un 80% en las cuatro cohortes de análisis.</w:t>
      </w:r>
    </w:p>
    <w:p w14:paraId="6C64BBA0" w14:textId="7A617959" w:rsidR="00BF183A" w:rsidRDefault="00BF183A" w:rsidP="00BC1C98">
      <w:pPr>
        <w:pStyle w:val="Default"/>
        <w:spacing w:after="120"/>
        <w:rPr>
          <w:b/>
          <w:color w:val="auto"/>
          <w:lang w:val="es-ES" w:eastAsia="es-ES"/>
        </w:rPr>
      </w:pPr>
      <w:r>
        <w:rPr>
          <w:b/>
          <w:color w:val="auto"/>
          <w:lang w:val="es-ES" w:eastAsia="es-ES"/>
        </w:rPr>
        <w:t>Evaluación General al Programa</w:t>
      </w:r>
    </w:p>
    <w:p w14:paraId="6F7EDD56" w14:textId="646140F4" w:rsidR="00BF183A" w:rsidRDefault="00BF183A" w:rsidP="00BC1C98">
      <w:pPr>
        <w:pStyle w:val="Default"/>
        <w:spacing w:after="120"/>
        <w:jc w:val="both"/>
        <w:rPr>
          <w:b/>
          <w:color w:val="auto"/>
          <w:lang w:val="es-ES" w:eastAsia="es-ES"/>
        </w:rPr>
      </w:pPr>
      <w:r>
        <w:rPr>
          <w:color w:val="auto"/>
          <w:lang w:val="es-ES" w:eastAsia="es-ES"/>
        </w:rPr>
        <w:t>La evaluación al PT se mide rigurosamente desde el año 2016, esto debido a la incorporación del programa como asignatura</w:t>
      </w:r>
      <w:r w:rsidR="007F4321">
        <w:rPr>
          <w:color w:val="auto"/>
          <w:lang w:val="es-ES" w:eastAsia="es-ES"/>
        </w:rPr>
        <w:t xml:space="preserve"> en la carga curricular</w:t>
      </w:r>
      <w:r>
        <w:rPr>
          <w:color w:val="auto"/>
          <w:lang w:val="es-ES" w:eastAsia="es-ES"/>
        </w:rPr>
        <w:t xml:space="preserve"> de malla</w:t>
      </w:r>
      <w:r w:rsidR="007F4321">
        <w:rPr>
          <w:color w:val="auto"/>
          <w:lang w:val="es-ES" w:eastAsia="es-ES"/>
        </w:rPr>
        <w:t xml:space="preserve"> de la carrera</w:t>
      </w:r>
      <w:r>
        <w:rPr>
          <w:color w:val="auto"/>
          <w:lang w:val="es-ES" w:eastAsia="es-ES"/>
        </w:rPr>
        <w:t>. Para esto, cada estudiante de primer año evalúa los siguientes aspectos: Tutores</w:t>
      </w:r>
      <w:r w:rsidR="007F4321">
        <w:rPr>
          <w:color w:val="auto"/>
          <w:lang w:val="es-ES" w:eastAsia="es-ES"/>
        </w:rPr>
        <w:t>/as</w:t>
      </w:r>
      <w:r>
        <w:rPr>
          <w:color w:val="auto"/>
          <w:lang w:val="es-ES" w:eastAsia="es-ES"/>
        </w:rPr>
        <w:t>, Asignatura y Encargado</w:t>
      </w:r>
      <w:r w:rsidR="007F4321">
        <w:rPr>
          <w:color w:val="auto"/>
          <w:lang w:val="es-ES" w:eastAsia="es-ES"/>
        </w:rPr>
        <w:t>/a</w:t>
      </w:r>
      <w:r>
        <w:rPr>
          <w:color w:val="auto"/>
          <w:lang w:val="es-ES" w:eastAsia="es-ES"/>
        </w:rPr>
        <w:t xml:space="preserve"> de Carrera. </w:t>
      </w:r>
    </w:p>
    <w:p w14:paraId="70FE21F4" w14:textId="1E239E00" w:rsidR="00BF183A" w:rsidRDefault="00BF183A" w:rsidP="00BC1C98">
      <w:pPr>
        <w:pStyle w:val="Default"/>
        <w:spacing w:after="120"/>
        <w:jc w:val="both"/>
        <w:rPr>
          <w:color w:val="auto"/>
          <w:lang w:val="es-ES" w:eastAsia="es-ES"/>
        </w:rPr>
      </w:pPr>
      <w:r>
        <w:rPr>
          <w:color w:val="auto"/>
          <w:lang w:val="es-ES" w:eastAsia="es-ES"/>
        </w:rPr>
        <w:t>A continuación, se presenta la tabla resumen de las evaluaciones de los</w:t>
      </w:r>
      <w:r w:rsidR="007F4321">
        <w:rPr>
          <w:color w:val="auto"/>
          <w:lang w:val="es-ES" w:eastAsia="es-ES"/>
        </w:rPr>
        <w:t>/as</w:t>
      </w:r>
      <w:r>
        <w:rPr>
          <w:color w:val="auto"/>
          <w:lang w:val="es-ES" w:eastAsia="es-ES"/>
        </w:rPr>
        <w:t xml:space="preserve"> estudiantes de primer año al PT.</w:t>
      </w:r>
    </w:p>
    <w:p w14:paraId="60697544" w14:textId="77777777" w:rsidR="00BF183A" w:rsidRDefault="00BF183A" w:rsidP="00BF183A">
      <w:pPr>
        <w:pStyle w:val="Default"/>
        <w:jc w:val="both"/>
        <w:rPr>
          <w:color w:val="auto"/>
          <w:lang w:val="es-ES" w:eastAsia="es-ES"/>
        </w:rPr>
      </w:pPr>
      <w:r>
        <w:rPr>
          <w:color w:val="auto"/>
          <w:sz w:val="16"/>
          <w:lang w:val="es-ES" w:eastAsia="es-ES"/>
        </w:rPr>
        <w:t>Tabla 3: Resumen evaluaciones.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978"/>
        <w:gridCol w:w="976"/>
        <w:gridCol w:w="900"/>
        <w:gridCol w:w="976"/>
        <w:gridCol w:w="977"/>
        <w:gridCol w:w="901"/>
        <w:gridCol w:w="977"/>
        <w:gridCol w:w="977"/>
        <w:gridCol w:w="807"/>
      </w:tblGrid>
      <w:tr w:rsidR="00BF183A" w:rsidRPr="00BF183A" w14:paraId="38609734" w14:textId="77777777" w:rsidTr="00BF183A">
        <w:tc>
          <w:tcPr>
            <w:tcW w:w="9639" w:type="dxa"/>
            <w:gridSpan w:val="10"/>
            <w:tcBorders>
              <w:top w:val="single" w:sz="4" w:space="0" w:color="auto"/>
              <w:left w:val="single" w:sz="4" w:space="0" w:color="auto"/>
              <w:bottom w:val="single" w:sz="4" w:space="0" w:color="auto"/>
              <w:right w:val="single" w:sz="4" w:space="0" w:color="auto"/>
            </w:tcBorders>
            <w:shd w:val="clear" w:color="auto" w:fill="000099"/>
            <w:hideMark/>
          </w:tcPr>
          <w:p w14:paraId="48C493A2" w14:textId="77777777" w:rsidR="00BF183A" w:rsidRDefault="00BF183A">
            <w:pPr>
              <w:pStyle w:val="Default"/>
              <w:jc w:val="center"/>
              <w:rPr>
                <w:color w:val="auto"/>
                <w:sz w:val="20"/>
                <w:szCs w:val="20"/>
                <w:lang w:val="es-ES" w:eastAsia="es-ES"/>
              </w:rPr>
            </w:pPr>
            <w:r>
              <w:rPr>
                <w:color w:val="auto"/>
                <w:sz w:val="20"/>
                <w:szCs w:val="20"/>
                <w:lang w:val="es-ES" w:eastAsia="es-ES"/>
              </w:rPr>
              <w:t>Evaluaciones Generales de los estudiantes al PT</w:t>
            </w:r>
          </w:p>
        </w:tc>
      </w:tr>
      <w:tr w:rsidR="00BF183A" w14:paraId="285DA981" w14:textId="77777777" w:rsidTr="00BF183A">
        <w:tc>
          <w:tcPr>
            <w:tcW w:w="1051" w:type="dxa"/>
            <w:tcBorders>
              <w:top w:val="single" w:sz="4" w:space="0" w:color="auto"/>
              <w:left w:val="single" w:sz="4" w:space="0" w:color="auto"/>
              <w:bottom w:val="single" w:sz="4" w:space="0" w:color="auto"/>
              <w:right w:val="single" w:sz="4" w:space="0" w:color="auto"/>
            </w:tcBorders>
            <w:shd w:val="clear" w:color="auto" w:fill="000099"/>
            <w:hideMark/>
          </w:tcPr>
          <w:p w14:paraId="6C956833" w14:textId="77777777" w:rsidR="00BF183A" w:rsidRDefault="00BF183A">
            <w:pPr>
              <w:pStyle w:val="Default"/>
              <w:jc w:val="center"/>
              <w:rPr>
                <w:color w:val="auto"/>
                <w:sz w:val="20"/>
                <w:szCs w:val="20"/>
                <w:lang w:val="es-ES" w:eastAsia="es-ES"/>
              </w:rPr>
            </w:pPr>
            <w:r>
              <w:rPr>
                <w:color w:val="auto"/>
                <w:sz w:val="20"/>
                <w:szCs w:val="20"/>
                <w:lang w:val="es-ES" w:eastAsia="es-ES"/>
              </w:rPr>
              <w:t>Ítem</w:t>
            </w:r>
          </w:p>
        </w:tc>
        <w:tc>
          <w:tcPr>
            <w:tcW w:w="2897" w:type="dxa"/>
            <w:gridSpan w:val="3"/>
            <w:tcBorders>
              <w:top w:val="single" w:sz="4" w:space="0" w:color="auto"/>
              <w:left w:val="single" w:sz="4" w:space="0" w:color="auto"/>
              <w:bottom w:val="single" w:sz="4" w:space="0" w:color="auto"/>
              <w:right w:val="single" w:sz="4" w:space="0" w:color="auto"/>
            </w:tcBorders>
            <w:shd w:val="clear" w:color="auto" w:fill="000099"/>
            <w:hideMark/>
          </w:tcPr>
          <w:p w14:paraId="3ACB6337" w14:textId="4FFD9C1B" w:rsidR="00BF183A" w:rsidRDefault="00BF183A">
            <w:pPr>
              <w:pStyle w:val="Default"/>
              <w:jc w:val="center"/>
              <w:rPr>
                <w:color w:val="auto"/>
                <w:sz w:val="20"/>
                <w:szCs w:val="20"/>
                <w:lang w:val="es-ES" w:eastAsia="es-ES"/>
              </w:rPr>
            </w:pPr>
            <w:r>
              <w:rPr>
                <w:color w:val="auto"/>
                <w:sz w:val="20"/>
                <w:szCs w:val="20"/>
                <w:lang w:val="es-ES" w:eastAsia="es-ES"/>
              </w:rPr>
              <w:t>Tutores</w:t>
            </w:r>
            <w:r w:rsidR="00FF576F">
              <w:rPr>
                <w:color w:val="auto"/>
                <w:sz w:val="20"/>
                <w:szCs w:val="20"/>
                <w:lang w:val="es-ES" w:eastAsia="es-ES"/>
              </w:rPr>
              <w:t>/as</w:t>
            </w:r>
          </w:p>
        </w:tc>
        <w:tc>
          <w:tcPr>
            <w:tcW w:w="2899" w:type="dxa"/>
            <w:gridSpan w:val="3"/>
            <w:tcBorders>
              <w:top w:val="single" w:sz="4" w:space="0" w:color="auto"/>
              <w:left w:val="single" w:sz="4" w:space="0" w:color="auto"/>
              <w:bottom w:val="single" w:sz="4" w:space="0" w:color="auto"/>
              <w:right w:val="single" w:sz="4" w:space="0" w:color="auto"/>
            </w:tcBorders>
            <w:shd w:val="clear" w:color="auto" w:fill="000099"/>
            <w:hideMark/>
          </w:tcPr>
          <w:p w14:paraId="27AA0408" w14:textId="77777777" w:rsidR="00BF183A" w:rsidRDefault="00BF183A">
            <w:pPr>
              <w:pStyle w:val="Default"/>
              <w:jc w:val="center"/>
              <w:rPr>
                <w:color w:val="auto"/>
                <w:sz w:val="20"/>
                <w:szCs w:val="20"/>
                <w:lang w:val="es-ES" w:eastAsia="es-ES"/>
              </w:rPr>
            </w:pPr>
            <w:r>
              <w:rPr>
                <w:color w:val="auto"/>
                <w:sz w:val="20"/>
                <w:szCs w:val="20"/>
                <w:lang w:val="es-ES" w:eastAsia="es-ES"/>
              </w:rPr>
              <w:t>Asignatura</w:t>
            </w:r>
          </w:p>
        </w:tc>
        <w:tc>
          <w:tcPr>
            <w:tcW w:w="2792" w:type="dxa"/>
            <w:gridSpan w:val="3"/>
            <w:tcBorders>
              <w:top w:val="single" w:sz="4" w:space="0" w:color="auto"/>
              <w:left w:val="single" w:sz="4" w:space="0" w:color="auto"/>
              <w:bottom w:val="single" w:sz="4" w:space="0" w:color="auto"/>
              <w:right w:val="single" w:sz="4" w:space="0" w:color="auto"/>
            </w:tcBorders>
            <w:shd w:val="clear" w:color="auto" w:fill="000099"/>
            <w:hideMark/>
          </w:tcPr>
          <w:p w14:paraId="40697296" w14:textId="63557F29" w:rsidR="00BF183A" w:rsidRDefault="00BF183A">
            <w:pPr>
              <w:pStyle w:val="Default"/>
              <w:jc w:val="center"/>
              <w:rPr>
                <w:color w:val="auto"/>
                <w:sz w:val="20"/>
                <w:szCs w:val="20"/>
                <w:lang w:val="es-ES" w:eastAsia="es-ES"/>
              </w:rPr>
            </w:pPr>
            <w:r>
              <w:rPr>
                <w:color w:val="auto"/>
                <w:sz w:val="20"/>
                <w:szCs w:val="20"/>
                <w:lang w:val="es-ES" w:eastAsia="es-ES"/>
              </w:rPr>
              <w:t>Encargado</w:t>
            </w:r>
            <w:r w:rsidR="00FF576F">
              <w:rPr>
                <w:color w:val="auto"/>
                <w:sz w:val="20"/>
                <w:szCs w:val="20"/>
                <w:lang w:val="es-ES" w:eastAsia="es-ES"/>
              </w:rPr>
              <w:t>/a</w:t>
            </w:r>
            <w:r>
              <w:rPr>
                <w:color w:val="auto"/>
                <w:sz w:val="20"/>
                <w:szCs w:val="20"/>
                <w:lang w:val="es-ES" w:eastAsia="es-ES"/>
              </w:rPr>
              <w:t xml:space="preserve"> de Carrera</w:t>
            </w:r>
          </w:p>
        </w:tc>
      </w:tr>
      <w:tr w:rsidR="00BF183A" w14:paraId="4AC08683" w14:textId="77777777" w:rsidTr="00BF183A">
        <w:tc>
          <w:tcPr>
            <w:tcW w:w="1051" w:type="dxa"/>
            <w:tcBorders>
              <w:top w:val="single" w:sz="4" w:space="0" w:color="auto"/>
              <w:left w:val="single" w:sz="4" w:space="0" w:color="auto"/>
              <w:bottom w:val="single" w:sz="4" w:space="0" w:color="auto"/>
              <w:right w:val="single" w:sz="4" w:space="0" w:color="auto"/>
            </w:tcBorders>
            <w:shd w:val="clear" w:color="auto" w:fill="000099"/>
            <w:hideMark/>
          </w:tcPr>
          <w:p w14:paraId="2C3C7881" w14:textId="77777777" w:rsidR="00BF183A" w:rsidRDefault="00BF183A">
            <w:pPr>
              <w:pStyle w:val="Default"/>
              <w:jc w:val="center"/>
              <w:rPr>
                <w:color w:val="auto"/>
                <w:sz w:val="20"/>
                <w:szCs w:val="20"/>
                <w:lang w:val="es-ES" w:eastAsia="es-ES"/>
              </w:rPr>
            </w:pPr>
            <w:r>
              <w:rPr>
                <w:color w:val="auto"/>
                <w:sz w:val="20"/>
                <w:szCs w:val="20"/>
                <w:lang w:val="es-ES" w:eastAsia="es-ES"/>
              </w:rPr>
              <w:t>Año / Periodo</w:t>
            </w:r>
          </w:p>
        </w:tc>
        <w:tc>
          <w:tcPr>
            <w:tcW w:w="980" w:type="dxa"/>
            <w:tcBorders>
              <w:top w:val="single" w:sz="4" w:space="0" w:color="auto"/>
              <w:left w:val="single" w:sz="4" w:space="0" w:color="auto"/>
              <w:bottom w:val="single" w:sz="4" w:space="0" w:color="auto"/>
              <w:right w:val="single" w:sz="4" w:space="0" w:color="auto"/>
            </w:tcBorders>
            <w:shd w:val="clear" w:color="auto" w:fill="000099"/>
            <w:hideMark/>
          </w:tcPr>
          <w:p w14:paraId="26E7C102" w14:textId="316D6C41" w:rsidR="00BF183A" w:rsidRDefault="00FF576F">
            <w:pPr>
              <w:pStyle w:val="Default"/>
              <w:jc w:val="center"/>
              <w:rPr>
                <w:color w:val="auto"/>
                <w:sz w:val="20"/>
                <w:szCs w:val="20"/>
                <w:lang w:val="es-ES" w:eastAsia="es-ES"/>
              </w:rPr>
            </w:pPr>
            <w:r>
              <w:rPr>
                <w:color w:val="auto"/>
                <w:sz w:val="20"/>
                <w:szCs w:val="20"/>
                <w:lang w:val="es-ES" w:eastAsia="es-ES"/>
              </w:rPr>
              <w:t>1° Semestr2</w:t>
            </w:r>
          </w:p>
        </w:tc>
        <w:tc>
          <w:tcPr>
            <w:tcW w:w="980" w:type="dxa"/>
            <w:tcBorders>
              <w:top w:val="single" w:sz="4" w:space="0" w:color="auto"/>
              <w:left w:val="single" w:sz="4" w:space="0" w:color="auto"/>
              <w:bottom w:val="single" w:sz="4" w:space="0" w:color="auto"/>
              <w:right w:val="single" w:sz="4" w:space="0" w:color="auto"/>
            </w:tcBorders>
            <w:shd w:val="clear" w:color="auto" w:fill="000099"/>
            <w:hideMark/>
          </w:tcPr>
          <w:p w14:paraId="23E442E5" w14:textId="77777777" w:rsidR="00BF183A" w:rsidRDefault="00BF183A">
            <w:pPr>
              <w:pStyle w:val="Default"/>
              <w:jc w:val="center"/>
              <w:rPr>
                <w:color w:val="auto"/>
                <w:sz w:val="20"/>
                <w:szCs w:val="20"/>
                <w:lang w:val="es-ES" w:eastAsia="es-ES"/>
              </w:rPr>
            </w:pPr>
            <w:r>
              <w:rPr>
                <w:color w:val="auto"/>
                <w:sz w:val="20"/>
                <w:szCs w:val="20"/>
                <w:lang w:val="es-ES" w:eastAsia="es-ES"/>
              </w:rPr>
              <w:t>2° Semestre</w:t>
            </w:r>
          </w:p>
        </w:tc>
        <w:tc>
          <w:tcPr>
            <w:tcW w:w="937" w:type="dxa"/>
            <w:tcBorders>
              <w:top w:val="single" w:sz="4" w:space="0" w:color="auto"/>
              <w:left w:val="single" w:sz="4" w:space="0" w:color="auto"/>
              <w:bottom w:val="single" w:sz="4" w:space="0" w:color="auto"/>
              <w:right w:val="single" w:sz="4" w:space="0" w:color="auto"/>
            </w:tcBorders>
            <w:shd w:val="clear" w:color="auto" w:fill="000099"/>
            <w:hideMark/>
          </w:tcPr>
          <w:p w14:paraId="06E70484" w14:textId="77777777" w:rsidR="00BF183A" w:rsidRDefault="00BF183A">
            <w:pPr>
              <w:pStyle w:val="Default"/>
              <w:jc w:val="center"/>
              <w:rPr>
                <w:color w:val="auto"/>
                <w:sz w:val="20"/>
                <w:szCs w:val="20"/>
                <w:lang w:val="es-ES" w:eastAsia="es-ES"/>
              </w:rPr>
            </w:pPr>
            <w:r>
              <w:rPr>
                <w:color w:val="auto"/>
                <w:sz w:val="20"/>
                <w:szCs w:val="20"/>
                <w:lang w:val="es-ES" w:eastAsia="es-ES"/>
              </w:rPr>
              <w:t>Total</w:t>
            </w:r>
          </w:p>
        </w:tc>
        <w:tc>
          <w:tcPr>
            <w:tcW w:w="980" w:type="dxa"/>
            <w:tcBorders>
              <w:top w:val="single" w:sz="4" w:space="0" w:color="auto"/>
              <w:left w:val="single" w:sz="4" w:space="0" w:color="auto"/>
              <w:bottom w:val="single" w:sz="4" w:space="0" w:color="auto"/>
              <w:right w:val="single" w:sz="4" w:space="0" w:color="auto"/>
            </w:tcBorders>
            <w:shd w:val="clear" w:color="auto" w:fill="000099"/>
            <w:hideMark/>
          </w:tcPr>
          <w:p w14:paraId="67A4EDB4" w14:textId="77777777" w:rsidR="00BF183A" w:rsidRDefault="00BF183A">
            <w:pPr>
              <w:pStyle w:val="Default"/>
              <w:jc w:val="center"/>
              <w:rPr>
                <w:color w:val="auto"/>
                <w:sz w:val="20"/>
                <w:szCs w:val="20"/>
                <w:lang w:val="es-ES" w:eastAsia="es-ES"/>
              </w:rPr>
            </w:pPr>
            <w:r>
              <w:rPr>
                <w:color w:val="auto"/>
                <w:sz w:val="20"/>
                <w:szCs w:val="20"/>
                <w:lang w:val="es-ES" w:eastAsia="es-ES"/>
              </w:rPr>
              <w:t>1° Semestre</w:t>
            </w:r>
          </w:p>
        </w:tc>
        <w:tc>
          <w:tcPr>
            <w:tcW w:w="981" w:type="dxa"/>
            <w:tcBorders>
              <w:top w:val="single" w:sz="4" w:space="0" w:color="auto"/>
              <w:left w:val="single" w:sz="4" w:space="0" w:color="auto"/>
              <w:bottom w:val="single" w:sz="4" w:space="0" w:color="auto"/>
              <w:right w:val="single" w:sz="4" w:space="0" w:color="auto"/>
            </w:tcBorders>
            <w:shd w:val="clear" w:color="auto" w:fill="000099"/>
            <w:hideMark/>
          </w:tcPr>
          <w:p w14:paraId="3D40039C" w14:textId="77777777" w:rsidR="00BF183A" w:rsidRDefault="00BF183A">
            <w:pPr>
              <w:pStyle w:val="Default"/>
              <w:jc w:val="center"/>
              <w:rPr>
                <w:color w:val="auto"/>
                <w:sz w:val="20"/>
                <w:szCs w:val="20"/>
                <w:lang w:val="es-ES" w:eastAsia="es-ES"/>
              </w:rPr>
            </w:pPr>
            <w:r>
              <w:rPr>
                <w:color w:val="auto"/>
                <w:sz w:val="20"/>
                <w:szCs w:val="20"/>
                <w:lang w:val="es-ES" w:eastAsia="es-ES"/>
              </w:rPr>
              <w:t>2° Semestre</w:t>
            </w:r>
          </w:p>
        </w:tc>
        <w:tc>
          <w:tcPr>
            <w:tcW w:w="938" w:type="dxa"/>
            <w:tcBorders>
              <w:top w:val="single" w:sz="4" w:space="0" w:color="auto"/>
              <w:left w:val="single" w:sz="4" w:space="0" w:color="auto"/>
              <w:bottom w:val="single" w:sz="4" w:space="0" w:color="auto"/>
              <w:right w:val="single" w:sz="4" w:space="0" w:color="auto"/>
            </w:tcBorders>
            <w:shd w:val="clear" w:color="auto" w:fill="000099"/>
            <w:hideMark/>
          </w:tcPr>
          <w:p w14:paraId="5BD73CC1" w14:textId="77777777" w:rsidR="00BF183A" w:rsidRDefault="00BF183A">
            <w:pPr>
              <w:pStyle w:val="Default"/>
              <w:jc w:val="center"/>
              <w:rPr>
                <w:color w:val="auto"/>
                <w:sz w:val="20"/>
                <w:szCs w:val="20"/>
                <w:lang w:val="es-ES" w:eastAsia="es-ES"/>
              </w:rPr>
            </w:pPr>
            <w:r>
              <w:rPr>
                <w:color w:val="auto"/>
                <w:sz w:val="20"/>
                <w:szCs w:val="20"/>
                <w:lang w:val="es-ES" w:eastAsia="es-ES"/>
              </w:rPr>
              <w:t>Total</w:t>
            </w:r>
          </w:p>
        </w:tc>
        <w:tc>
          <w:tcPr>
            <w:tcW w:w="981" w:type="dxa"/>
            <w:tcBorders>
              <w:top w:val="single" w:sz="4" w:space="0" w:color="auto"/>
              <w:left w:val="single" w:sz="4" w:space="0" w:color="auto"/>
              <w:bottom w:val="single" w:sz="4" w:space="0" w:color="auto"/>
              <w:right w:val="single" w:sz="4" w:space="0" w:color="auto"/>
            </w:tcBorders>
            <w:shd w:val="clear" w:color="auto" w:fill="000099"/>
            <w:hideMark/>
          </w:tcPr>
          <w:p w14:paraId="6B42A415" w14:textId="77777777" w:rsidR="00BF183A" w:rsidRDefault="00BF183A">
            <w:pPr>
              <w:pStyle w:val="Default"/>
              <w:jc w:val="center"/>
              <w:rPr>
                <w:color w:val="auto"/>
                <w:sz w:val="20"/>
                <w:szCs w:val="20"/>
                <w:lang w:val="es-ES" w:eastAsia="es-ES"/>
              </w:rPr>
            </w:pPr>
            <w:r>
              <w:rPr>
                <w:color w:val="auto"/>
                <w:sz w:val="20"/>
                <w:szCs w:val="20"/>
                <w:lang w:val="es-ES" w:eastAsia="es-ES"/>
              </w:rPr>
              <w:t>1° Semestre</w:t>
            </w:r>
          </w:p>
        </w:tc>
        <w:tc>
          <w:tcPr>
            <w:tcW w:w="981" w:type="dxa"/>
            <w:tcBorders>
              <w:top w:val="single" w:sz="4" w:space="0" w:color="auto"/>
              <w:left w:val="single" w:sz="4" w:space="0" w:color="auto"/>
              <w:bottom w:val="single" w:sz="4" w:space="0" w:color="auto"/>
              <w:right w:val="single" w:sz="4" w:space="0" w:color="auto"/>
            </w:tcBorders>
            <w:shd w:val="clear" w:color="auto" w:fill="000099"/>
            <w:hideMark/>
          </w:tcPr>
          <w:p w14:paraId="769DB003" w14:textId="77777777" w:rsidR="00BF183A" w:rsidRDefault="00BF183A">
            <w:pPr>
              <w:pStyle w:val="Default"/>
              <w:jc w:val="center"/>
              <w:rPr>
                <w:color w:val="auto"/>
                <w:sz w:val="20"/>
                <w:szCs w:val="20"/>
                <w:lang w:val="es-ES" w:eastAsia="es-ES"/>
              </w:rPr>
            </w:pPr>
            <w:r>
              <w:rPr>
                <w:color w:val="auto"/>
                <w:sz w:val="20"/>
                <w:szCs w:val="20"/>
                <w:lang w:val="es-ES" w:eastAsia="es-ES"/>
              </w:rPr>
              <w:t>2° Semestre</w:t>
            </w:r>
          </w:p>
        </w:tc>
        <w:tc>
          <w:tcPr>
            <w:tcW w:w="830" w:type="dxa"/>
            <w:tcBorders>
              <w:top w:val="single" w:sz="4" w:space="0" w:color="auto"/>
              <w:left w:val="single" w:sz="4" w:space="0" w:color="auto"/>
              <w:bottom w:val="single" w:sz="4" w:space="0" w:color="auto"/>
              <w:right w:val="single" w:sz="4" w:space="0" w:color="auto"/>
            </w:tcBorders>
            <w:shd w:val="clear" w:color="auto" w:fill="000099"/>
            <w:hideMark/>
          </w:tcPr>
          <w:p w14:paraId="1A7662FF" w14:textId="77777777" w:rsidR="00BF183A" w:rsidRDefault="00BF183A">
            <w:pPr>
              <w:pStyle w:val="Default"/>
              <w:jc w:val="center"/>
              <w:rPr>
                <w:color w:val="auto"/>
                <w:sz w:val="20"/>
                <w:szCs w:val="20"/>
                <w:lang w:val="es-ES" w:eastAsia="es-ES"/>
              </w:rPr>
            </w:pPr>
            <w:r>
              <w:rPr>
                <w:color w:val="auto"/>
                <w:sz w:val="20"/>
                <w:szCs w:val="20"/>
                <w:lang w:val="es-ES" w:eastAsia="es-ES"/>
              </w:rPr>
              <w:t>Total</w:t>
            </w:r>
          </w:p>
        </w:tc>
      </w:tr>
      <w:tr w:rsidR="00BF183A" w14:paraId="02FCD697" w14:textId="77777777" w:rsidTr="00FF576F">
        <w:tc>
          <w:tcPr>
            <w:tcW w:w="1051" w:type="dxa"/>
            <w:tcBorders>
              <w:top w:val="single" w:sz="4" w:space="0" w:color="auto"/>
              <w:left w:val="single" w:sz="4" w:space="0" w:color="auto"/>
              <w:bottom w:val="single" w:sz="4" w:space="0" w:color="auto"/>
              <w:right w:val="single" w:sz="4" w:space="0" w:color="auto"/>
            </w:tcBorders>
            <w:shd w:val="clear" w:color="auto" w:fill="000099"/>
            <w:hideMark/>
          </w:tcPr>
          <w:p w14:paraId="56F51A11" w14:textId="03340B33" w:rsidR="00BF183A" w:rsidRDefault="00FF576F">
            <w:pPr>
              <w:pStyle w:val="Default"/>
              <w:jc w:val="center"/>
              <w:rPr>
                <w:color w:val="auto"/>
                <w:sz w:val="20"/>
                <w:szCs w:val="20"/>
                <w:lang w:val="es-ES" w:eastAsia="es-ES"/>
              </w:rPr>
            </w:pPr>
            <w:r>
              <w:rPr>
                <w:color w:val="auto"/>
                <w:sz w:val="20"/>
                <w:szCs w:val="20"/>
                <w:lang w:val="es-ES" w:eastAsia="es-ES"/>
              </w:rPr>
              <w:t>2018</w:t>
            </w:r>
          </w:p>
        </w:tc>
        <w:tc>
          <w:tcPr>
            <w:tcW w:w="980" w:type="dxa"/>
            <w:tcBorders>
              <w:top w:val="single" w:sz="4" w:space="0" w:color="auto"/>
              <w:left w:val="single" w:sz="4" w:space="0" w:color="auto"/>
              <w:bottom w:val="single" w:sz="4" w:space="0" w:color="auto"/>
              <w:right w:val="single" w:sz="4" w:space="0" w:color="auto"/>
            </w:tcBorders>
          </w:tcPr>
          <w:p w14:paraId="13F5ED26" w14:textId="502DF5FE" w:rsidR="00BF183A" w:rsidRDefault="00FF576F">
            <w:pPr>
              <w:pStyle w:val="Default"/>
              <w:jc w:val="center"/>
              <w:rPr>
                <w:color w:val="auto"/>
                <w:sz w:val="20"/>
                <w:szCs w:val="20"/>
                <w:lang w:val="es-ES" w:eastAsia="es-ES"/>
              </w:rPr>
            </w:pPr>
            <w:r>
              <w:rPr>
                <w:color w:val="auto"/>
                <w:sz w:val="20"/>
                <w:szCs w:val="20"/>
                <w:lang w:val="es-ES" w:eastAsia="es-ES"/>
              </w:rPr>
              <w:t>6,5</w:t>
            </w:r>
          </w:p>
        </w:tc>
        <w:tc>
          <w:tcPr>
            <w:tcW w:w="980" w:type="dxa"/>
            <w:tcBorders>
              <w:top w:val="single" w:sz="4" w:space="0" w:color="auto"/>
              <w:left w:val="single" w:sz="4" w:space="0" w:color="auto"/>
              <w:bottom w:val="single" w:sz="4" w:space="0" w:color="auto"/>
              <w:right w:val="single" w:sz="4" w:space="0" w:color="auto"/>
            </w:tcBorders>
          </w:tcPr>
          <w:p w14:paraId="5C977EA7" w14:textId="5960851B" w:rsidR="00BF183A" w:rsidRDefault="00FF576F">
            <w:pPr>
              <w:pStyle w:val="Default"/>
              <w:jc w:val="center"/>
              <w:rPr>
                <w:color w:val="auto"/>
                <w:sz w:val="20"/>
                <w:szCs w:val="20"/>
                <w:lang w:val="es-ES" w:eastAsia="es-ES"/>
              </w:rPr>
            </w:pPr>
            <w:r>
              <w:rPr>
                <w:color w:val="auto"/>
                <w:sz w:val="20"/>
                <w:szCs w:val="20"/>
                <w:lang w:val="es-ES" w:eastAsia="es-ES"/>
              </w:rPr>
              <w:t>6,5</w:t>
            </w:r>
          </w:p>
        </w:tc>
        <w:tc>
          <w:tcPr>
            <w:tcW w:w="937" w:type="dxa"/>
            <w:tcBorders>
              <w:top w:val="single" w:sz="4" w:space="0" w:color="auto"/>
              <w:left w:val="single" w:sz="4" w:space="0" w:color="auto"/>
              <w:bottom w:val="single" w:sz="4" w:space="0" w:color="auto"/>
              <w:right w:val="single" w:sz="4" w:space="0" w:color="auto"/>
            </w:tcBorders>
          </w:tcPr>
          <w:p w14:paraId="3AE2C12F" w14:textId="30F1216F" w:rsidR="00BF183A" w:rsidRDefault="00FF576F">
            <w:pPr>
              <w:pStyle w:val="Default"/>
              <w:jc w:val="center"/>
              <w:rPr>
                <w:color w:val="auto"/>
                <w:sz w:val="20"/>
                <w:szCs w:val="20"/>
                <w:lang w:val="es-ES" w:eastAsia="es-ES"/>
              </w:rPr>
            </w:pPr>
            <w:r>
              <w:rPr>
                <w:color w:val="auto"/>
                <w:sz w:val="20"/>
                <w:szCs w:val="20"/>
                <w:lang w:val="es-ES" w:eastAsia="es-ES"/>
              </w:rPr>
              <w:t>6,5</w:t>
            </w:r>
          </w:p>
        </w:tc>
        <w:tc>
          <w:tcPr>
            <w:tcW w:w="980" w:type="dxa"/>
            <w:tcBorders>
              <w:top w:val="single" w:sz="4" w:space="0" w:color="auto"/>
              <w:left w:val="single" w:sz="4" w:space="0" w:color="auto"/>
              <w:bottom w:val="single" w:sz="4" w:space="0" w:color="auto"/>
              <w:right w:val="single" w:sz="4" w:space="0" w:color="auto"/>
            </w:tcBorders>
          </w:tcPr>
          <w:p w14:paraId="2819ECDC" w14:textId="734C62E5" w:rsidR="00BF183A" w:rsidRDefault="00FF576F">
            <w:pPr>
              <w:pStyle w:val="Default"/>
              <w:jc w:val="center"/>
              <w:rPr>
                <w:color w:val="auto"/>
                <w:sz w:val="20"/>
                <w:szCs w:val="20"/>
                <w:lang w:val="es-ES" w:eastAsia="es-ES"/>
              </w:rPr>
            </w:pPr>
            <w:r>
              <w:rPr>
                <w:color w:val="auto"/>
                <w:sz w:val="20"/>
                <w:szCs w:val="20"/>
                <w:lang w:val="es-ES" w:eastAsia="es-ES"/>
              </w:rPr>
              <w:t>6,5</w:t>
            </w:r>
          </w:p>
        </w:tc>
        <w:tc>
          <w:tcPr>
            <w:tcW w:w="981" w:type="dxa"/>
            <w:tcBorders>
              <w:top w:val="single" w:sz="4" w:space="0" w:color="auto"/>
              <w:left w:val="single" w:sz="4" w:space="0" w:color="auto"/>
              <w:bottom w:val="single" w:sz="4" w:space="0" w:color="auto"/>
              <w:right w:val="single" w:sz="4" w:space="0" w:color="auto"/>
            </w:tcBorders>
          </w:tcPr>
          <w:p w14:paraId="05A08406" w14:textId="0DFA2D39" w:rsidR="00BF183A" w:rsidRDefault="00FF576F">
            <w:pPr>
              <w:pStyle w:val="Default"/>
              <w:jc w:val="center"/>
              <w:rPr>
                <w:color w:val="auto"/>
                <w:sz w:val="20"/>
                <w:szCs w:val="20"/>
                <w:lang w:val="es-ES" w:eastAsia="es-ES"/>
              </w:rPr>
            </w:pPr>
            <w:r>
              <w:rPr>
                <w:color w:val="auto"/>
                <w:sz w:val="20"/>
                <w:szCs w:val="20"/>
                <w:lang w:val="es-ES" w:eastAsia="es-ES"/>
              </w:rPr>
              <w:t>6,5</w:t>
            </w:r>
          </w:p>
        </w:tc>
        <w:tc>
          <w:tcPr>
            <w:tcW w:w="938" w:type="dxa"/>
            <w:tcBorders>
              <w:top w:val="single" w:sz="4" w:space="0" w:color="auto"/>
              <w:left w:val="single" w:sz="4" w:space="0" w:color="auto"/>
              <w:bottom w:val="single" w:sz="4" w:space="0" w:color="auto"/>
              <w:right w:val="single" w:sz="4" w:space="0" w:color="auto"/>
            </w:tcBorders>
          </w:tcPr>
          <w:p w14:paraId="79F59452" w14:textId="5A7C08B0" w:rsidR="00BF183A" w:rsidRDefault="00FF576F">
            <w:pPr>
              <w:pStyle w:val="Default"/>
              <w:jc w:val="center"/>
              <w:rPr>
                <w:color w:val="auto"/>
                <w:sz w:val="20"/>
                <w:szCs w:val="20"/>
                <w:lang w:val="es-ES" w:eastAsia="es-ES"/>
              </w:rPr>
            </w:pPr>
            <w:r>
              <w:rPr>
                <w:color w:val="auto"/>
                <w:sz w:val="20"/>
                <w:szCs w:val="20"/>
                <w:lang w:val="es-ES" w:eastAsia="es-ES"/>
              </w:rPr>
              <w:t>6,5</w:t>
            </w:r>
          </w:p>
        </w:tc>
        <w:tc>
          <w:tcPr>
            <w:tcW w:w="981" w:type="dxa"/>
            <w:tcBorders>
              <w:top w:val="single" w:sz="4" w:space="0" w:color="auto"/>
              <w:left w:val="single" w:sz="4" w:space="0" w:color="auto"/>
              <w:bottom w:val="single" w:sz="4" w:space="0" w:color="auto"/>
              <w:right w:val="single" w:sz="4" w:space="0" w:color="auto"/>
            </w:tcBorders>
          </w:tcPr>
          <w:p w14:paraId="5D480C31" w14:textId="46C1809B" w:rsidR="00BF183A" w:rsidRDefault="00FF576F">
            <w:pPr>
              <w:pStyle w:val="Default"/>
              <w:jc w:val="center"/>
              <w:rPr>
                <w:color w:val="auto"/>
                <w:sz w:val="20"/>
                <w:szCs w:val="20"/>
                <w:lang w:val="es-ES" w:eastAsia="es-ES"/>
              </w:rPr>
            </w:pPr>
            <w:r>
              <w:rPr>
                <w:color w:val="auto"/>
                <w:sz w:val="20"/>
                <w:szCs w:val="20"/>
                <w:lang w:val="es-ES" w:eastAsia="es-ES"/>
              </w:rPr>
              <w:t>6,1</w:t>
            </w:r>
          </w:p>
        </w:tc>
        <w:tc>
          <w:tcPr>
            <w:tcW w:w="981" w:type="dxa"/>
            <w:tcBorders>
              <w:top w:val="single" w:sz="4" w:space="0" w:color="auto"/>
              <w:left w:val="single" w:sz="4" w:space="0" w:color="auto"/>
              <w:bottom w:val="single" w:sz="4" w:space="0" w:color="auto"/>
              <w:right w:val="single" w:sz="4" w:space="0" w:color="auto"/>
            </w:tcBorders>
          </w:tcPr>
          <w:p w14:paraId="30089E20" w14:textId="61296115" w:rsidR="00BF183A" w:rsidRDefault="00FF576F">
            <w:pPr>
              <w:pStyle w:val="Default"/>
              <w:jc w:val="center"/>
              <w:rPr>
                <w:color w:val="auto"/>
                <w:sz w:val="20"/>
                <w:szCs w:val="20"/>
                <w:lang w:val="es-ES" w:eastAsia="es-ES"/>
              </w:rPr>
            </w:pPr>
            <w:r>
              <w:rPr>
                <w:color w:val="auto"/>
                <w:sz w:val="20"/>
                <w:szCs w:val="20"/>
                <w:lang w:val="es-ES" w:eastAsia="es-ES"/>
              </w:rPr>
              <w:t>6,5</w:t>
            </w:r>
          </w:p>
        </w:tc>
        <w:tc>
          <w:tcPr>
            <w:tcW w:w="830" w:type="dxa"/>
            <w:tcBorders>
              <w:top w:val="single" w:sz="4" w:space="0" w:color="auto"/>
              <w:left w:val="single" w:sz="4" w:space="0" w:color="auto"/>
              <w:bottom w:val="single" w:sz="4" w:space="0" w:color="auto"/>
              <w:right w:val="single" w:sz="4" w:space="0" w:color="auto"/>
            </w:tcBorders>
          </w:tcPr>
          <w:p w14:paraId="55A701CC" w14:textId="254D8FEE" w:rsidR="00BF183A" w:rsidRDefault="00FF576F">
            <w:pPr>
              <w:pStyle w:val="Default"/>
              <w:jc w:val="center"/>
              <w:rPr>
                <w:color w:val="auto"/>
                <w:sz w:val="20"/>
                <w:szCs w:val="20"/>
                <w:lang w:val="es-ES" w:eastAsia="es-ES"/>
              </w:rPr>
            </w:pPr>
            <w:r>
              <w:rPr>
                <w:color w:val="auto"/>
                <w:sz w:val="20"/>
                <w:szCs w:val="20"/>
                <w:lang w:val="es-ES" w:eastAsia="es-ES"/>
              </w:rPr>
              <w:t>6,3</w:t>
            </w:r>
          </w:p>
        </w:tc>
      </w:tr>
      <w:tr w:rsidR="00BF183A" w14:paraId="2C419B26" w14:textId="77777777" w:rsidTr="00FF576F">
        <w:tc>
          <w:tcPr>
            <w:tcW w:w="1051" w:type="dxa"/>
            <w:tcBorders>
              <w:top w:val="single" w:sz="4" w:space="0" w:color="auto"/>
              <w:left w:val="single" w:sz="4" w:space="0" w:color="auto"/>
              <w:bottom w:val="single" w:sz="4" w:space="0" w:color="auto"/>
              <w:right w:val="single" w:sz="4" w:space="0" w:color="auto"/>
            </w:tcBorders>
            <w:shd w:val="clear" w:color="auto" w:fill="000099"/>
            <w:hideMark/>
          </w:tcPr>
          <w:p w14:paraId="38C10C6A" w14:textId="3828CCDC" w:rsidR="00BF183A" w:rsidRDefault="00FF576F">
            <w:pPr>
              <w:pStyle w:val="Default"/>
              <w:jc w:val="center"/>
              <w:rPr>
                <w:color w:val="auto"/>
                <w:sz w:val="20"/>
                <w:szCs w:val="20"/>
                <w:lang w:val="es-ES" w:eastAsia="es-ES"/>
              </w:rPr>
            </w:pPr>
            <w:r>
              <w:rPr>
                <w:color w:val="auto"/>
                <w:sz w:val="20"/>
                <w:szCs w:val="20"/>
                <w:lang w:val="es-ES" w:eastAsia="es-ES"/>
              </w:rPr>
              <w:t>2019</w:t>
            </w:r>
          </w:p>
        </w:tc>
        <w:tc>
          <w:tcPr>
            <w:tcW w:w="980" w:type="dxa"/>
            <w:tcBorders>
              <w:top w:val="single" w:sz="4" w:space="0" w:color="auto"/>
              <w:left w:val="single" w:sz="4" w:space="0" w:color="auto"/>
              <w:bottom w:val="single" w:sz="4" w:space="0" w:color="auto"/>
              <w:right w:val="single" w:sz="4" w:space="0" w:color="auto"/>
            </w:tcBorders>
          </w:tcPr>
          <w:p w14:paraId="610602C5" w14:textId="2DE91869" w:rsidR="00BF183A" w:rsidRDefault="00FF576F">
            <w:pPr>
              <w:pStyle w:val="Default"/>
              <w:jc w:val="center"/>
              <w:rPr>
                <w:color w:val="auto"/>
                <w:sz w:val="20"/>
                <w:szCs w:val="20"/>
                <w:lang w:val="es-ES" w:eastAsia="es-ES"/>
              </w:rPr>
            </w:pPr>
            <w:r>
              <w:rPr>
                <w:color w:val="auto"/>
                <w:sz w:val="20"/>
                <w:szCs w:val="20"/>
                <w:lang w:val="es-ES" w:eastAsia="es-ES"/>
              </w:rPr>
              <w:t>6,2</w:t>
            </w:r>
          </w:p>
        </w:tc>
        <w:tc>
          <w:tcPr>
            <w:tcW w:w="980" w:type="dxa"/>
            <w:tcBorders>
              <w:top w:val="single" w:sz="4" w:space="0" w:color="auto"/>
              <w:left w:val="single" w:sz="4" w:space="0" w:color="auto"/>
              <w:bottom w:val="single" w:sz="4" w:space="0" w:color="auto"/>
              <w:right w:val="single" w:sz="4" w:space="0" w:color="auto"/>
            </w:tcBorders>
          </w:tcPr>
          <w:p w14:paraId="3EA51C41" w14:textId="2A24FA27" w:rsidR="00BF183A" w:rsidRDefault="00FF576F">
            <w:pPr>
              <w:pStyle w:val="Default"/>
              <w:jc w:val="center"/>
              <w:rPr>
                <w:color w:val="auto"/>
                <w:sz w:val="20"/>
                <w:szCs w:val="20"/>
                <w:lang w:val="es-ES" w:eastAsia="es-ES"/>
              </w:rPr>
            </w:pPr>
            <w:r>
              <w:rPr>
                <w:color w:val="auto"/>
                <w:sz w:val="20"/>
                <w:szCs w:val="20"/>
                <w:lang w:val="es-ES" w:eastAsia="es-ES"/>
              </w:rPr>
              <w:t>6,4</w:t>
            </w:r>
          </w:p>
        </w:tc>
        <w:tc>
          <w:tcPr>
            <w:tcW w:w="937" w:type="dxa"/>
            <w:tcBorders>
              <w:top w:val="single" w:sz="4" w:space="0" w:color="auto"/>
              <w:left w:val="single" w:sz="4" w:space="0" w:color="auto"/>
              <w:bottom w:val="single" w:sz="4" w:space="0" w:color="auto"/>
              <w:right w:val="single" w:sz="4" w:space="0" w:color="auto"/>
            </w:tcBorders>
          </w:tcPr>
          <w:p w14:paraId="5F39B78A" w14:textId="72C11781" w:rsidR="00BF183A" w:rsidRDefault="00FF576F">
            <w:pPr>
              <w:pStyle w:val="Default"/>
              <w:jc w:val="center"/>
              <w:rPr>
                <w:color w:val="auto"/>
                <w:sz w:val="20"/>
                <w:szCs w:val="20"/>
                <w:lang w:val="es-ES" w:eastAsia="es-ES"/>
              </w:rPr>
            </w:pPr>
            <w:r>
              <w:rPr>
                <w:color w:val="auto"/>
                <w:sz w:val="20"/>
                <w:szCs w:val="20"/>
                <w:lang w:val="es-ES" w:eastAsia="es-ES"/>
              </w:rPr>
              <w:t>6,3</w:t>
            </w:r>
          </w:p>
        </w:tc>
        <w:tc>
          <w:tcPr>
            <w:tcW w:w="980" w:type="dxa"/>
            <w:tcBorders>
              <w:top w:val="single" w:sz="4" w:space="0" w:color="auto"/>
              <w:left w:val="single" w:sz="4" w:space="0" w:color="auto"/>
              <w:bottom w:val="single" w:sz="4" w:space="0" w:color="auto"/>
              <w:right w:val="single" w:sz="4" w:space="0" w:color="auto"/>
            </w:tcBorders>
          </w:tcPr>
          <w:p w14:paraId="4442FF60" w14:textId="72EB9474" w:rsidR="00BF183A" w:rsidRDefault="00FF576F">
            <w:pPr>
              <w:pStyle w:val="Default"/>
              <w:jc w:val="center"/>
              <w:rPr>
                <w:color w:val="auto"/>
                <w:sz w:val="20"/>
                <w:szCs w:val="20"/>
                <w:lang w:val="es-ES" w:eastAsia="es-ES"/>
              </w:rPr>
            </w:pPr>
            <w:r>
              <w:rPr>
                <w:color w:val="auto"/>
                <w:sz w:val="20"/>
                <w:szCs w:val="20"/>
                <w:lang w:val="es-ES" w:eastAsia="es-ES"/>
              </w:rPr>
              <w:t>6,9</w:t>
            </w:r>
          </w:p>
        </w:tc>
        <w:tc>
          <w:tcPr>
            <w:tcW w:w="981" w:type="dxa"/>
            <w:tcBorders>
              <w:top w:val="single" w:sz="4" w:space="0" w:color="auto"/>
              <w:left w:val="single" w:sz="4" w:space="0" w:color="auto"/>
              <w:bottom w:val="single" w:sz="4" w:space="0" w:color="auto"/>
              <w:right w:val="single" w:sz="4" w:space="0" w:color="auto"/>
            </w:tcBorders>
          </w:tcPr>
          <w:p w14:paraId="594BE256" w14:textId="7B51A79E" w:rsidR="00BF183A" w:rsidRDefault="00FF576F">
            <w:pPr>
              <w:pStyle w:val="Default"/>
              <w:jc w:val="center"/>
              <w:rPr>
                <w:color w:val="auto"/>
                <w:sz w:val="20"/>
                <w:szCs w:val="20"/>
                <w:lang w:val="es-ES" w:eastAsia="es-ES"/>
              </w:rPr>
            </w:pPr>
            <w:r>
              <w:rPr>
                <w:color w:val="auto"/>
                <w:sz w:val="20"/>
                <w:szCs w:val="20"/>
                <w:lang w:val="es-ES" w:eastAsia="es-ES"/>
              </w:rPr>
              <w:t>6,5</w:t>
            </w:r>
          </w:p>
        </w:tc>
        <w:tc>
          <w:tcPr>
            <w:tcW w:w="938" w:type="dxa"/>
            <w:tcBorders>
              <w:top w:val="single" w:sz="4" w:space="0" w:color="auto"/>
              <w:left w:val="single" w:sz="4" w:space="0" w:color="auto"/>
              <w:bottom w:val="single" w:sz="4" w:space="0" w:color="auto"/>
              <w:right w:val="single" w:sz="4" w:space="0" w:color="auto"/>
            </w:tcBorders>
          </w:tcPr>
          <w:p w14:paraId="4F36DCA0" w14:textId="35398B4B" w:rsidR="00BF183A" w:rsidRDefault="00FF576F">
            <w:pPr>
              <w:pStyle w:val="Default"/>
              <w:jc w:val="center"/>
              <w:rPr>
                <w:color w:val="auto"/>
                <w:sz w:val="20"/>
                <w:szCs w:val="20"/>
                <w:lang w:val="es-ES" w:eastAsia="es-ES"/>
              </w:rPr>
            </w:pPr>
            <w:r>
              <w:rPr>
                <w:color w:val="auto"/>
                <w:sz w:val="20"/>
                <w:szCs w:val="20"/>
                <w:lang w:val="es-ES" w:eastAsia="es-ES"/>
              </w:rPr>
              <w:t>6,7</w:t>
            </w:r>
          </w:p>
        </w:tc>
        <w:tc>
          <w:tcPr>
            <w:tcW w:w="981" w:type="dxa"/>
            <w:tcBorders>
              <w:top w:val="single" w:sz="4" w:space="0" w:color="auto"/>
              <w:left w:val="single" w:sz="4" w:space="0" w:color="auto"/>
              <w:bottom w:val="single" w:sz="4" w:space="0" w:color="auto"/>
              <w:right w:val="single" w:sz="4" w:space="0" w:color="auto"/>
            </w:tcBorders>
          </w:tcPr>
          <w:p w14:paraId="06BAC8BC" w14:textId="7DBD5E57" w:rsidR="00BF183A" w:rsidRDefault="00FF576F">
            <w:pPr>
              <w:pStyle w:val="Default"/>
              <w:jc w:val="center"/>
              <w:rPr>
                <w:color w:val="auto"/>
                <w:sz w:val="20"/>
                <w:szCs w:val="20"/>
                <w:lang w:val="es-ES" w:eastAsia="es-ES"/>
              </w:rPr>
            </w:pPr>
            <w:r>
              <w:rPr>
                <w:color w:val="auto"/>
                <w:sz w:val="20"/>
                <w:szCs w:val="20"/>
                <w:lang w:val="es-ES" w:eastAsia="es-ES"/>
              </w:rPr>
              <w:t>7,0</w:t>
            </w:r>
          </w:p>
        </w:tc>
        <w:tc>
          <w:tcPr>
            <w:tcW w:w="981" w:type="dxa"/>
            <w:tcBorders>
              <w:top w:val="single" w:sz="4" w:space="0" w:color="auto"/>
              <w:left w:val="single" w:sz="4" w:space="0" w:color="auto"/>
              <w:bottom w:val="single" w:sz="4" w:space="0" w:color="auto"/>
              <w:right w:val="single" w:sz="4" w:space="0" w:color="auto"/>
            </w:tcBorders>
          </w:tcPr>
          <w:p w14:paraId="46B38945" w14:textId="7265B700" w:rsidR="00BF183A" w:rsidRDefault="00FF576F">
            <w:pPr>
              <w:pStyle w:val="Default"/>
              <w:jc w:val="center"/>
              <w:rPr>
                <w:color w:val="auto"/>
                <w:sz w:val="20"/>
                <w:szCs w:val="20"/>
                <w:lang w:val="es-ES" w:eastAsia="es-ES"/>
              </w:rPr>
            </w:pPr>
            <w:r>
              <w:rPr>
                <w:color w:val="auto"/>
                <w:sz w:val="20"/>
                <w:szCs w:val="20"/>
                <w:lang w:val="es-ES" w:eastAsia="es-ES"/>
              </w:rPr>
              <w:t>6,6</w:t>
            </w:r>
          </w:p>
        </w:tc>
        <w:tc>
          <w:tcPr>
            <w:tcW w:w="830" w:type="dxa"/>
            <w:tcBorders>
              <w:top w:val="single" w:sz="4" w:space="0" w:color="auto"/>
              <w:left w:val="single" w:sz="4" w:space="0" w:color="auto"/>
              <w:bottom w:val="single" w:sz="4" w:space="0" w:color="auto"/>
              <w:right w:val="single" w:sz="4" w:space="0" w:color="auto"/>
            </w:tcBorders>
          </w:tcPr>
          <w:p w14:paraId="70A60603" w14:textId="39FBB07C" w:rsidR="00BF183A" w:rsidRDefault="00FF576F">
            <w:pPr>
              <w:pStyle w:val="Default"/>
              <w:jc w:val="center"/>
              <w:rPr>
                <w:color w:val="auto"/>
                <w:sz w:val="20"/>
                <w:szCs w:val="20"/>
                <w:lang w:val="es-ES" w:eastAsia="es-ES"/>
              </w:rPr>
            </w:pPr>
            <w:r>
              <w:rPr>
                <w:color w:val="auto"/>
                <w:sz w:val="20"/>
                <w:szCs w:val="20"/>
                <w:lang w:val="es-ES" w:eastAsia="es-ES"/>
              </w:rPr>
              <w:t>6,8</w:t>
            </w:r>
          </w:p>
        </w:tc>
      </w:tr>
      <w:tr w:rsidR="00BF183A" w14:paraId="1A3BD12F" w14:textId="77777777" w:rsidTr="00FF576F">
        <w:tc>
          <w:tcPr>
            <w:tcW w:w="1051" w:type="dxa"/>
            <w:tcBorders>
              <w:top w:val="single" w:sz="4" w:space="0" w:color="auto"/>
              <w:left w:val="single" w:sz="4" w:space="0" w:color="auto"/>
              <w:bottom w:val="single" w:sz="4" w:space="0" w:color="auto"/>
              <w:right w:val="single" w:sz="4" w:space="0" w:color="auto"/>
            </w:tcBorders>
            <w:shd w:val="clear" w:color="auto" w:fill="000099"/>
            <w:hideMark/>
          </w:tcPr>
          <w:p w14:paraId="6BE9D698" w14:textId="23D12435" w:rsidR="00BF183A" w:rsidRDefault="00FF576F">
            <w:pPr>
              <w:pStyle w:val="Default"/>
              <w:jc w:val="center"/>
              <w:rPr>
                <w:color w:val="auto"/>
                <w:sz w:val="20"/>
                <w:szCs w:val="20"/>
                <w:lang w:val="es-ES" w:eastAsia="es-ES"/>
              </w:rPr>
            </w:pPr>
            <w:r>
              <w:rPr>
                <w:color w:val="auto"/>
                <w:sz w:val="20"/>
                <w:szCs w:val="20"/>
                <w:lang w:val="es-ES" w:eastAsia="es-ES"/>
              </w:rPr>
              <w:t>2020</w:t>
            </w:r>
          </w:p>
        </w:tc>
        <w:tc>
          <w:tcPr>
            <w:tcW w:w="980" w:type="dxa"/>
            <w:tcBorders>
              <w:top w:val="single" w:sz="4" w:space="0" w:color="auto"/>
              <w:left w:val="single" w:sz="4" w:space="0" w:color="auto"/>
              <w:bottom w:val="single" w:sz="4" w:space="0" w:color="auto"/>
              <w:right w:val="single" w:sz="4" w:space="0" w:color="auto"/>
            </w:tcBorders>
          </w:tcPr>
          <w:p w14:paraId="04DA849A" w14:textId="6DBB04AE" w:rsidR="00BF183A" w:rsidRDefault="00FF576F">
            <w:pPr>
              <w:pStyle w:val="Default"/>
              <w:jc w:val="center"/>
              <w:rPr>
                <w:color w:val="auto"/>
                <w:sz w:val="20"/>
                <w:szCs w:val="20"/>
                <w:lang w:val="es-ES" w:eastAsia="es-ES"/>
              </w:rPr>
            </w:pPr>
            <w:r>
              <w:rPr>
                <w:color w:val="auto"/>
                <w:sz w:val="20"/>
                <w:szCs w:val="20"/>
                <w:lang w:val="es-ES" w:eastAsia="es-ES"/>
              </w:rPr>
              <w:t>6,6</w:t>
            </w:r>
          </w:p>
        </w:tc>
        <w:tc>
          <w:tcPr>
            <w:tcW w:w="980" w:type="dxa"/>
            <w:tcBorders>
              <w:top w:val="single" w:sz="4" w:space="0" w:color="auto"/>
              <w:left w:val="single" w:sz="4" w:space="0" w:color="auto"/>
              <w:bottom w:val="single" w:sz="4" w:space="0" w:color="auto"/>
              <w:right w:val="single" w:sz="4" w:space="0" w:color="auto"/>
            </w:tcBorders>
          </w:tcPr>
          <w:p w14:paraId="4E1DB354" w14:textId="55F6C6CF" w:rsidR="00BF183A" w:rsidRDefault="00FF576F">
            <w:pPr>
              <w:pStyle w:val="Default"/>
              <w:jc w:val="center"/>
              <w:rPr>
                <w:color w:val="auto"/>
                <w:sz w:val="20"/>
                <w:szCs w:val="20"/>
                <w:lang w:val="es-ES" w:eastAsia="es-ES"/>
              </w:rPr>
            </w:pPr>
            <w:r>
              <w:rPr>
                <w:color w:val="auto"/>
                <w:sz w:val="20"/>
                <w:szCs w:val="20"/>
                <w:lang w:val="es-ES" w:eastAsia="es-ES"/>
              </w:rPr>
              <w:t>6,8</w:t>
            </w:r>
          </w:p>
        </w:tc>
        <w:tc>
          <w:tcPr>
            <w:tcW w:w="937" w:type="dxa"/>
            <w:tcBorders>
              <w:top w:val="single" w:sz="4" w:space="0" w:color="auto"/>
              <w:left w:val="single" w:sz="4" w:space="0" w:color="auto"/>
              <w:bottom w:val="single" w:sz="4" w:space="0" w:color="auto"/>
              <w:right w:val="single" w:sz="4" w:space="0" w:color="auto"/>
            </w:tcBorders>
          </w:tcPr>
          <w:p w14:paraId="64757DDF" w14:textId="20077C14" w:rsidR="00BF183A" w:rsidRDefault="00FF576F">
            <w:pPr>
              <w:pStyle w:val="Default"/>
              <w:jc w:val="center"/>
              <w:rPr>
                <w:color w:val="auto"/>
                <w:sz w:val="20"/>
                <w:szCs w:val="20"/>
                <w:lang w:val="es-ES" w:eastAsia="es-ES"/>
              </w:rPr>
            </w:pPr>
            <w:r>
              <w:rPr>
                <w:color w:val="auto"/>
                <w:sz w:val="20"/>
                <w:szCs w:val="20"/>
                <w:lang w:val="es-ES" w:eastAsia="es-ES"/>
              </w:rPr>
              <w:t>6,7</w:t>
            </w:r>
          </w:p>
        </w:tc>
        <w:tc>
          <w:tcPr>
            <w:tcW w:w="980" w:type="dxa"/>
            <w:tcBorders>
              <w:top w:val="single" w:sz="4" w:space="0" w:color="auto"/>
              <w:left w:val="single" w:sz="4" w:space="0" w:color="auto"/>
              <w:bottom w:val="single" w:sz="4" w:space="0" w:color="auto"/>
              <w:right w:val="single" w:sz="4" w:space="0" w:color="auto"/>
            </w:tcBorders>
          </w:tcPr>
          <w:p w14:paraId="0A6AC47C" w14:textId="1B89E19D" w:rsidR="00BF183A" w:rsidRDefault="00FF576F">
            <w:pPr>
              <w:pStyle w:val="Default"/>
              <w:jc w:val="center"/>
              <w:rPr>
                <w:color w:val="auto"/>
                <w:sz w:val="20"/>
                <w:szCs w:val="20"/>
                <w:lang w:val="es-ES" w:eastAsia="es-ES"/>
              </w:rPr>
            </w:pPr>
            <w:r>
              <w:rPr>
                <w:color w:val="auto"/>
                <w:sz w:val="20"/>
                <w:szCs w:val="20"/>
                <w:lang w:val="es-ES" w:eastAsia="es-ES"/>
              </w:rPr>
              <w:t>6,3</w:t>
            </w:r>
          </w:p>
        </w:tc>
        <w:tc>
          <w:tcPr>
            <w:tcW w:w="981" w:type="dxa"/>
            <w:tcBorders>
              <w:top w:val="single" w:sz="4" w:space="0" w:color="auto"/>
              <w:left w:val="single" w:sz="4" w:space="0" w:color="auto"/>
              <w:bottom w:val="single" w:sz="4" w:space="0" w:color="auto"/>
              <w:right w:val="single" w:sz="4" w:space="0" w:color="auto"/>
            </w:tcBorders>
          </w:tcPr>
          <w:p w14:paraId="3D006ED0" w14:textId="649B666E" w:rsidR="00BF183A" w:rsidRDefault="00FF576F">
            <w:pPr>
              <w:pStyle w:val="Default"/>
              <w:jc w:val="center"/>
              <w:rPr>
                <w:color w:val="auto"/>
                <w:sz w:val="20"/>
                <w:szCs w:val="20"/>
                <w:lang w:val="es-ES" w:eastAsia="es-ES"/>
              </w:rPr>
            </w:pPr>
            <w:r>
              <w:rPr>
                <w:color w:val="auto"/>
                <w:sz w:val="20"/>
                <w:szCs w:val="20"/>
                <w:lang w:val="es-ES" w:eastAsia="es-ES"/>
              </w:rPr>
              <w:t>6,1</w:t>
            </w:r>
          </w:p>
        </w:tc>
        <w:tc>
          <w:tcPr>
            <w:tcW w:w="938" w:type="dxa"/>
            <w:tcBorders>
              <w:top w:val="single" w:sz="4" w:space="0" w:color="auto"/>
              <w:left w:val="single" w:sz="4" w:space="0" w:color="auto"/>
              <w:bottom w:val="single" w:sz="4" w:space="0" w:color="auto"/>
              <w:right w:val="single" w:sz="4" w:space="0" w:color="auto"/>
            </w:tcBorders>
          </w:tcPr>
          <w:p w14:paraId="54A7EA04" w14:textId="7B4565B3" w:rsidR="00BF183A" w:rsidRDefault="00FF576F">
            <w:pPr>
              <w:pStyle w:val="Default"/>
              <w:jc w:val="center"/>
              <w:rPr>
                <w:color w:val="auto"/>
                <w:sz w:val="20"/>
                <w:szCs w:val="20"/>
                <w:lang w:val="es-ES" w:eastAsia="es-ES"/>
              </w:rPr>
            </w:pPr>
            <w:r>
              <w:rPr>
                <w:color w:val="auto"/>
                <w:sz w:val="20"/>
                <w:szCs w:val="20"/>
                <w:lang w:val="es-ES" w:eastAsia="es-ES"/>
              </w:rPr>
              <w:t>6,2</w:t>
            </w:r>
          </w:p>
        </w:tc>
        <w:tc>
          <w:tcPr>
            <w:tcW w:w="981" w:type="dxa"/>
            <w:tcBorders>
              <w:top w:val="single" w:sz="4" w:space="0" w:color="auto"/>
              <w:left w:val="single" w:sz="4" w:space="0" w:color="auto"/>
              <w:bottom w:val="single" w:sz="4" w:space="0" w:color="auto"/>
              <w:right w:val="single" w:sz="4" w:space="0" w:color="auto"/>
            </w:tcBorders>
          </w:tcPr>
          <w:p w14:paraId="48C98E18" w14:textId="72D2B6DE" w:rsidR="00BF183A" w:rsidRDefault="00FF576F">
            <w:pPr>
              <w:pStyle w:val="Default"/>
              <w:jc w:val="center"/>
              <w:rPr>
                <w:color w:val="auto"/>
                <w:sz w:val="20"/>
                <w:szCs w:val="20"/>
                <w:lang w:val="es-ES" w:eastAsia="es-ES"/>
              </w:rPr>
            </w:pPr>
            <w:r>
              <w:rPr>
                <w:color w:val="auto"/>
                <w:sz w:val="20"/>
                <w:szCs w:val="20"/>
                <w:lang w:val="es-ES" w:eastAsia="es-ES"/>
              </w:rPr>
              <w:t>6,4</w:t>
            </w:r>
          </w:p>
        </w:tc>
        <w:tc>
          <w:tcPr>
            <w:tcW w:w="981" w:type="dxa"/>
            <w:tcBorders>
              <w:top w:val="single" w:sz="4" w:space="0" w:color="auto"/>
              <w:left w:val="single" w:sz="4" w:space="0" w:color="auto"/>
              <w:bottom w:val="single" w:sz="4" w:space="0" w:color="auto"/>
              <w:right w:val="single" w:sz="4" w:space="0" w:color="auto"/>
            </w:tcBorders>
          </w:tcPr>
          <w:p w14:paraId="775D051C" w14:textId="611802EE" w:rsidR="00BF183A" w:rsidRDefault="00FF576F">
            <w:pPr>
              <w:pStyle w:val="Default"/>
              <w:jc w:val="center"/>
              <w:rPr>
                <w:color w:val="auto"/>
                <w:sz w:val="20"/>
                <w:szCs w:val="20"/>
                <w:lang w:val="es-ES" w:eastAsia="es-ES"/>
              </w:rPr>
            </w:pPr>
            <w:r>
              <w:rPr>
                <w:color w:val="auto"/>
                <w:sz w:val="20"/>
                <w:szCs w:val="20"/>
                <w:lang w:val="es-ES" w:eastAsia="es-ES"/>
              </w:rPr>
              <w:t>6,1</w:t>
            </w:r>
          </w:p>
        </w:tc>
        <w:tc>
          <w:tcPr>
            <w:tcW w:w="830" w:type="dxa"/>
            <w:tcBorders>
              <w:top w:val="single" w:sz="4" w:space="0" w:color="auto"/>
              <w:left w:val="single" w:sz="4" w:space="0" w:color="auto"/>
              <w:bottom w:val="single" w:sz="4" w:space="0" w:color="auto"/>
              <w:right w:val="single" w:sz="4" w:space="0" w:color="auto"/>
            </w:tcBorders>
          </w:tcPr>
          <w:p w14:paraId="4699ED92" w14:textId="7180EE9F" w:rsidR="00BF183A" w:rsidRDefault="00FF576F">
            <w:pPr>
              <w:pStyle w:val="Default"/>
              <w:jc w:val="center"/>
              <w:rPr>
                <w:color w:val="auto"/>
                <w:sz w:val="20"/>
                <w:szCs w:val="20"/>
                <w:lang w:val="es-ES" w:eastAsia="es-ES"/>
              </w:rPr>
            </w:pPr>
            <w:r>
              <w:rPr>
                <w:color w:val="auto"/>
                <w:sz w:val="20"/>
                <w:szCs w:val="20"/>
                <w:lang w:val="es-ES" w:eastAsia="es-ES"/>
              </w:rPr>
              <w:t>6,3</w:t>
            </w:r>
          </w:p>
        </w:tc>
      </w:tr>
      <w:tr w:rsidR="00FF576F" w14:paraId="3DC6A12E" w14:textId="77777777" w:rsidTr="00BF183A">
        <w:tc>
          <w:tcPr>
            <w:tcW w:w="1051" w:type="dxa"/>
            <w:tcBorders>
              <w:top w:val="single" w:sz="4" w:space="0" w:color="auto"/>
              <w:left w:val="single" w:sz="4" w:space="0" w:color="auto"/>
              <w:bottom w:val="single" w:sz="4" w:space="0" w:color="auto"/>
              <w:right w:val="single" w:sz="4" w:space="0" w:color="auto"/>
            </w:tcBorders>
            <w:shd w:val="clear" w:color="auto" w:fill="000099"/>
          </w:tcPr>
          <w:p w14:paraId="3BAF39F6" w14:textId="308BD169" w:rsidR="00FF576F" w:rsidRDefault="00FF576F">
            <w:pPr>
              <w:pStyle w:val="Default"/>
              <w:jc w:val="center"/>
              <w:rPr>
                <w:color w:val="auto"/>
                <w:sz w:val="20"/>
                <w:szCs w:val="20"/>
                <w:lang w:val="es-ES" w:eastAsia="es-ES"/>
              </w:rPr>
            </w:pPr>
            <w:r>
              <w:rPr>
                <w:color w:val="auto"/>
                <w:sz w:val="20"/>
                <w:szCs w:val="20"/>
                <w:lang w:val="es-ES" w:eastAsia="es-ES"/>
              </w:rPr>
              <w:t>2021</w:t>
            </w:r>
          </w:p>
        </w:tc>
        <w:tc>
          <w:tcPr>
            <w:tcW w:w="980" w:type="dxa"/>
            <w:tcBorders>
              <w:top w:val="single" w:sz="4" w:space="0" w:color="auto"/>
              <w:left w:val="single" w:sz="4" w:space="0" w:color="auto"/>
              <w:bottom w:val="single" w:sz="4" w:space="0" w:color="auto"/>
              <w:right w:val="single" w:sz="4" w:space="0" w:color="auto"/>
            </w:tcBorders>
          </w:tcPr>
          <w:p w14:paraId="4C4F68FC" w14:textId="2782BBDA" w:rsidR="00FF576F" w:rsidRDefault="00FF576F">
            <w:pPr>
              <w:pStyle w:val="Default"/>
              <w:jc w:val="center"/>
              <w:rPr>
                <w:color w:val="auto"/>
                <w:sz w:val="20"/>
                <w:szCs w:val="20"/>
                <w:lang w:val="es-ES" w:eastAsia="es-ES"/>
              </w:rPr>
            </w:pPr>
            <w:r>
              <w:rPr>
                <w:color w:val="auto"/>
                <w:sz w:val="20"/>
                <w:szCs w:val="20"/>
                <w:lang w:val="es-ES" w:eastAsia="es-ES"/>
              </w:rPr>
              <w:t>6,7</w:t>
            </w:r>
          </w:p>
        </w:tc>
        <w:tc>
          <w:tcPr>
            <w:tcW w:w="980" w:type="dxa"/>
            <w:tcBorders>
              <w:top w:val="single" w:sz="4" w:space="0" w:color="auto"/>
              <w:left w:val="single" w:sz="4" w:space="0" w:color="auto"/>
              <w:bottom w:val="single" w:sz="4" w:space="0" w:color="auto"/>
              <w:right w:val="single" w:sz="4" w:space="0" w:color="auto"/>
            </w:tcBorders>
          </w:tcPr>
          <w:p w14:paraId="1D7B6FF4" w14:textId="750DBDE8" w:rsidR="00FF576F" w:rsidRDefault="00FF576F">
            <w:pPr>
              <w:pStyle w:val="Default"/>
              <w:jc w:val="center"/>
              <w:rPr>
                <w:color w:val="auto"/>
                <w:sz w:val="20"/>
                <w:szCs w:val="20"/>
                <w:lang w:val="es-ES" w:eastAsia="es-ES"/>
              </w:rPr>
            </w:pPr>
            <w:r>
              <w:rPr>
                <w:color w:val="auto"/>
                <w:sz w:val="20"/>
                <w:szCs w:val="20"/>
                <w:lang w:val="es-ES" w:eastAsia="es-ES"/>
              </w:rPr>
              <w:t>6,6</w:t>
            </w:r>
          </w:p>
        </w:tc>
        <w:tc>
          <w:tcPr>
            <w:tcW w:w="937" w:type="dxa"/>
            <w:tcBorders>
              <w:top w:val="single" w:sz="4" w:space="0" w:color="auto"/>
              <w:left w:val="single" w:sz="4" w:space="0" w:color="auto"/>
              <w:bottom w:val="single" w:sz="4" w:space="0" w:color="auto"/>
              <w:right w:val="single" w:sz="4" w:space="0" w:color="auto"/>
            </w:tcBorders>
          </w:tcPr>
          <w:p w14:paraId="2382A667" w14:textId="3F0B26FA" w:rsidR="00FF576F" w:rsidRDefault="00FF576F">
            <w:pPr>
              <w:pStyle w:val="Default"/>
              <w:jc w:val="center"/>
              <w:rPr>
                <w:color w:val="auto"/>
                <w:sz w:val="20"/>
                <w:szCs w:val="20"/>
                <w:lang w:val="es-ES" w:eastAsia="es-ES"/>
              </w:rPr>
            </w:pPr>
            <w:r>
              <w:rPr>
                <w:color w:val="auto"/>
                <w:sz w:val="20"/>
                <w:szCs w:val="20"/>
                <w:lang w:val="es-ES" w:eastAsia="es-ES"/>
              </w:rPr>
              <w:t>6,7</w:t>
            </w:r>
          </w:p>
        </w:tc>
        <w:tc>
          <w:tcPr>
            <w:tcW w:w="980" w:type="dxa"/>
            <w:tcBorders>
              <w:top w:val="single" w:sz="4" w:space="0" w:color="auto"/>
              <w:left w:val="single" w:sz="4" w:space="0" w:color="auto"/>
              <w:bottom w:val="single" w:sz="4" w:space="0" w:color="auto"/>
              <w:right w:val="single" w:sz="4" w:space="0" w:color="auto"/>
            </w:tcBorders>
          </w:tcPr>
          <w:p w14:paraId="66369130" w14:textId="35458A45" w:rsidR="00FF576F" w:rsidRDefault="00FF576F">
            <w:pPr>
              <w:pStyle w:val="Default"/>
              <w:jc w:val="center"/>
              <w:rPr>
                <w:color w:val="auto"/>
                <w:sz w:val="20"/>
                <w:szCs w:val="20"/>
                <w:lang w:val="es-ES" w:eastAsia="es-ES"/>
              </w:rPr>
            </w:pPr>
            <w:r>
              <w:rPr>
                <w:color w:val="auto"/>
                <w:sz w:val="20"/>
                <w:szCs w:val="20"/>
                <w:lang w:val="es-ES" w:eastAsia="es-ES"/>
              </w:rPr>
              <w:t>6,9</w:t>
            </w:r>
          </w:p>
        </w:tc>
        <w:tc>
          <w:tcPr>
            <w:tcW w:w="981" w:type="dxa"/>
            <w:tcBorders>
              <w:top w:val="single" w:sz="4" w:space="0" w:color="auto"/>
              <w:left w:val="single" w:sz="4" w:space="0" w:color="auto"/>
              <w:bottom w:val="single" w:sz="4" w:space="0" w:color="auto"/>
              <w:right w:val="single" w:sz="4" w:space="0" w:color="auto"/>
            </w:tcBorders>
          </w:tcPr>
          <w:p w14:paraId="566CBB1F" w14:textId="43FAAABB" w:rsidR="00FF576F" w:rsidRDefault="00FF576F">
            <w:pPr>
              <w:pStyle w:val="Default"/>
              <w:jc w:val="center"/>
              <w:rPr>
                <w:color w:val="auto"/>
                <w:sz w:val="20"/>
                <w:szCs w:val="20"/>
                <w:lang w:val="es-ES" w:eastAsia="es-ES"/>
              </w:rPr>
            </w:pPr>
            <w:r>
              <w:rPr>
                <w:color w:val="auto"/>
                <w:sz w:val="20"/>
                <w:szCs w:val="20"/>
                <w:lang w:val="es-ES" w:eastAsia="es-ES"/>
              </w:rPr>
              <w:t>6,7</w:t>
            </w:r>
          </w:p>
        </w:tc>
        <w:tc>
          <w:tcPr>
            <w:tcW w:w="938" w:type="dxa"/>
            <w:tcBorders>
              <w:top w:val="single" w:sz="4" w:space="0" w:color="auto"/>
              <w:left w:val="single" w:sz="4" w:space="0" w:color="auto"/>
              <w:bottom w:val="single" w:sz="4" w:space="0" w:color="auto"/>
              <w:right w:val="single" w:sz="4" w:space="0" w:color="auto"/>
            </w:tcBorders>
          </w:tcPr>
          <w:p w14:paraId="2453888D" w14:textId="1683F237" w:rsidR="00FF576F" w:rsidRDefault="00FF576F">
            <w:pPr>
              <w:pStyle w:val="Default"/>
              <w:jc w:val="center"/>
              <w:rPr>
                <w:color w:val="auto"/>
                <w:sz w:val="20"/>
                <w:szCs w:val="20"/>
                <w:lang w:val="es-ES" w:eastAsia="es-ES"/>
              </w:rPr>
            </w:pPr>
            <w:r>
              <w:rPr>
                <w:color w:val="auto"/>
                <w:sz w:val="20"/>
                <w:szCs w:val="20"/>
                <w:lang w:val="es-ES" w:eastAsia="es-ES"/>
              </w:rPr>
              <w:t>6,8</w:t>
            </w:r>
          </w:p>
        </w:tc>
        <w:tc>
          <w:tcPr>
            <w:tcW w:w="981" w:type="dxa"/>
            <w:tcBorders>
              <w:top w:val="single" w:sz="4" w:space="0" w:color="auto"/>
              <w:left w:val="single" w:sz="4" w:space="0" w:color="auto"/>
              <w:bottom w:val="single" w:sz="4" w:space="0" w:color="auto"/>
              <w:right w:val="single" w:sz="4" w:space="0" w:color="auto"/>
            </w:tcBorders>
          </w:tcPr>
          <w:p w14:paraId="33AA5F77" w14:textId="0B92413F" w:rsidR="00FF576F" w:rsidRDefault="00FF576F">
            <w:pPr>
              <w:pStyle w:val="Default"/>
              <w:jc w:val="center"/>
              <w:rPr>
                <w:color w:val="auto"/>
                <w:sz w:val="20"/>
                <w:szCs w:val="20"/>
                <w:lang w:val="es-ES" w:eastAsia="es-ES"/>
              </w:rPr>
            </w:pPr>
            <w:r>
              <w:rPr>
                <w:color w:val="auto"/>
                <w:sz w:val="20"/>
                <w:szCs w:val="20"/>
                <w:lang w:val="es-ES" w:eastAsia="es-ES"/>
              </w:rPr>
              <w:t>6,9</w:t>
            </w:r>
          </w:p>
        </w:tc>
        <w:tc>
          <w:tcPr>
            <w:tcW w:w="981" w:type="dxa"/>
            <w:tcBorders>
              <w:top w:val="single" w:sz="4" w:space="0" w:color="auto"/>
              <w:left w:val="single" w:sz="4" w:space="0" w:color="auto"/>
              <w:bottom w:val="single" w:sz="4" w:space="0" w:color="auto"/>
              <w:right w:val="single" w:sz="4" w:space="0" w:color="auto"/>
            </w:tcBorders>
          </w:tcPr>
          <w:p w14:paraId="2A1D34B2" w14:textId="02664458" w:rsidR="00FF576F" w:rsidRDefault="00FF576F">
            <w:pPr>
              <w:pStyle w:val="Default"/>
              <w:jc w:val="center"/>
              <w:rPr>
                <w:color w:val="auto"/>
                <w:sz w:val="20"/>
                <w:szCs w:val="20"/>
                <w:lang w:val="es-ES" w:eastAsia="es-ES"/>
              </w:rPr>
            </w:pPr>
            <w:r>
              <w:rPr>
                <w:color w:val="auto"/>
                <w:sz w:val="20"/>
                <w:szCs w:val="20"/>
                <w:lang w:val="es-ES" w:eastAsia="es-ES"/>
              </w:rPr>
              <w:t>6,7</w:t>
            </w:r>
          </w:p>
        </w:tc>
        <w:tc>
          <w:tcPr>
            <w:tcW w:w="830" w:type="dxa"/>
            <w:tcBorders>
              <w:top w:val="single" w:sz="4" w:space="0" w:color="auto"/>
              <w:left w:val="single" w:sz="4" w:space="0" w:color="auto"/>
              <w:bottom w:val="single" w:sz="4" w:space="0" w:color="auto"/>
              <w:right w:val="single" w:sz="4" w:space="0" w:color="auto"/>
            </w:tcBorders>
          </w:tcPr>
          <w:p w14:paraId="3D7B49AF" w14:textId="642BF217" w:rsidR="00FF576F" w:rsidRDefault="00FF576F">
            <w:pPr>
              <w:pStyle w:val="Default"/>
              <w:jc w:val="center"/>
              <w:rPr>
                <w:color w:val="auto"/>
                <w:sz w:val="20"/>
                <w:szCs w:val="20"/>
                <w:lang w:val="es-ES" w:eastAsia="es-ES"/>
              </w:rPr>
            </w:pPr>
            <w:r>
              <w:rPr>
                <w:color w:val="auto"/>
                <w:sz w:val="20"/>
                <w:szCs w:val="20"/>
                <w:lang w:val="es-ES" w:eastAsia="es-ES"/>
              </w:rPr>
              <w:t>6,8</w:t>
            </w:r>
          </w:p>
        </w:tc>
      </w:tr>
      <w:tr w:rsidR="00BF183A" w14:paraId="66E5A672" w14:textId="77777777" w:rsidTr="00FF576F">
        <w:tc>
          <w:tcPr>
            <w:tcW w:w="1051" w:type="dxa"/>
            <w:tcBorders>
              <w:top w:val="single" w:sz="4" w:space="0" w:color="auto"/>
              <w:left w:val="single" w:sz="4" w:space="0" w:color="auto"/>
              <w:bottom w:val="single" w:sz="4" w:space="0" w:color="auto"/>
              <w:right w:val="single" w:sz="4" w:space="0" w:color="auto"/>
            </w:tcBorders>
            <w:shd w:val="clear" w:color="auto" w:fill="000099"/>
            <w:hideMark/>
          </w:tcPr>
          <w:p w14:paraId="03D4B512" w14:textId="77777777" w:rsidR="00BF183A" w:rsidRDefault="00BF183A">
            <w:pPr>
              <w:pStyle w:val="Default"/>
              <w:jc w:val="center"/>
              <w:rPr>
                <w:b/>
                <w:color w:val="auto"/>
                <w:sz w:val="20"/>
                <w:szCs w:val="20"/>
                <w:lang w:val="es-ES" w:eastAsia="es-ES"/>
              </w:rPr>
            </w:pPr>
            <w:r>
              <w:rPr>
                <w:b/>
                <w:color w:val="auto"/>
                <w:sz w:val="20"/>
                <w:szCs w:val="20"/>
                <w:lang w:val="es-ES" w:eastAsia="es-ES"/>
              </w:rPr>
              <w:t>Promedio</w:t>
            </w:r>
          </w:p>
        </w:tc>
        <w:tc>
          <w:tcPr>
            <w:tcW w:w="980" w:type="dxa"/>
            <w:tcBorders>
              <w:top w:val="single" w:sz="4" w:space="0" w:color="auto"/>
              <w:left w:val="single" w:sz="4" w:space="0" w:color="auto"/>
              <w:bottom w:val="single" w:sz="4" w:space="0" w:color="auto"/>
              <w:right w:val="single" w:sz="4" w:space="0" w:color="auto"/>
            </w:tcBorders>
          </w:tcPr>
          <w:p w14:paraId="12332179" w14:textId="18912E9E" w:rsidR="00BF183A" w:rsidRDefault="00FF576F">
            <w:pPr>
              <w:pStyle w:val="Default"/>
              <w:jc w:val="center"/>
              <w:rPr>
                <w:b/>
                <w:color w:val="auto"/>
                <w:sz w:val="20"/>
                <w:szCs w:val="20"/>
                <w:lang w:val="es-ES" w:eastAsia="es-ES"/>
              </w:rPr>
            </w:pPr>
            <w:r>
              <w:rPr>
                <w:b/>
                <w:color w:val="auto"/>
                <w:sz w:val="20"/>
                <w:szCs w:val="20"/>
                <w:lang w:val="es-ES" w:eastAsia="es-ES"/>
              </w:rPr>
              <w:t>6,5</w:t>
            </w:r>
          </w:p>
        </w:tc>
        <w:tc>
          <w:tcPr>
            <w:tcW w:w="980" w:type="dxa"/>
            <w:tcBorders>
              <w:top w:val="single" w:sz="4" w:space="0" w:color="auto"/>
              <w:left w:val="single" w:sz="4" w:space="0" w:color="auto"/>
              <w:bottom w:val="single" w:sz="4" w:space="0" w:color="auto"/>
              <w:right w:val="single" w:sz="4" w:space="0" w:color="auto"/>
            </w:tcBorders>
          </w:tcPr>
          <w:p w14:paraId="4E97DFB2" w14:textId="6C8CBE9D" w:rsidR="00BF183A" w:rsidRDefault="00FF576F">
            <w:pPr>
              <w:pStyle w:val="Default"/>
              <w:jc w:val="center"/>
              <w:rPr>
                <w:b/>
                <w:color w:val="auto"/>
                <w:sz w:val="20"/>
                <w:szCs w:val="20"/>
                <w:lang w:val="es-ES" w:eastAsia="es-ES"/>
              </w:rPr>
            </w:pPr>
            <w:r>
              <w:rPr>
                <w:b/>
                <w:color w:val="auto"/>
                <w:sz w:val="20"/>
                <w:szCs w:val="20"/>
                <w:lang w:val="es-ES" w:eastAsia="es-ES"/>
              </w:rPr>
              <w:t>6,6</w:t>
            </w:r>
          </w:p>
        </w:tc>
        <w:tc>
          <w:tcPr>
            <w:tcW w:w="937" w:type="dxa"/>
            <w:tcBorders>
              <w:top w:val="single" w:sz="4" w:space="0" w:color="auto"/>
              <w:left w:val="single" w:sz="4" w:space="0" w:color="auto"/>
              <w:bottom w:val="single" w:sz="4" w:space="0" w:color="auto"/>
              <w:right w:val="single" w:sz="4" w:space="0" w:color="auto"/>
            </w:tcBorders>
          </w:tcPr>
          <w:p w14:paraId="336D871B" w14:textId="4676F8F7" w:rsidR="00BF183A" w:rsidRDefault="00FF576F">
            <w:pPr>
              <w:pStyle w:val="Default"/>
              <w:jc w:val="center"/>
              <w:rPr>
                <w:b/>
                <w:color w:val="auto"/>
                <w:sz w:val="20"/>
                <w:szCs w:val="20"/>
                <w:lang w:val="es-ES" w:eastAsia="es-ES"/>
              </w:rPr>
            </w:pPr>
            <w:r>
              <w:rPr>
                <w:b/>
                <w:color w:val="auto"/>
                <w:sz w:val="20"/>
                <w:szCs w:val="20"/>
                <w:lang w:val="es-ES" w:eastAsia="es-ES"/>
              </w:rPr>
              <w:t>6,6</w:t>
            </w:r>
          </w:p>
        </w:tc>
        <w:tc>
          <w:tcPr>
            <w:tcW w:w="980" w:type="dxa"/>
            <w:tcBorders>
              <w:top w:val="single" w:sz="4" w:space="0" w:color="auto"/>
              <w:left w:val="single" w:sz="4" w:space="0" w:color="auto"/>
              <w:bottom w:val="single" w:sz="4" w:space="0" w:color="auto"/>
              <w:right w:val="single" w:sz="4" w:space="0" w:color="auto"/>
            </w:tcBorders>
          </w:tcPr>
          <w:p w14:paraId="0BE4EFAD" w14:textId="7463D88D" w:rsidR="00BF183A" w:rsidRDefault="00FF576F">
            <w:pPr>
              <w:pStyle w:val="Default"/>
              <w:jc w:val="center"/>
              <w:rPr>
                <w:b/>
                <w:color w:val="auto"/>
                <w:sz w:val="20"/>
                <w:szCs w:val="20"/>
                <w:lang w:val="es-ES" w:eastAsia="es-ES"/>
              </w:rPr>
            </w:pPr>
            <w:r>
              <w:rPr>
                <w:b/>
                <w:color w:val="auto"/>
                <w:sz w:val="20"/>
                <w:szCs w:val="20"/>
                <w:lang w:val="es-ES" w:eastAsia="es-ES"/>
              </w:rPr>
              <w:t>6,7</w:t>
            </w:r>
          </w:p>
        </w:tc>
        <w:tc>
          <w:tcPr>
            <w:tcW w:w="981" w:type="dxa"/>
            <w:tcBorders>
              <w:top w:val="single" w:sz="4" w:space="0" w:color="auto"/>
              <w:left w:val="single" w:sz="4" w:space="0" w:color="auto"/>
              <w:bottom w:val="single" w:sz="4" w:space="0" w:color="auto"/>
              <w:right w:val="single" w:sz="4" w:space="0" w:color="auto"/>
            </w:tcBorders>
          </w:tcPr>
          <w:p w14:paraId="68CB83A8" w14:textId="40D2B980" w:rsidR="00BF183A" w:rsidRDefault="00FF576F">
            <w:pPr>
              <w:pStyle w:val="Default"/>
              <w:jc w:val="center"/>
              <w:rPr>
                <w:b/>
                <w:color w:val="auto"/>
                <w:sz w:val="20"/>
                <w:szCs w:val="20"/>
                <w:lang w:val="es-ES" w:eastAsia="es-ES"/>
              </w:rPr>
            </w:pPr>
            <w:r>
              <w:rPr>
                <w:b/>
                <w:color w:val="auto"/>
                <w:sz w:val="20"/>
                <w:szCs w:val="20"/>
                <w:lang w:val="es-ES" w:eastAsia="es-ES"/>
              </w:rPr>
              <w:t>6,5</w:t>
            </w:r>
          </w:p>
        </w:tc>
        <w:tc>
          <w:tcPr>
            <w:tcW w:w="938" w:type="dxa"/>
            <w:tcBorders>
              <w:top w:val="single" w:sz="4" w:space="0" w:color="auto"/>
              <w:left w:val="single" w:sz="4" w:space="0" w:color="auto"/>
              <w:bottom w:val="single" w:sz="4" w:space="0" w:color="auto"/>
              <w:right w:val="single" w:sz="4" w:space="0" w:color="auto"/>
            </w:tcBorders>
          </w:tcPr>
          <w:p w14:paraId="6286ACA1" w14:textId="05A70619" w:rsidR="00BF183A" w:rsidRDefault="00FF576F">
            <w:pPr>
              <w:pStyle w:val="Default"/>
              <w:jc w:val="center"/>
              <w:rPr>
                <w:b/>
                <w:color w:val="auto"/>
                <w:sz w:val="20"/>
                <w:szCs w:val="20"/>
                <w:lang w:val="es-ES" w:eastAsia="es-ES"/>
              </w:rPr>
            </w:pPr>
            <w:r>
              <w:rPr>
                <w:b/>
                <w:color w:val="auto"/>
                <w:sz w:val="20"/>
                <w:szCs w:val="20"/>
                <w:lang w:val="es-ES" w:eastAsia="es-ES"/>
              </w:rPr>
              <w:t>6,6</w:t>
            </w:r>
          </w:p>
        </w:tc>
        <w:tc>
          <w:tcPr>
            <w:tcW w:w="981" w:type="dxa"/>
            <w:tcBorders>
              <w:top w:val="single" w:sz="4" w:space="0" w:color="auto"/>
              <w:left w:val="single" w:sz="4" w:space="0" w:color="auto"/>
              <w:bottom w:val="single" w:sz="4" w:space="0" w:color="auto"/>
              <w:right w:val="single" w:sz="4" w:space="0" w:color="auto"/>
            </w:tcBorders>
          </w:tcPr>
          <w:p w14:paraId="63998C34" w14:textId="56FBAFD2" w:rsidR="00BF183A" w:rsidRDefault="00FF576F">
            <w:pPr>
              <w:pStyle w:val="Default"/>
              <w:jc w:val="center"/>
              <w:rPr>
                <w:b/>
                <w:color w:val="auto"/>
                <w:sz w:val="20"/>
                <w:szCs w:val="20"/>
                <w:lang w:val="es-ES" w:eastAsia="es-ES"/>
              </w:rPr>
            </w:pPr>
            <w:r>
              <w:rPr>
                <w:b/>
                <w:color w:val="auto"/>
                <w:sz w:val="20"/>
                <w:szCs w:val="20"/>
                <w:lang w:val="es-ES" w:eastAsia="es-ES"/>
              </w:rPr>
              <w:t>6,6</w:t>
            </w:r>
          </w:p>
        </w:tc>
        <w:tc>
          <w:tcPr>
            <w:tcW w:w="981" w:type="dxa"/>
            <w:tcBorders>
              <w:top w:val="single" w:sz="4" w:space="0" w:color="auto"/>
              <w:left w:val="single" w:sz="4" w:space="0" w:color="auto"/>
              <w:bottom w:val="single" w:sz="4" w:space="0" w:color="auto"/>
              <w:right w:val="single" w:sz="4" w:space="0" w:color="auto"/>
            </w:tcBorders>
          </w:tcPr>
          <w:p w14:paraId="14A4A06D" w14:textId="535F7240" w:rsidR="00BF183A" w:rsidRDefault="00FF576F">
            <w:pPr>
              <w:pStyle w:val="Default"/>
              <w:jc w:val="center"/>
              <w:rPr>
                <w:b/>
                <w:color w:val="auto"/>
                <w:sz w:val="20"/>
                <w:szCs w:val="20"/>
                <w:lang w:val="es-ES" w:eastAsia="es-ES"/>
              </w:rPr>
            </w:pPr>
            <w:r>
              <w:rPr>
                <w:b/>
                <w:color w:val="auto"/>
                <w:sz w:val="20"/>
                <w:szCs w:val="20"/>
                <w:lang w:val="es-ES" w:eastAsia="es-ES"/>
              </w:rPr>
              <w:t>6,5</w:t>
            </w:r>
          </w:p>
        </w:tc>
        <w:tc>
          <w:tcPr>
            <w:tcW w:w="830" w:type="dxa"/>
            <w:tcBorders>
              <w:top w:val="single" w:sz="4" w:space="0" w:color="auto"/>
              <w:left w:val="single" w:sz="4" w:space="0" w:color="auto"/>
              <w:bottom w:val="single" w:sz="4" w:space="0" w:color="auto"/>
              <w:right w:val="single" w:sz="4" w:space="0" w:color="auto"/>
            </w:tcBorders>
          </w:tcPr>
          <w:p w14:paraId="0AAB40E7" w14:textId="644C53F1" w:rsidR="00BF183A" w:rsidRDefault="00FF576F">
            <w:pPr>
              <w:pStyle w:val="Default"/>
              <w:jc w:val="center"/>
              <w:rPr>
                <w:b/>
                <w:color w:val="auto"/>
                <w:sz w:val="20"/>
                <w:szCs w:val="20"/>
                <w:lang w:val="es-ES" w:eastAsia="es-ES"/>
              </w:rPr>
            </w:pPr>
            <w:r>
              <w:rPr>
                <w:b/>
                <w:color w:val="auto"/>
                <w:sz w:val="20"/>
                <w:szCs w:val="20"/>
                <w:lang w:val="es-ES" w:eastAsia="es-ES"/>
              </w:rPr>
              <w:t>6,6</w:t>
            </w:r>
          </w:p>
        </w:tc>
      </w:tr>
    </w:tbl>
    <w:p w14:paraId="132F5D07" w14:textId="77777777" w:rsidR="00BF183A" w:rsidRDefault="00BF183A" w:rsidP="00BF183A">
      <w:pPr>
        <w:tabs>
          <w:tab w:val="left" w:pos="3544"/>
        </w:tabs>
        <w:ind w:left="0" w:right="-46" w:hanging="2"/>
        <w:jc w:val="center"/>
        <w:rPr>
          <w:sz w:val="16"/>
          <w:szCs w:val="16"/>
        </w:rPr>
      </w:pPr>
      <w:r>
        <w:rPr>
          <w:b/>
          <w:i/>
          <w:sz w:val="16"/>
          <w:szCs w:val="16"/>
        </w:rPr>
        <w:t>Fuente:</w:t>
      </w:r>
      <w:r>
        <w:rPr>
          <w:sz w:val="16"/>
          <w:szCs w:val="16"/>
        </w:rPr>
        <w:t xml:space="preserve"> Elaboración propia en base a datos proporcionados por Sistema de Intranet Institucional.</w:t>
      </w:r>
    </w:p>
    <w:p w14:paraId="1B108174" w14:textId="0637BEC7" w:rsidR="00BF183A" w:rsidRDefault="00BF183A" w:rsidP="00BF183A">
      <w:pPr>
        <w:pStyle w:val="Default"/>
        <w:spacing w:after="240"/>
        <w:jc w:val="both"/>
        <w:rPr>
          <w:color w:val="auto"/>
          <w:lang w:val="es-ES" w:eastAsia="es-ES"/>
        </w:rPr>
      </w:pPr>
      <w:r>
        <w:rPr>
          <w:color w:val="auto"/>
          <w:lang w:val="es-ES" w:eastAsia="es-ES"/>
        </w:rPr>
        <w:t xml:space="preserve">Se evidencia una </w:t>
      </w:r>
      <w:r w:rsidR="00FF576F">
        <w:rPr>
          <w:color w:val="auto"/>
          <w:lang w:val="es-ES" w:eastAsia="es-ES"/>
        </w:rPr>
        <w:t>regularidad</w:t>
      </w:r>
      <w:r>
        <w:rPr>
          <w:color w:val="auto"/>
          <w:lang w:val="es-ES" w:eastAsia="es-ES"/>
        </w:rPr>
        <w:t xml:space="preserve"> en las evaluaciones en los </w:t>
      </w:r>
      <w:r w:rsidR="00FF576F">
        <w:rPr>
          <w:color w:val="auto"/>
          <w:lang w:val="es-ES" w:eastAsia="es-ES"/>
        </w:rPr>
        <w:t>primeros y segundos semestres de cada año. No se evidencian irregularidades en los promedios generales de notas de los tres aspectos evaluados.</w:t>
      </w:r>
    </w:p>
    <w:p w14:paraId="6343038C" w14:textId="798DAACC" w:rsidR="00BF183A" w:rsidRDefault="00BF183A" w:rsidP="00BF183A">
      <w:pPr>
        <w:pStyle w:val="Default"/>
        <w:spacing w:after="240"/>
        <w:rPr>
          <w:b/>
          <w:color w:val="auto"/>
          <w:lang w:val="es-ES" w:eastAsia="es-ES"/>
        </w:rPr>
      </w:pPr>
      <w:r>
        <w:rPr>
          <w:b/>
          <w:color w:val="auto"/>
          <w:lang w:val="es-ES" w:eastAsia="es-ES"/>
        </w:rPr>
        <w:t>Comparación Indicadores Institucionales</w:t>
      </w:r>
    </w:p>
    <w:p w14:paraId="1CEC0BD8" w14:textId="77777777" w:rsidR="00BF183A" w:rsidRDefault="00BF183A" w:rsidP="00BF183A">
      <w:pPr>
        <w:pStyle w:val="Default"/>
        <w:spacing w:after="240"/>
        <w:rPr>
          <w:color w:val="auto"/>
          <w:lang w:val="es-ES" w:eastAsia="es-ES"/>
        </w:rPr>
      </w:pPr>
      <w:r>
        <w:rPr>
          <w:color w:val="auto"/>
          <w:lang w:val="es-ES" w:eastAsia="es-ES"/>
        </w:rPr>
        <w:t>La Universidad del Bío-Bío cuenta con dos indicadores institucionales que se miden a nivel general y por carrera, estos son: Tasa de Retención y Tasa de Aprobación de Asignaturas.</w:t>
      </w:r>
    </w:p>
    <w:p w14:paraId="268F2C38" w14:textId="77777777" w:rsidR="00BF183A" w:rsidRDefault="00BF183A" w:rsidP="00BF183A">
      <w:pPr>
        <w:pStyle w:val="Default"/>
        <w:spacing w:after="240"/>
        <w:jc w:val="both"/>
        <w:rPr>
          <w:color w:val="auto"/>
          <w:lang w:val="es-ES" w:eastAsia="es-ES"/>
        </w:rPr>
      </w:pPr>
      <w:r>
        <w:rPr>
          <w:color w:val="auto"/>
          <w:lang w:val="es-ES" w:eastAsia="es-ES"/>
        </w:rPr>
        <w:t>A continuación, se presenta la tabla de indicadores institucionales comparados con los resultados específicos de la carrera.</w:t>
      </w:r>
    </w:p>
    <w:p w14:paraId="417E322C" w14:textId="708FA4D6" w:rsidR="00FF576F" w:rsidRDefault="00BF183A" w:rsidP="00BF183A">
      <w:pPr>
        <w:pStyle w:val="Default"/>
        <w:jc w:val="both"/>
        <w:rPr>
          <w:color w:val="auto"/>
          <w:sz w:val="16"/>
          <w:lang w:val="es-ES" w:eastAsia="es-ES"/>
        </w:rPr>
      </w:pPr>
      <w:r>
        <w:rPr>
          <w:color w:val="auto"/>
          <w:sz w:val="16"/>
          <w:lang w:val="es-ES" w:eastAsia="es-ES"/>
        </w:rPr>
        <w:t>Tabla 4: Cuadro de indicadores ins</w:t>
      </w:r>
      <w:r w:rsidR="00FF576F">
        <w:rPr>
          <w:color w:val="auto"/>
          <w:sz w:val="16"/>
          <w:lang w:val="es-ES" w:eastAsia="es-ES"/>
        </w:rPr>
        <w:t>titucionales vs indicadores CPA.</w:t>
      </w:r>
    </w:p>
    <w:tbl>
      <w:tblPr>
        <w:tblStyle w:val="Tabelacomgrade"/>
        <w:tblW w:w="0" w:type="auto"/>
        <w:tblLook w:val="04A0" w:firstRow="1" w:lastRow="0" w:firstColumn="1" w:lastColumn="0" w:noHBand="0" w:noVBand="1"/>
      </w:tblPr>
      <w:tblGrid>
        <w:gridCol w:w="3681"/>
        <w:gridCol w:w="808"/>
        <w:gridCol w:w="742"/>
        <w:gridCol w:w="733"/>
        <w:gridCol w:w="733"/>
        <w:gridCol w:w="733"/>
        <w:gridCol w:w="733"/>
        <w:gridCol w:w="733"/>
        <w:gridCol w:w="733"/>
      </w:tblGrid>
      <w:tr w:rsidR="00713DC0" w:rsidRPr="00FF576F" w14:paraId="5B174EAB" w14:textId="77777777" w:rsidTr="00713DC0">
        <w:tc>
          <w:tcPr>
            <w:tcW w:w="3681" w:type="dxa"/>
            <w:shd w:val="clear" w:color="auto" w:fill="000099"/>
          </w:tcPr>
          <w:p w14:paraId="5A1EDEAC" w14:textId="104F7ED0" w:rsidR="00FF576F" w:rsidRPr="00FF576F" w:rsidRDefault="00FF576F" w:rsidP="00BF183A">
            <w:pPr>
              <w:pStyle w:val="Default"/>
              <w:jc w:val="both"/>
              <w:rPr>
                <w:color w:val="auto"/>
                <w:sz w:val="20"/>
                <w:lang w:val="es-ES" w:eastAsia="es-ES"/>
              </w:rPr>
            </w:pPr>
            <w:r w:rsidRPr="00FF576F">
              <w:rPr>
                <w:color w:val="auto"/>
                <w:sz w:val="20"/>
                <w:lang w:val="es-ES" w:eastAsia="es-ES"/>
              </w:rPr>
              <w:t>Año</w:t>
            </w:r>
          </w:p>
        </w:tc>
        <w:tc>
          <w:tcPr>
            <w:tcW w:w="1550" w:type="dxa"/>
            <w:gridSpan w:val="2"/>
            <w:shd w:val="clear" w:color="auto" w:fill="000099"/>
          </w:tcPr>
          <w:p w14:paraId="65AFA588" w14:textId="646ECBAB" w:rsidR="00FF576F" w:rsidRPr="00FF576F" w:rsidRDefault="00FF576F" w:rsidP="00FF576F">
            <w:pPr>
              <w:pStyle w:val="Default"/>
              <w:jc w:val="center"/>
              <w:rPr>
                <w:color w:val="auto"/>
                <w:sz w:val="20"/>
                <w:lang w:val="es-ES" w:eastAsia="es-ES"/>
              </w:rPr>
            </w:pPr>
            <w:r w:rsidRPr="00FF576F">
              <w:rPr>
                <w:color w:val="auto"/>
                <w:sz w:val="20"/>
                <w:lang w:val="es-ES" w:eastAsia="es-ES"/>
              </w:rPr>
              <w:t>2018</w:t>
            </w:r>
          </w:p>
        </w:tc>
        <w:tc>
          <w:tcPr>
            <w:tcW w:w="1466" w:type="dxa"/>
            <w:gridSpan w:val="2"/>
            <w:shd w:val="clear" w:color="auto" w:fill="000099"/>
          </w:tcPr>
          <w:p w14:paraId="089AC566" w14:textId="1A48254C" w:rsidR="00FF576F" w:rsidRPr="00FF576F" w:rsidRDefault="00FF576F" w:rsidP="00FF576F">
            <w:pPr>
              <w:pStyle w:val="Default"/>
              <w:jc w:val="center"/>
              <w:rPr>
                <w:color w:val="auto"/>
                <w:sz w:val="20"/>
                <w:lang w:val="es-ES" w:eastAsia="es-ES"/>
              </w:rPr>
            </w:pPr>
            <w:r w:rsidRPr="00FF576F">
              <w:rPr>
                <w:color w:val="auto"/>
                <w:sz w:val="20"/>
                <w:lang w:val="es-ES" w:eastAsia="es-ES"/>
              </w:rPr>
              <w:t>2019</w:t>
            </w:r>
          </w:p>
        </w:tc>
        <w:tc>
          <w:tcPr>
            <w:tcW w:w="1466" w:type="dxa"/>
            <w:gridSpan w:val="2"/>
            <w:shd w:val="clear" w:color="auto" w:fill="000099"/>
          </w:tcPr>
          <w:p w14:paraId="1E94CA75" w14:textId="4C9174FF" w:rsidR="00FF576F" w:rsidRPr="00FF576F" w:rsidRDefault="00FF576F" w:rsidP="00FF576F">
            <w:pPr>
              <w:pStyle w:val="Default"/>
              <w:jc w:val="center"/>
              <w:rPr>
                <w:color w:val="auto"/>
                <w:sz w:val="20"/>
                <w:lang w:val="es-ES" w:eastAsia="es-ES"/>
              </w:rPr>
            </w:pPr>
            <w:r w:rsidRPr="00FF576F">
              <w:rPr>
                <w:color w:val="auto"/>
                <w:sz w:val="20"/>
                <w:lang w:val="es-ES" w:eastAsia="es-ES"/>
              </w:rPr>
              <w:t>2020</w:t>
            </w:r>
          </w:p>
        </w:tc>
        <w:tc>
          <w:tcPr>
            <w:tcW w:w="1466" w:type="dxa"/>
            <w:gridSpan w:val="2"/>
            <w:shd w:val="clear" w:color="auto" w:fill="000099"/>
          </w:tcPr>
          <w:p w14:paraId="043AB3FB" w14:textId="4064DBFE" w:rsidR="00FF576F" w:rsidRPr="00FF576F" w:rsidRDefault="00FF576F" w:rsidP="00FF576F">
            <w:pPr>
              <w:pStyle w:val="Default"/>
              <w:jc w:val="center"/>
              <w:rPr>
                <w:color w:val="auto"/>
                <w:sz w:val="20"/>
                <w:lang w:val="es-ES" w:eastAsia="es-ES"/>
              </w:rPr>
            </w:pPr>
            <w:r w:rsidRPr="00FF576F">
              <w:rPr>
                <w:color w:val="auto"/>
                <w:sz w:val="20"/>
                <w:lang w:val="es-ES" w:eastAsia="es-ES"/>
              </w:rPr>
              <w:t>2021</w:t>
            </w:r>
          </w:p>
        </w:tc>
      </w:tr>
      <w:tr w:rsidR="00713DC0" w:rsidRPr="00FF576F" w14:paraId="25183466" w14:textId="77777777" w:rsidTr="00713DC0">
        <w:tc>
          <w:tcPr>
            <w:tcW w:w="3681" w:type="dxa"/>
            <w:shd w:val="clear" w:color="auto" w:fill="000099"/>
          </w:tcPr>
          <w:p w14:paraId="2831CF96" w14:textId="65AFA27F" w:rsidR="00FF576F" w:rsidRPr="00FF576F" w:rsidRDefault="00FF576F" w:rsidP="00BF183A">
            <w:pPr>
              <w:pStyle w:val="Default"/>
              <w:jc w:val="both"/>
              <w:rPr>
                <w:color w:val="auto"/>
                <w:sz w:val="20"/>
                <w:lang w:val="es-ES" w:eastAsia="es-ES"/>
              </w:rPr>
            </w:pPr>
            <w:r w:rsidRPr="00FF576F">
              <w:rPr>
                <w:color w:val="auto"/>
                <w:sz w:val="20"/>
                <w:lang w:val="es-ES" w:eastAsia="es-ES"/>
              </w:rPr>
              <w:lastRenderedPageBreak/>
              <w:t>Indicador</w:t>
            </w:r>
          </w:p>
        </w:tc>
        <w:tc>
          <w:tcPr>
            <w:tcW w:w="808" w:type="dxa"/>
            <w:shd w:val="clear" w:color="auto" w:fill="000099"/>
          </w:tcPr>
          <w:p w14:paraId="19F582B0" w14:textId="773C2078" w:rsidR="00FF576F" w:rsidRPr="00FF576F" w:rsidRDefault="00FF576F" w:rsidP="00FF576F">
            <w:pPr>
              <w:pStyle w:val="Default"/>
              <w:jc w:val="center"/>
              <w:rPr>
                <w:color w:val="auto"/>
                <w:sz w:val="20"/>
                <w:lang w:val="es-ES" w:eastAsia="es-ES"/>
              </w:rPr>
            </w:pPr>
            <w:r w:rsidRPr="00FF576F">
              <w:rPr>
                <w:color w:val="auto"/>
                <w:sz w:val="20"/>
                <w:lang w:val="es-ES" w:eastAsia="es-ES"/>
              </w:rPr>
              <w:t>UBB</w:t>
            </w:r>
          </w:p>
        </w:tc>
        <w:tc>
          <w:tcPr>
            <w:tcW w:w="742" w:type="dxa"/>
            <w:shd w:val="clear" w:color="auto" w:fill="000099"/>
          </w:tcPr>
          <w:p w14:paraId="7AA36191" w14:textId="2AEDC926" w:rsidR="00FF576F" w:rsidRPr="00FF576F" w:rsidRDefault="00FF576F" w:rsidP="00FF576F">
            <w:pPr>
              <w:pStyle w:val="Default"/>
              <w:jc w:val="center"/>
              <w:rPr>
                <w:color w:val="auto"/>
                <w:sz w:val="20"/>
                <w:lang w:val="es-ES" w:eastAsia="es-ES"/>
              </w:rPr>
            </w:pPr>
            <w:r w:rsidRPr="00FF576F">
              <w:rPr>
                <w:color w:val="auto"/>
                <w:sz w:val="20"/>
                <w:lang w:val="es-ES" w:eastAsia="es-ES"/>
              </w:rPr>
              <w:t>CPA</w:t>
            </w:r>
          </w:p>
        </w:tc>
        <w:tc>
          <w:tcPr>
            <w:tcW w:w="733" w:type="dxa"/>
            <w:shd w:val="clear" w:color="auto" w:fill="000099"/>
          </w:tcPr>
          <w:p w14:paraId="68E2EA64" w14:textId="7844EF92" w:rsidR="00FF576F" w:rsidRPr="00FF576F" w:rsidRDefault="00FF576F" w:rsidP="00FF576F">
            <w:pPr>
              <w:pStyle w:val="Default"/>
              <w:jc w:val="center"/>
              <w:rPr>
                <w:color w:val="auto"/>
                <w:sz w:val="20"/>
                <w:lang w:val="es-ES" w:eastAsia="es-ES"/>
              </w:rPr>
            </w:pPr>
            <w:r w:rsidRPr="00FF576F">
              <w:rPr>
                <w:color w:val="auto"/>
                <w:sz w:val="20"/>
                <w:lang w:val="es-ES" w:eastAsia="es-ES"/>
              </w:rPr>
              <w:t>UBB</w:t>
            </w:r>
          </w:p>
        </w:tc>
        <w:tc>
          <w:tcPr>
            <w:tcW w:w="733" w:type="dxa"/>
            <w:shd w:val="clear" w:color="auto" w:fill="000099"/>
          </w:tcPr>
          <w:p w14:paraId="6446DBC3" w14:textId="336169E8" w:rsidR="00FF576F" w:rsidRPr="00FF576F" w:rsidRDefault="00FF576F" w:rsidP="00FF576F">
            <w:pPr>
              <w:pStyle w:val="Default"/>
              <w:jc w:val="center"/>
              <w:rPr>
                <w:color w:val="auto"/>
                <w:sz w:val="20"/>
                <w:lang w:val="es-ES" w:eastAsia="es-ES"/>
              </w:rPr>
            </w:pPr>
            <w:r w:rsidRPr="00FF576F">
              <w:rPr>
                <w:color w:val="auto"/>
                <w:sz w:val="20"/>
                <w:lang w:val="es-ES" w:eastAsia="es-ES"/>
              </w:rPr>
              <w:t>CPA</w:t>
            </w:r>
          </w:p>
        </w:tc>
        <w:tc>
          <w:tcPr>
            <w:tcW w:w="733" w:type="dxa"/>
            <w:shd w:val="clear" w:color="auto" w:fill="000099"/>
          </w:tcPr>
          <w:p w14:paraId="0D69B517" w14:textId="2DC3233E" w:rsidR="00FF576F" w:rsidRPr="00FF576F" w:rsidRDefault="00FF576F" w:rsidP="00FF576F">
            <w:pPr>
              <w:pStyle w:val="Default"/>
              <w:jc w:val="center"/>
              <w:rPr>
                <w:color w:val="auto"/>
                <w:sz w:val="20"/>
                <w:lang w:val="es-ES" w:eastAsia="es-ES"/>
              </w:rPr>
            </w:pPr>
            <w:r w:rsidRPr="00FF576F">
              <w:rPr>
                <w:color w:val="auto"/>
                <w:sz w:val="20"/>
                <w:lang w:val="es-ES" w:eastAsia="es-ES"/>
              </w:rPr>
              <w:t>UBB</w:t>
            </w:r>
          </w:p>
        </w:tc>
        <w:tc>
          <w:tcPr>
            <w:tcW w:w="733" w:type="dxa"/>
            <w:shd w:val="clear" w:color="auto" w:fill="000099"/>
          </w:tcPr>
          <w:p w14:paraId="2B54E064" w14:textId="73849CFE" w:rsidR="00FF576F" w:rsidRPr="00FF576F" w:rsidRDefault="00FF576F" w:rsidP="00FF576F">
            <w:pPr>
              <w:pStyle w:val="Default"/>
              <w:jc w:val="center"/>
              <w:rPr>
                <w:color w:val="auto"/>
                <w:sz w:val="20"/>
                <w:lang w:val="es-ES" w:eastAsia="es-ES"/>
              </w:rPr>
            </w:pPr>
            <w:r w:rsidRPr="00FF576F">
              <w:rPr>
                <w:color w:val="auto"/>
                <w:sz w:val="20"/>
                <w:lang w:val="es-ES" w:eastAsia="es-ES"/>
              </w:rPr>
              <w:t>CPA</w:t>
            </w:r>
          </w:p>
        </w:tc>
        <w:tc>
          <w:tcPr>
            <w:tcW w:w="733" w:type="dxa"/>
            <w:shd w:val="clear" w:color="auto" w:fill="000099"/>
          </w:tcPr>
          <w:p w14:paraId="7231162C" w14:textId="262EC508" w:rsidR="00FF576F" w:rsidRPr="00FF576F" w:rsidRDefault="00FF576F" w:rsidP="00FF576F">
            <w:pPr>
              <w:pStyle w:val="Default"/>
              <w:jc w:val="center"/>
              <w:rPr>
                <w:color w:val="auto"/>
                <w:sz w:val="20"/>
                <w:lang w:val="es-ES" w:eastAsia="es-ES"/>
              </w:rPr>
            </w:pPr>
            <w:r w:rsidRPr="00FF576F">
              <w:rPr>
                <w:color w:val="auto"/>
                <w:sz w:val="20"/>
                <w:lang w:val="es-ES" w:eastAsia="es-ES"/>
              </w:rPr>
              <w:t>UBB</w:t>
            </w:r>
          </w:p>
        </w:tc>
        <w:tc>
          <w:tcPr>
            <w:tcW w:w="733" w:type="dxa"/>
            <w:shd w:val="clear" w:color="auto" w:fill="000099"/>
          </w:tcPr>
          <w:p w14:paraId="602C7883" w14:textId="39703F56" w:rsidR="00FF576F" w:rsidRPr="00FF576F" w:rsidRDefault="00FF576F" w:rsidP="00FF576F">
            <w:pPr>
              <w:pStyle w:val="Default"/>
              <w:jc w:val="center"/>
              <w:rPr>
                <w:color w:val="auto"/>
                <w:sz w:val="20"/>
                <w:lang w:val="es-ES" w:eastAsia="es-ES"/>
              </w:rPr>
            </w:pPr>
            <w:r w:rsidRPr="00FF576F">
              <w:rPr>
                <w:color w:val="auto"/>
                <w:sz w:val="20"/>
                <w:lang w:val="es-ES" w:eastAsia="es-ES"/>
              </w:rPr>
              <w:t>CPA</w:t>
            </w:r>
          </w:p>
        </w:tc>
      </w:tr>
      <w:tr w:rsidR="00713DC0" w:rsidRPr="00FF576F" w14:paraId="0A13A69A" w14:textId="77777777" w:rsidTr="00713DC0">
        <w:tc>
          <w:tcPr>
            <w:tcW w:w="3681" w:type="dxa"/>
            <w:shd w:val="clear" w:color="auto" w:fill="000099"/>
          </w:tcPr>
          <w:p w14:paraId="2C9EFBBB" w14:textId="732442EC" w:rsidR="00FF576F" w:rsidRPr="00FF576F" w:rsidRDefault="00FF576F" w:rsidP="00BF183A">
            <w:pPr>
              <w:pStyle w:val="Default"/>
              <w:jc w:val="both"/>
              <w:rPr>
                <w:color w:val="auto"/>
                <w:sz w:val="20"/>
                <w:lang w:val="es-ES" w:eastAsia="es-ES"/>
              </w:rPr>
            </w:pPr>
            <w:r w:rsidRPr="00FF576F">
              <w:rPr>
                <w:color w:val="auto"/>
                <w:sz w:val="20"/>
                <w:lang w:val="es-ES" w:eastAsia="es-ES"/>
              </w:rPr>
              <w:t>Tasa de Retención</w:t>
            </w:r>
          </w:p>
        </w:tc>
        <w:tc>
          <w:tcPr>
            <w:tcW w:w="808" w:type="dxa"/>
          </w:tcPr>
          <w:p w14:paraId="6A2C0421" w14:textId="2A86AE29" w:rsidR="00FF576F" w:rsidRPr="00FF576F" w:rsidRDefault="00FF576F" w:rsidP="004B3F81">
            <w:pPr>
              <w:pStyle w:val="Default"/>
              <w:jc w:val="center"/>
              <w:rPr>
                <w:color w:val="auto"/>
                <w:sz w:val="20"/>
                <w:lang w:val="es-ES" w:eastAsia="es-ES"/>
              </w:rPr>
            </w:pPr>
            <w:r>
              <w:rPr>
                <w:color w:val="auto"/>
                <w:sz w:val="20"/>
                <w:lang w:val="es-ES" w:eastAsia="es-ES"/>
              </w:rPr>
              <w:t>81,7%</w:t>
            </w:r>
          </w:p>
        </w:tc>
        <w:tc>
          <w:tcPr>
            <w:tcW w:w="742" w:type="dxa"/>
          </w:tcPr>
          <w:p w14:paraId="35A765F7" w14:textId="11B730D7" w:rsidR="00FF576F" w:rsidRPr="00FF576F" w:rsidRDefault="004B3F81" w:rsidP="004B3F81">
            <w:pPr>
              <w:pStyle w:val="Default"/>
              <w:jc w:val="center"/>
              <w:rPr>
                <w:color w:val="auto"/>
                <w:sz w:val="20"/>
                <w:lang w:val="es-ES" w:eastAsia="es-ES"/>
              </w:rPr>
            </w:pPr>
            <w:r>
              <w:rPr>
                <w:color w:val="auto"/>
                <w:sz w:val="20"/>
                <w:lang w:val="es-ES" w:eastAsia="es-ES"/>
              </w:rPr>
              <w:t>90,1%</w:t>
            </w:r>
          </w:p>
        </w:tc>
        <w:tc>
          <w:tcPr>
            <w:tcW w:w="733" w:type="dxa"/>
          </w:tcPr>
          <w:p w14:paraId="71FF97DC" w14:textId="49F8E99F" w:rsidR="00FF576F" w:rsidRPr="00FF576F" w:rsidRDefault="00FF576F" w:rsidP="004B3F81">
            <w:pPr>
              <w:pStyle w:val="Default"/>
              <w:jc w:val="center"/>
              <w:rPr>
                <w:color w:val="auto"/>
                <w:sz w:val="20"/>
                <w:lang w:val="es-ES" w:eastAsia="es-ES"/>
              </w:rPr>
            </w:pPr>
            <w:r>
              <w:rPr>
                <w:color w:val="auto"/>
                <w:sz w:val="20"/>
                <w:lang w:val="es-ES" w:eastAsia="es-ES"/>
              </w:rPr>
              <w:t>80,5%</w:t>
            </w:r>
          </w:p>
        </w:tc>
        <w:tc>
          <w:tcPr>
            <w:tcW w:w="733" w:type="dxa"/>
          </w:tcPr>
          <w:p w14:paraId="7571B8AC" w14:textId="3F86C209" w:rsidR="00FF576F" w:rsidRPr="00FF576F" w:rsidRDefault="004B3F81" w:rsidP="004B3F81">
            <w:pPr>
              <w:pStyle w:val="Default"/>
              <w:jc w:val="center"/>
              <w:rPr>
                <w:color w:val="auto"/>
                <w:sz w:val="20"/>
                <w:lang w:val="es-ES" w:eastAsia="es-ES"/>
              </w:rPr>
            </w:pPr>
            <w:r>
              <w:rPr>
                <w:color w:val="auto"/>
                <w:sz w:val="20"/>
                <w:lang w:val="es-ES" w:eastAsia="es-ES"/>
              </w:rPr>
              <w:t>90,1%</w:t>
            </w:r>
          </w:p>
        </w:tc>
        <w:tc>
          <w:tcPr>
            <w:tcW w:w="733" w:type="dxa"/>
          </w:tcPr>
          <w:p w14:paraId="26C6921A" w14:textId="72DDB2FC" w:rsidR="00FF576F" w:rsidRPr="00FF576F" w:rsidRDefault="004B3F81" w:rsidP="004B3F81">
            <w:pPr>
              <w:pStyle w:val="Default"/>
              <w:jc w:val="center"/>
              <w:rPr>
                <w:color w:val="auto"/>
                <w:sz w:val="20"/>
                <w:lang w:val="es-ES" w:eastAsia="es-ES"/>
              </w:rPr>
            </w:pPr>
            <w:r>
              <w:rPr>
                <w:color w:val="auto"/>
                <w:sz w:val="20"/>
                <w:lang w:val="es-ES" w:eastAsia="es-ES"/>
              </w:rPr>
              <w:t>87,8%</w:t>
            </w:r>
          </w:p>
        </w:tc>
        <w:tc>
          <w:tcPr>
            <w:tcW w:w="733" w:type="dxa"/>
          </w:tcPr>
          <w:p w14:paraId="2ADFAD6A" w14:textId="59EBDE16" w:rsidR="00FF576F" w:rsidRPr="00FF576F" w:rsidRDefault="004B3F81" w:rsidP="004B3F81">
            <w:pPr>
              <w:pStyle w:val="Default"/>
              <w:jc w:val="center"/>
              <w:rPr>
                <w:color w:val="auto"/>
                <w:sz w:val="20"/>
                <w:lang w:val="es-ES" w:eastAsia="es-ES"/>
              </w:rPr>
            </w:pPr>
            <w:r>
              <w:rPr>
                <w:color w:val="auto"/>
                <w:sz w:val="20"/>
                <w:lang w:val="es-ES" w:eastAsia="es-ES"/>
              </w:rPr>
              <w:t>90,0%</w:t>
            </w:r>
          </w:p>
        </w:tc>
        <w:tc>
          <w:tcPr>
            <w:tcW w:w="733" w:type="dxa"/>
          </w:tcPr>
          <w:p w14:paraId="620C774D" w14:textId="3FAA5E03" w:rsidR="00FF576F" w:rsidRPr="00FF576F" w:rsidRDefault="004B3F81" w:rsidP="004B3F81">
            <w:pPr>
              <w:pStyle w:val="Default"/>
              <w:jc w:val="center"/>
              <w:rPr>
                <w:color w:val="auto"/>
                <w:sz w:val="20"/>
                <w:lang w:val="es-ES" w:eastAsia="es-ES"/>
              </w:rPr>
            </w:pPr>
            <w:r>
              <w:rPr>
                <w:color w:val="auto"/>
                <w:sz w:val="20"/>
                <w:lang w:val="es-ES" w:eastAsia="es-ES"/>
              </w:rPr>
              <w:t>84,4%</w:t>
            </w:r>
          </w:p>
        </w:tc>
        <w:tc>
          <w:tcPr>
            <w:tcW w:w="733" w:type="dxa"/>
          </w:tcPr>
          <w:p w14:paraId="13499CDE" w14:textId="6A773182" w:rsidR="00FF576F" w:rsidRPr="00FF576F" w:rsidRDefault="004B3F81" w:rsidP="004B3F81">
            <w:pPr>
              <w:pStyle w:val="Default"/>
              <w:jc w:val="center"/>
              <w:rPr>
                <w:color w:val="auto"/>
                <w:sz w:val="20"/>
                <w:lang w:val="es-ES" w:eastAsia="es-ES"/>
              </w:rPr>
            </w:pPr>
            <w:r>
              <w:rPr>
                <w:color w:val="auto"/>
                <w:sz w:val="20"/>
                <w:lang w:val="es-ES" w:eastAsia="es-ES"/>
              </w:rPr>
              <w:t>88,5%</w:t>
            </w:r>
          </w:p>
        </w:tc>
      </w:tr>
      <w:tr w:rsidR="00713DC0" w:rsidRPr="00FF576F" w14:paraId="041A752B" w14:textId="77777777" w:rsidTr="00713DC0">
        <w:tc>
          <w:tcPr>
            <w:tcW w:w="3681" w:type="dxa"/>
            <w:shd w:val="clear" w:color="auto" w:fill="000099"/>
          </w:tcPr>
          <w:p w14:paraId="2EEB0D08" w14:textId="098BCDE8" w:rsidR="00FF576F" w:rsidRPr="00FF576F" w:rsidRDefault="00FF576F" w:rsidP="00BF183A">
            <w:pPr>
              <w:pStyle w:val="Default"/>
              <w:jc w:val="both"/>
              <w:rPr>
                <w:color w:val="auto"/>
                <w:sz w:val="20"/>
                <w:lang w:val="es-ES" w:eastAsia="es-ES"/>
              </w:rPr>
            </w:pPr>
            <w:r w:rsidRPr="00FF576F">
              <w:rPr>
                <w:color w:val="auto"/>
                <w:sz w:val="20"/>
                <w:lang w:val="es-ES" w:eastAsia="es-ES"/>
              </w:rPr>
              <w:t>Tasa de Aprobación de Asignaturas</w:t>
            </w:r>
          </w:p>
        </w:tc>
        <w:tc>
          <w:tcPr>
            <w:tcW w:w="808" w:type="dxa"/>
          </w:tcPr>
          <w:p w14:paraId="0A5FB065" w14:textId="1785F3F9" w:rsidR="00FF576F" w:rsidRPr="00FF576F" w:rsidRDefault="00FF576F" w:rsidP="004B3F81">
            <w:pPr>
              <w:pStyle w:val="Default"/>
              <w:jc w:val="center"/>
              <w:rPr>
                <w:color w:val="auto"/>
                <w:sz w:val="20"/>
                <w:lang w:val="es-ES" w:eastAsia="es-ES"/>
              </w:rPr>
            </w:pPr>
            <w:r>
              <w:rPr>
                <w:color w:val="auto"/>
                <w:sz w:val="20"/>
                <w:lang w:val="es-ES" w:eastAsia="es-ES"/>
              </w:rPr>
              <w:t>84,8%</w:t>
            </w:r>
          </w:p>
        </w:tc>
        <w:tc>
          <w:tcPr>
            <w:tcW w:w="742" w:type="dxa"/>
          </w:tcPr>
          <w:p w14:paraId="13FEC6EB" w14:textId="20C71055" w:rsidR="00FF576F" w:rsidRPr="00FF576F" w:rsidRDefault="004B3F81" w:rsidP="004B3F81">
            <w:pPr>
              <w:pStyle w:val="Default"/>
              <w:jc w:val="center"/>
              <w:rPr>
                <w:color w:val="auto"/>
                <w:sz w:val="20"/>
                <w:lang w:val="es-ES" w:eastAsia="es-ES"/>
              </w:rPr>
            </w:pPr>
            <w:r>
              <w:rPr>
                <w:color w:val="auto"/>
                <w:sz w:val="20"/>
                <w:lang w:val="es-ES" w:eastAsia="es-ES"/>
              </w:rPr>
              <w:t>84,3%</w:t>
            </w:r>
          </w:p>
        </w:tc>
        <w:tc>
          <w:tcPr>
            <w:tcW w:w="733" w:type="dxa"/>
          </w:tcPr>
          <w:p w14:paraId="3021F000" w14:textId="0A0984C7" w:rsidR="00FF576F" w:rsidRPr="00FF576F" w:rsidRDefault="004B3F81" w:rsidP="004B3F81">
            <w:pPr>
              <w:pStyle w:val="Default"/>
              <w:jc w:val="center"/>
              <w:rPr>
                <w:color w:val="auto"/>
                <w:sz w:val="20"/>
                <w:lang w:val="es-ES" w:eastAsia="es-ES"/>
              </w:rPr>
            </w:pPr>
            <w:r>
              <w:rPr>
                <w:color w:val="auto"/>
                <w:sz w:val="20"/>
                <w:lang w:val="es-ES" w:eastAsia="es-ES"/>
              </w:rPr>
              <w:t>88,6%</w:t>
            </w:r>
          </w:p>
        </w:tc>
        <w:tc>
          <w:tcPr>
            <w:tcW w:w="733" w:type="dxa"/>
          </w:tcPr>
          <w:p w14:paraId="2101068B" w14:textId="297B72FE" w:rsidR="00FF576F" w:rsidRPr="00FF576F" w:rsidRDefault="004B3F81" w:rsidP="004B3F81">
            <w:pPr>
              <w:pStyle w:val="Default"/>
              <w:jc w:val="center"/>
              <w:rPr>
                <w:color w:val="auto"/>
                <w:sz w:val="20"/>
                <w:lang w:val="es-ES" w:eastAsia="es-ES"/>
              </w:rPr>
            </w:pPr>
            <w:r>
              <w:rPr>
                <w:color w:val="auto"/>
                <w:sz w:val="20"/>
                <w:lang w:val="es-ES" w:eastAsia="es-ES"/>
              </w:rPr>
              <w:t>93,7%</w:t>
            </w:r>
          </w:p>
        </w:tc>
        <w:tc>
          <w:tcPr>
            <w:tcW w:w="733" w:type="dxa"/>
          </w:tcPr>
          <w:p w14:paraId="3F64D478" w14:textId="196246CF" w:rsidR="00FF576F" w:rsidRPr="00FF576F" w:rsidRDefault="004B3F81" w:rsidP="004B3F81">
            <w:pPr>
              <w:pStyle w:val="Default"/>
              <w:jc w:val="center"/>
              <w:rPr>
                <w:color w:val="auto"/>
                <w:sz w:val="20"/>
                <w:lang w:val="es-ES" w:eastAsia="es-ES"/>
              </w:rPr>
            </w:pPr>
            <w:r>
              <w:rPr>
                <w:color w:val="auto"/>
                <w:sz w:val="20"/>
                <w:lang w:val="es-ES" w:eastAsia="es-ES"/>
              </w:rPr>
              <w:t>92,9%</w:t>
            </w:r>
          </w:p>
        </w:tc>
        <w:tc>
          <w:tcPr>
            <w:tcW w:w="733" w:type="dxa"/>
          </w:tcPr>
          <w:p w14:paraId="1A37CE7F" w14:textId="79B53587" w:rsidR="00FF576F" w:rsidRPr="00FF576F" w:rsidRDefault="004B3F81" w:rsidP="004B3F81">
            <w:pPr>
              <w:pStyle w:val="Default"/>
              <w:jc w:val="center"/>
              <w:rPr>
                <w:color w:val="auto"/>
                <w:sz w:val="20"/>
                <w:lang w:val="es-ES" w:eastAsia="es-ES"/>
              </w:rPr>
            </w:pPr>
            <w:r>
              <w:rPr>
                <w:color w:val="auto"/>
                <w:sz w:val="20"/>
                <w:lang w:val="es-ES" w:eastAsia="es-ES"/>
              </w:rPr>
              <w:t>95,8%</w:t>
            </w:r>
          </w:p>
        </w:tc>
        <w:tc>
          <w:tcPr>
            <w:tcW w:w="733" w:type="dxa"/>
          </w:tcPr>
          <w:p w14:paraId="69F99BE0" w14:textId="36EC9F37" w:rsidR="00FF576F" w:rsidRPr="00FF576F" w:rsidRDefault="004B3F81" w:rsidP="004B3F81">
            <w:pPr>
              <w:pStyle w:val="Default"/>
              <w:jc w:val="center"/>
              <w:rPr>
                <w:color w:val="auto"/>
                <w:sz w:val="20"/>
                <w:lang w:val="es-ES" w:eastAsia="es-ES"/>
              </w:rPr>
            </w:pPr>
            <w:r>
              <w:rPr>
                <w:color w:val="auto"/>
                <w:sz w:val="20"/>
                <w:lang w:val="es-ES" w:eastAsia="es-ES"/>
              </w:rPr>
              <w:t>90,0%</w:t>
            </w:r>
          </w:p>
        </w:tc>
        <w:tc>
          <w:tcPr>
            <w:tcW w:w="733" w:type="dxa"/>
          </w:tcPr>
          <w:p w14:paraId="27DDD3FE" w14:textId="77A2E36A" w:rsidR="00FF576F" w:rsidRPr="00FF576F" w:rsidRDefault="004B3F81" w:rsidP="004B3F81">
            <w:pPr>
              <w:pStyle w:val="Default"/>
              <w:jc w:val="center"/>
              <w:rPr>
                <w:color w:val="auto"/>
                <w:sz w:val="20"/>
                <w:lang w:val="es-ES" w:eastAsia="es-ES"/>
              </w:rPr>
            </w:pPr>
            <w:r>
              <w:rPr>
                <w:color w:val="auto"/>
                <w:sz w:val="20"/>
                <w:lang w:val="es-ES" w:eastAsia="es-ES"/>
              </w:rPr>
              <w:t>97,3%</w:t>
            </w:r>
          </w:p>
        </w:tc>
      </w:tr>
    </w:tbl>
    <w:p w14:paraId="0C2ADF8A" w14:textId="77777777" w:rsidR="00BF183A" w:rsidRDefault="00BF183A" w:rsidP="00FF576F">
      <w:pPr>
        <w:tabs>
          <w:tab w:val="left" w:pos="3544"/>
        </w:tabs>
        <w:ind w:leftChars="0" w:left="0" w:right="-46" w:firstLineChars="0" w:firstLine="0"/>
        <w:jc w:val="center"/>
        <w:rPr>
          <w:sz w:val="16"/>
          <w:szCs w:val="16"/>
        </w:rPr>
      </w:pPr>
      <w:r>
        <w:rPr>
          <w:b/>
          <w:i/>
          <w:sz w:val="16"/>
          <w:szCs w:val="16"/>
        </w:rPr>
        <w:t>Fuente:</w:t>
      </w:r>
      <w:r>
        <w:rPr>
          <w:sz w:val="16"/>
          <w:szCs w:val="16"/>
        </w:rPr>
        <w:t xml:space="preserve"> Elaboración propia en base a datos proporcionados por Sistema de Intranet Institucional.</w:t>
      </w:r>
    </w:p>
    <w:p w14:paraId="63CE6A3A" w14:textId="77777777" w:rsidR="00BF183A" w:rsidRDefault="00BF183A" w:rsidP="00BF183A">
      <w:pPr>
        <w:pStyle w:val="Default"/>
        <w:rPr>
          <w:color w:val="auto"/>
          <w:lang w:val="es-ES" w:eastAsia="es-ES"/>
        </w:rPr>
      </w:pPr>
    </w:p>
    <w:p w14:paraId="00CE1CA6" w14:textId="4351F869" w:rsidR="00BF183A" w:rsidRDefault="00BF183A" w:rsidP="00BF183A">
      <w:pPr>
        <w:pStyle w:val="Default"/>
        <w:spacing w:after="240"/>
        <w:jc w:val="both"/>
        <w:rPr>
          <w:color w:val="auto"/>
          <w:lang w:val="es-ES" w:eastAsia="es-ES"/>
        </w:rPr>
      </w:pPr>
      <w:r>
        <w:rPr>
          <w:color w:val="auto"/>
          <w:lang w:val="es-ES" w:eastAsia="es-ES"/>
        </w:rPr>
        <w:t xml:space="preserve">Cabe recalcar que la tasa de retención de primer año para la cohorte 2011 de la carrera </w:t>
      </w:r>
      <w:r w:rsidR="004B3F81">
        <w:rPr>
          <w:color w:val="auto"/>
          <w:lang w:val="es-ES" w:eastAsia="es-ES"/>
        </w:rPr>
        <w:t>Contador Público y Auditor era un 76,9</w:t>
      </w:r>
      <w:r>
        <w:rPr>
          <w:color w:val="auto"/>
          <w:lang w:val="es-ES" w:eastAsia="es-ES"/>
        </w:rPr>
        <w:t>%,</w:t>
      </w:r>
      <w:r w:rsidR="004B3F81">
        <w:rPr>
          <w:color w:val="auto"/>
          <w:lang w:val="es-ES" w:eastAsia="es-ES"/>
        </w:rPr>
        <w:t xml:space="preserve"> y la tasa de aprobación de asignatura era 83,5%, lo que refleja que hubo un alza</w:t>
      </w:r>
      <w:r>
        <w:rPr>
          <w:color w:val="auto"/>
          <w:lang w:val="es-ES" w:eastAsia="es-ES"/>
        </w:rPr>
        <w:t xml:space="preserve"> tras la incorporación del PT en </w:t>
      </w:r>
      <w:r w:rsidR="004B3F81">
        <w:rPr>
          <w:color w:val="auto"/>
          <w:lang w:val="es-ES" w:eastAsia="es-ES"/>
        </w:rPr>
        <w:t>las tasas</w:t>
      </w:r>
      <w:r>
        <w:rPr>
          <w:color w:val="auto"/>
          <w:lang w:val="es-ES" w:eastAsia="es-ES"/>
        </w:rPr>
        <w:t xml:space="preserve"> la</w:t>
      </w:r>
      <w:r w:rsidR="004B3F81">
        <w:rPr>
          <w:color w:val="auto"/>
          <w:lang w:val="es-ES" w:eastAsia="es-ES"/>
        </w:rPr>
        <w:t>s</w:t>
      </w:r>
      <w:r>
        <w:rPr>
          <w:color w:val="auto"/>
          <w:lang w:val="es-ES" w:eastAsia="es-ES"/>
        </w:rPr>
        <w:t xml:space="preserve"> cual</w:t>
      </w:r>
      <w:r w:rsidR="004B3F81">
        <w:rPr>
          <w:color w:val="auto"/>
          <w:lang w:val="es-ES" w:eastAsia="es-ES"/>
        </w:rPr>
        <w:t>es</w:t>
      </w:r>
      <w:r>
        <w:rPr>
          <w:color w:val="auto"/>
          <w:lang w:val="es-ES" w:eastAsia="es-ES"/>
        </w:rPr>
        <w:t xml:space="preserve"> se </w:t>
      </w:r>
      <w:r w:rsidR="004B3F81">
        <w:rPr>
          <w:color w:val="auto"/>
          <w:lang w:val="es-ES" w:eastAsia="es-ES"/>
        </w:rPr>
        <w:t>han mantenido</w:t>
      </w:r>
      <w:r>
        <w:rPr>
          <w:color w:val="auto"/>
          <w:lang w:val="es-ES" w:eastAsia="es-ES"/>
        </w:rPr>
        <w:t xml:space="preserve"> en el tiempo.</w:t>
      </w:r>
    </w:p>
    <w:p w14:paraId="7E2DBD28" w14:textId="6356034D" w:rsidR="00BF183A" w:rsidRDefault="00BF183A" w:rsidP="00BF183A">
      <w:pPr>
        <w:pStyle w:val="Default"/>
        <w:spacing w:after="240"/>
        <w:rPr>
          <w:b/>
          <w:color w:val="auto"/>
          <w:lang w:val="es-ES" w:eastAsia="es-ES"/>
        </w:rPr>
      </w:pPr>
      <w:r>
        <w:rPr>
          <w:b/>
          <w:color w:val="auto"/>
          <w:lang w:val="es-ES" w:eastAsia="es-ES"/>
        </w:rPr>
        <w:t>Relación de Indicador de Asistencia con Indicador Tasa de Retención</w:t>
      </w:r>
    </w:p>
    <w:p w14:paraId="001055DB" w14:textId="77777777" w:rsidR="00360E43" w:rsidRDefault="00AF2B4C" w:rsidP="00360E43">
      <w:pPr>
        <w:ind w:left="0" w:hanging="2"/>
        <w:rPr>
          <w:sz w:val="24"/>
          <w:szCs w:val="23"/>
        </w:rPr>
      </w:pPr>
      <w:r w:rsidRPr="00360E43">
        <w:rPr>
          <w:sz w:val="24"/>
          <w:szCs w:val="23"/>
        </w:rPr>
        <w:t xml:space="preserve">La adherencia al programa se mide a través de la asistencia a tutorías. </w:t>
      </w:r>
      <w:r w:rsidR="00BF183A" w:rsidRPr="00360E43">
        <w:rPr>
          <w:sz w:val="24"/>
          <w:szCs w:val="23"/>
        </w:rPr>
        <w:t xml:space="preserve">Para medir la </w:t>
      </w:r>
      <w:r w:rsidRPr="00360E43">
        <w:rPr>
          <w:sz w:val="24"/>
          <w:szCs w:val="23"/>
        </w:rPr>
        <w:t>relación</w:t>
      </w:r>
      <w:r w:rsidR="00BF183A" w:rsidRPr="00360E43">
        <w:rPr>
          <w:sz w:val="24"/>
          <w:szCs w:val="23"/>
        </w:rPr>
        <w:t xml:space="preserve"> </w:t>
      </w:r>
      <w:r w:rsidRPr="00360E43">
        <w:rPr>
          <w:sz w:val="24"/>
          <w:szCs w:val="23"/>
        </w:rPr>
        <w:t>s</w:t>
      </w:r>
      <w:r w:rsidR="00BF183A" w:rsidRPr="00360E43">
        <w:rPr>
          <w:sz w:val="24"/>
          <w:szCs w:val="23"/>
        </w:rPr>
        <w:t>e incorporará la comparación de las poblaciones de: Total estudiantes Universidad del Bío-Bío, total estudiantes que participan del PT</w:t>
      </w:r>
      <w:r w:rsidRPr="00360E43">
        <w:rPr>
          <w:sz w:val="24"/>
          <w:szCs w:val="23"/>
        </w:rPr>
        <w:t xml:space="preserve"> (30 carreras)</w:t>
      </w:r>
      <w:r w:rsidR="00BF183A" w:rsidRPr="00360E43">
        <w:rPr>
          <w:sz w:val="24"/>
          <w:szCs w:val="23"/>
        </w:rPr>
        <w:t xml:space="preserve">, Total estudiantes </w:t>
      </w:r>
      <w:r w:rsidRPr="00360E43">
        <w:rPr>
          <w:sz w:val="24"/>
          <w:szCs w:val="23"/>
        </w:rPr>
        <w:t>Contador Público y Auditor</w:t>
      </w:r>
      <w:r w:rsidR="00BF183A" w:rsidRPr="00360E43">
        <w:rPr>
          <w:sz w:val="24"/>
          <w:szCs w:val="23"/>
        </w:rPr>
        <w:t>,</w:t>
      </w:r>
      <w:r w:rsidRPr="00360E43">
        <w:rPr>
          <w:sz w:val="24"/>
          <w:szCs w:val="23"/>
        </w:rPr>
        <w:t xml:space="preserve"> total de estudiantes CPA</w:t>
      </w:r>
      <w:r w:rsidR="00BF183A" w:rsidRPr="00360E43">
        <w:rPr>
          <w:sz w:val="24"/>
          <w:szCs w:val="23"/>
        </w:rPr>
        <w:t xml:space="preserve"> que poseen asistencia superior al</w:t>
      </w:r>
      <w:r w:rsidRPr="00360E43">
        <w:rPr>
          <w:sz w:val="24"/>
          <w:szCs w:val="23"/>
        </w:rPr>
        <w:t xml:space="preserve"> 70% y total de</w:t>
      </w:r>
      <w:r w:rsidR="00BF183A" w:rsidRPr="00360E43">
        <w:rPr>
          <w:sz w:val="24"/>
          <w:szCs w:val="23"/>
        </w:rPr>
        <w:t xml:space="preserve"> estudiantes</w:t>
      </w:r>
      <w:r w:rsidRPr="00360E43">
        <w:rPr>
          <w:sz w:val="24"/>
          <w:szCs w:val="23"/>
        </w:rPr>
        <w:t xml:space="preserve"> CPA que poseen asistencia menor</w:t>
      </w:r>
      <w:r w:rsidR="00BF183A" w:rsidRPr="00360E43">
        <w:rPr>
          <w:sz w:val="24"/>
          <w:szCs w:val="23"/>
        </w:rPr>
        <w:t xml:space="preserve"> al 30%.</w:t>
      </w:r>
      <w:r w:rsidR="00360E43" w:rsidRPr="00360E43">
        <w:rPr>
          <w:sz w:val="24"/>
          <w:szCs w:val="23"/>
        </w:rPr>
        <w:t xml:space="preserve"> </w:t>
      </w:r>
    </w:p>
    <w:p w14:paraId="19D82B7E" w14:textId="1F28ECC7" w:rsidR="00360E43" w:rsidRDefault="00360E43" w:rsidP="00360E43">
      <w:pPr>
        <w:ind w:left="0" w:hanging="2"/>
        <w:rPr>
          <w:b/>
          <w:bCs/>
          <w:color w:val="000000"/>
          <w:sz w:val="28"/>
          <w:szCs w:val="24"/>
          <w:lang w:val="es-CL" w:eastAsia="x-none"/>
        </w:rPr>
      </w:pPr>
      <w:r>
        <w:rPr>
          <w:sz w:val="24"/>
          <w:szCs w:val="23"/>
        </w:rPr>
        <w:t>Los/as estudiantes del total de admisión y del Programa Tutores poseen indicadores de retención muy similares, por lo que la gráfica muestra una línea sobre la otra. Los/as estudiantes de CPA (línea naranja) tienen % de retención mayores que al global de estudiantes de la institución, mientras que los/as estudiantes que tienen más de un 70% de asistencia al programa poseen una retención  muy superior mayor que el total de la admisión, a su vez, los/as estudiantes que poseen menos de 30% de asistencia al programa poseen las tasas de retención más bajas con respecto a los grupos analizados, cabe mencionar que durante el año 2021 ni un estudiante de primer años de la carrera tuvo una asistencia menor al 30% de asistencia.</w:t>
      </w:r>
    </w:p>
    <w:p w14:paraId="0B0CCF5E" w14:textId="4219A4F5" w:rsidR="00BF183A" w:rsidRPr="0032155E" w:rsidRDefault="00BF183A" w:rsidP="00AF2B4C">
      <w:pPr>
        <w:pStyle w:val="Default"/>
        <w:spacing w:after="240"/>
        <w:jc w:val="both"/>
        <w:rPr>
          <w:noProof/>
          <w:lang w:val="es-CL"/>
        </w:rPr>
      </w:pPr>
      <w:r>
        <w:rPr>
          <w:color w:val="auto"/>
          <w:lang w:val="es-ES" w:eastAsia="es-ES"/>
        </w:rPr>
        <w:t>A continuación, se presenta un gráfico comparativo de la relación de indicadores.</w:t>
      </w:r>
    </w:p>
    <w:p w14:paraId="6CDA3540" w14:textId="369C5EDD" w:rsidR="00AF2B4C" w:rsidRDefault="00AF2B4C" w:rsidP="0032155E">
      <w:pPr>
        <w:pStyle w:val="Default"/>
        <w:spacing w:after="240"/>
        <w:jc w:val="center"/>
        <w:rPr>
          <w:color w:val="auto"/>
          <w:lang w:val="es-ES" w:eastAsia="es-ES"/>
        </w:rPr>
      </w:pPr>
      <w:r>
        <w:rPr>
          <w:noProof/>
        </w:rPr>
        <w:drawing>
          <wp:inline distT="0" distB="0" distL="0" distR="0" wp14:anchorId="27F00FBD" wp14:editId="5C83C64E">
            <wp:extent cx="5066852" cy="2237590"/>
            <wp:effectExtent l="0" t="0" r="635" b="1079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7C041F" w14:textId="77777777" w:rsidR="00BF183A" w:rsidRDefault="00BF183A" w:rsidP="00BF183A">
      <w:pPr>
        <w:ind w:left="0" w:hanging="2"/>
        <w:jc w:val="center"/>
        <w:rPr>
          <w:bCs/>
          <w:color w:val="000000"/>
          <w:sz w:val="16"/>
          <w:szCs w:val="24"/>
          <w:lang w:val="es-CL" w:eastAsia="x-none"/>
        </w:rPr>
      </w:pPr>
      <w:r>
        <w:rPr>
          <w:bCs/>
          <w:color w:val="000000"/>
          <w:sz w:val="16"/>
          <w:szCs w:val="24"/>
          <w:lang w:val="es-CL" w:eastAsia="x-none"/>
        </w:rPr>
        <w:t>Figura 1: Correlación Indicadores.</w:t>
      </w:r>
    </w:p>
    <w:p w14:paraId="50A57F01" w14:textId="1A4A6F10" w:rsidR="00BF183A" w:rsidRDefault="00BF183A" w:rsidP="00BF183A">
      <w:pPr>
        <w:ind w:left="0" w:hanging="2"/>
        <w:rPr>
          <w:b/>
          <w:bCs/>
          <w:color w:val="000000"/>
          <w:sz w:val="24"/>
          <w:szCs w:val="24"/>
          <w:lang w:val="es-CL" w:eastAsia="x-none"/>
        </w:rPr>
      </w:pPr>
      <w:r>
        <w:rPr>
          <w:b/>
          <w:bCs/>
          <w:color w:val="000000"/>
          <w:sz w:val="24"/>
          <w:szCs w:val="24"/>
          <w:lang w:val="es-CL" w:eastAsia="x-none"/>
        </w:rPr>
        <w:t>Conclusiones</w:t>
      </w:r>
    </w:p>
    <w:p w14:paraId="78062539" w14:textId="44D09323" w:rsidR="00BF183A" w:rsidRDefault="00BF183A" w:rsidP="00BF183A">
      <w:pPr>
        <w:pStyle w:val="Default"/>
        <w:jc w:val="both"/>
        <w:rPr>
          <w:szCs w:val="23"/>
          <w:lang w:val="es-CL"/>
        </w:rPr>
      </w:pPr>
      <w:r>
        <w:rPr>
          <w:szCs w:val="23"/>
          <w:lang w:val="es-CL"/>
        </w:rPr>
        <w:t>El Programa Tutores busca contribuir a la equidad y a lograr el desarrollo de las potencialidades de los</w:t>
      </w:r>
      <w:r w:rsidR="00EA0AEC">
        <w:rPr>
          <w:szCs w:val="23"/>
          <w:lang w:val="es-CL"/>
        </w:rPr>
        <w:t>/as</w:t>
      </w:r>
      <w:r>
        <w:rPr>
          <w:szCs w:val="23"/>
          <w:lang w:val="es-CL"/>
        </w:rPr>
        <w:t xml:space="preserve"> estudiantes</w:t>
      </w:r>
      <w:r w:rsidR="00EA0AEC">
        <w:rPr>
          <w:szCs w:val="23"/>
          <w:lang w:val="es-CL"/>
        </w:rPr>
        <w:t xml:space="preserve">, durante el periodo de pandemia fue la primera respuesta institucional que tuvo la Universidad para acercar a los/as estudiantes de primero a la vida universitaria. El programa no solo busca </w:t>
      </w:r>
      <w:r>
        <w:rPr>
          <w:szCs w:val="23"/>
          <w:lang w:val="es-CL"/>
        </w:rPr>
        <w:t xml:space="preserve">atender poblaciones focalizadas, si no que </w:t>
      </w:r>
      <w:r w:rsidR="00EA0AEC">
        <w:rPr>
          <w:szCs w:val="23"/>
          <w:lang w:val="es-CL"/>
        </w:rPr>
        <w:t>su foco es</w:t>
      </w:r>
      <w:r>
        <w:rPr>
          <w:szCs w:val="23"/>
          <w:lang w:val="es-CL"/>
        </w:rPr>
        <w:t xml:space="preserve"> de construir aprendizajes colaborativos, bajo la generación de redes sociales sin segregación, y en el que el eje sea la decisión de los</w:t>
      </w:r>
      <w:r w:rsidR="00EA0AEC">
        <w:rPr>
          <w:szCs w:val="23"/>
          <w:lang w:val="es-CL"/>
        </w:rPr>
        <w:t>/as</w:t>
      </w:r>
      <w:r>
        <w:rPr>
          <w:szCs w:val="23"/>
          <w:lang w:val="es-CL"/>
        </w:rPr>
        <w:t xml:space="preserve"> estudiantes por aprender y a través esto, permanecer en la Universidad. </w:t>
      </w:r>
    </w:p>
    <w:p w14:paraId="1ECEF013" w14:textId="5A92157D" w:rsidR="00BF183A" w:rsidRDefault="00BF183A" w:rsidP="00BF183A">
      <w:pPr>
        <w:pStyle w:val="Default"/>
        <w:spacing w:before="240"/>
        <w:jc w:val="both"/>
        <w:rPr>
          <w:szCs w:val="23"/>
          <w:lang w:val="es-CL"/>
        </w:rPr>
      </w:pPr>
      <w:r>
        <w:rPr>
          <w:szCs w:val="23"/>
          <w:lang w:val="es-CL"/>
        </w:rPr>
        <w:lastRenderedPageBreak/>
        <w:t>Para los</w:t>
      </w:r>
      <w:r w:rsidR="00EA0AEC">
        <w:rPr>
          <w:szCs w:val="23"/>
          <w:lang w:val="es-CL"/>
        </w:rPr>
        <w:t>/as</w:t>
      </w:r>
      <w:r>
        <w:rPr>
          <w:szCs w:val="23"/>
          <w:lang w:val="es-CL"/>
        </w:rPr>
        <w:t xml:space="preserve"> estudiantes de </w:t>
      </w:r>
      <w:r w:rsidR="00271BD5">
        <w:rPr>
          <w:szCs w:val="23"/>
          <w:lang w:val="es-CL"/>
        </w:rPr>
        <w:t>Contador Público y Auditor</w:t>
      </w:r>
      <w:r>
        <w:rPr>
          <w:szCs w:val="23"/>
          <w:lang w:val="es-CL"/>
        </w:rPr>
        <w:t xml:space="preserve"> de la Universidad del Bío-Bío el Programa Tutores </w:t>
      </w:r>
      <w:r>
        <w:rPr>
          <w:color w:val="auto"/>
          <w:szCs w:val="23"/>
          <w:lang w:val="es-CL"/>
        </w:rPr>
        <w:t>constituye un elemento que refuerza</w:t>
      </w:r>
      <w:r>
        <w:rPr>
          <w:color w:val="auto"/>
          <w:lang w:val="es-CL"/>
        </w:rPr>
        <w:t xml:space="preserve"> su inserción</w:t>
      </w:r>
      <w:r w:rsidR="00271BD5">
        <w:rPr>
          <w:color w:val="auto"/>
          <w:lang w:val="es-CL"/>
        </w:rPr>
        <w:t xml:space="preserve"> y permanencia</w:t>
      </w:r>
      <w:r>
        <w:rPr>
          <w:color w:val="auto"/>
          <w:lang w:val="es-CL"/>
        </w:rPr>
        <w:t xml:space="preserve">, no solo a la universidad y a su carrera, sino que también </w:t>
      </w:r>
      <w:r w:rsidR="00271BD5">
        <w:rPr>
          <w:color w:val="auto"/>
          <w:lang w:val="es-CL"/>
        </w:rPr>
        <w:t>a</w:t>
      </w:r>
      <w:r>
        <w:rPr>
          <w:color w:val="auto"/>
          <w:lang w:val="es-CL"/>
        </w:rPr>
        <w:t xml:space="preserve"> la construcción de capital social entre los</w:t>
      </w:r>
      <w:r w:rsidR="00271BD5">
        <w:rPr>
          <w:color w:val="auto"/>
          <w:lang w:val="es-CL"/>
        </w:rPr>
        <w:t>/as</w:t>
      </w:r>
      <w:r>
        <w:rPr>
          <w:color w:val="auto"/>
          <w:lang w:val="es-CL"/>
        </w:rPr>
        <w:t xml:space="preserve"> estudiantes, permitiéndoles desarrollar rápidamente relaciones sociales y académicas con estudiantes pares y con los</w:t>
      </w:r>
      <w:r w:rsidR="00271BD5">
        <w:rPr>
          <w:color w:val="auto"/>
          <w:lang w:val="es-CL"/>
        </w:rPr>
        <w:t>/as</w:t>
      </w:r>
      <w:r>
        <w:rPr>
          <w:color w:val="auto"/>
          <w:lang w:val="es-CL"/>
        </w:rPr>
        <w:t xml:space="preserve"> tutores</w:t>
      </w:r>
      <w:r w:rsidR="00271BD5">
        <w:rPr>
          <w:color w:val="auto"/>
          <w:lang w:val="es-CL"/>
        </w:rPr>
        <w:t>/as</w:t>
      </w:r>
      <w:r>
        <w:rPr>
          <w:color w:val="auto"/>
          <w:lang w:val="es-CL"/>
        </w:rPr>
        <w:t xml:space="preserve">. Estas habilidades </w:t>
      </w:r>
      <w:r w:rsidR="00271BD5">
        <w:rPr>
          <w:color w:val="auto"/>
          <w:lang w:val="es-CL"/>
        </w:rPr>
        <w:t>ayudan</w:t>
      </w:r>
      <w:r>
        <w:rPr>
          <w:color w:val="auto"/>
          <w:lang w:val="es-CL"/>
        </w:rPr>
        <w:t xml:space="preserve"> en el avance de su malla curricular y su</w:t>
      </w:r>
      <w:r>
        <w:rPr>
          <w:lang w:val="es-CL"/>
        </w:rPr>
        <w:t xml:space="preserve"> futuro quehacer profesional.</w:t>
      </w:r>
    </w:p>
    <w:p w14:paraId="03DCBFD4" w14:textId="77777777" w:rsidR="00BF183A" w:rsidRDefault="00BF183A" w:rsidP="00BF183A">
      <w:pPr>
        <w:pStyle w:val="Default"/>
        <w:jc w:val="both"/>
        <w:rPr>
          <w:sz w:val="23"/>
          <w:szCs w:val="23"/>
          <w:lang w:val="es-ES"/>
        </w:rPr>
      </w:pPr>
    </w:p>
    <w:p w14:paraId="46B7E0F6" w14:textId="4ED81B1A" w:rsidR="00BF183A" w:rsidRDefault="00BF183A" w:rsidP="00BF183A">
      <w:pPr>
        <w:pStyle w:val="Default"/>
        <w:jc w:val="both"/>
        <w:rPr>
          <w:szCs w:val="23"/>
          <w:lang w:val="es-CL"/>
        </w:rPr>
      </w:pPr>
      <w:r>
        <w:rPr>
          <w:szCs w:val="23"/>
          <w:lang w:val="es-CL"/>
        </w:rPr>
        <w:t>La Universidad del Bío-Bío aborda la problemática de retención de manera integral a través del Programa Tutores</w:t>
      </w:r>
      <w:r w:rsidR="00271BD5">
        <w:rPr>
          <w:szCs w:val="23"/>
          <w:lang w:val="es-CL"/>
        </w:rPr>
        <w:t xml:space="preserve"> y otras acciones de carácter institucional</w:t>
      </w:r>
      <w:r>
        <w:rPr>
          <w:szCs w:val="23"/>
          <w:lang w:val="es-CL"/>
        </w:rPr>
        <w:t>. El éxito de la estrategia se fundamenta especialmente en el</w:t>
      </w:r>
      <w:r w:rsidR="00271BD5">
        <w:rPr>
          <w:szCs w:val="23"/>
          <w:lang w:val="es-CL"/>
        </w:rPr>
        <w:t>/la</w:t>
      </w:r>
      <w:r>
        <w:rPr>
          <w:szCs w:val="23"/>
          <w:lang w:val="es-CL"/>
        </w:rPr>
        <w:t xml:space="preserve"> tutor</w:t>
      </w:r>
      <w:r w:rsidR="00271BD5">
        <w:rPr>
          <w:szCs w:val="23"/>
          <w:lang w:val="es-CL"/>
        </w:rPr>
        <w:t>/a</w:t>
      </w:r>
      <w:r>
        <w:rPr>
          <w:szCs w:val="23"/>
          <w:lang w:val="es-CL"/>
        </w:rPr>
        <w:t xml:space="preserve">, el cual es </w:t>
      </w:r>
      <w:r w:rsidR="00271BD5">
        <w:rPr>
          <w:szCs w:val="23"/>
          <w:lang w:val="es-CL"/>
        </w:rPr>
        <w:t>el eje central</w:t>
      </w:r>
      <w:r>
        <w:rPr>
          <w:szCs w:val="23"/>
          <w:lang w:val="es-CL"/>
        </w:rPr>
        <w:t xml:space="preserve"> del acompañamiento permanente </w:t>
      </w:r>
      <w:r w:rsidR="00271BD5">
        <w:rPr>
          <w:szCs w:val="23"/>
          <w:lang w:val="es-CL"/>
        </w:rPr>
        <w:t>hacia el/la</w:t>
      </w:r>
      <w:r>
        <w:rPr>
          <w:szCs w:val="23"/>
          <w:lang w:val="es-CL"/>
        </w:rPr>
        <w:t xml:space="preserve"> estudiante de primer año, cumpliendo con características y habilidades específicas y genéricas que le permiten contribuir al mejoramiento permanente del estudiante de primer año. La alta asistencia a las tutorías durante los años, dan cuenta de la alta valoración de los estudiantes de primer año a esta metodología de pares.</w:t>
      </w:r>
    </w:p>
    <w:p w14:paraId="173E1902" w14:textId="5C0C63D7" w:rsidR="00BF183A" w:rsidRDefault="00BF183A" w:rsidP="00BF183A">
      <w:pPr>
        <w:pStyle w:val="Default"/>
        <w:spacing w:before="240"/>
        <w:jc w:val="both"/>
        <w:rPr>
          <w:szCs w:val="23"/>
          <w:lang w:val="es-CL"/>
        </w:rPr>
      </w:pPr>
      <w:r>
        <w:rPr>
          <w:szCs w:val="23"/>
          <w:lang w:val="es-CL"/>
        </w:rPr>
        <w:t xml:space="preserve">Finalmente, </w:t>
      </w:r>
      <w:r w:rsidR="00271BD5">
        <w:rPr>
          <w:szCs w:val="23"/>
          <w:lang w:val="es-CL"/>
        </w:rPr>
        <w:t xml:space="preserve">la articulación efectiva entre el Programa Tutores, Director de Escuela y Tutores/as </w:t>
      </w:r>
      <w:r>
        <w:rPr>
          <w:szCs w:val="23"/>
          <w:lang w:val="es-CL"/>
        </w:rPr>
        <w:t>contribuyen de manera positiva en la retención de estudiantes de primer</w:t>
      </w:r>
      <w:r w:rsidR="00271BD5">
        <w:rPr>
          <w:szCs w:val="23"/>
          <w:lang w:val="es-CL"/>
        </w:rPr>
        <w:t xml:space="preserve"> año de la carrera</w:t>
      </w:r>
      <w:r>
        <w:rPr>
          <w:szCs w:val="23"/>
          <w:lang w:val="es-CL"/>
        </w:rPr>
        <w:t>, destacando que los</w:t>
      </w:r>
      <w:r w:rsidR="00271BD5">
        <w:rPr>
          <w:szCs w:val="23"/>
          <w:lang w:val="es-CL"/>
        </w:rPr>
        <w:t>/as</w:t>
      </w:r>
      <w:r>
        <w:rPr>
          <w:szCs w:val="23"/>
          <w:lang w:val="es-CL"/>
        </w:rPr>
        <w:t xml:space="preserve"> estudiantes que tienen una mayor adherencia al programa tienen una mayor retención, en comparación con los que tienen una menor adherencia. Siendo esto particularmente relevante en la carrera de </w:t>
      </w:r>
      <w:r w:rsidR="00271BD5">
        <w:rPr>
          <w:szCs w:val="23"/>
          <w:lang w:val="es-CL"/>
        </w:rPr>
        <w:t>Contador Público y Auditor</w:t>
      </w:r>
      <w:r>
        <w:rPr>
          <w:szCs w:val="23"/>
          <w:lang w:val="es-CL"/>
        </w:rPr>
        <w:t xml:space="preserve"> que tiene una alta asistencia al programa </w:t>
      </w:r>
      <w:r w:rsidR="00271BD5">
        <w:rPr>
          <w:szCs w:val="23"/>
          <w:lang w:val="es-CL"/>
        </w:rPr>
        <w:t xml:space="preserve">en comparación con las demás carreras de la universidad </w:t>
      </w:r>
      <w:r>
        <w:rPr>
          <w:szCs w:val="23"/>
          <w:lang w:val="es-CL"/>
        </w:rPr>
        <w:t xml:space="preserve">y una retención de primer año </w:t>
      </w:r>
      <w:r w:rsidR="00271BD5">
        <w:rPr>
          <w:szCs w:val="23"/>
          <w:lang w:val="es-CL"/>
        </w:rPr>
        <w:t>muy superior al promedio general, lo que en los últimos años la ha posicionado en el top 3 de carreras con mejores indicadores</w:t>
      </w:r>
      <w:r>
        <w:rPr>
          <w:szCs w:val="23"/>
          <w:lang w:val="es-CL"/>
        </w:rPr>
        <w:t>.</w:t>
      </w:r>
    </w:p>
    <w:p w14:paraId="459D5FC3" w14:textId="77777777" w:rsidR="0032155E" w:rsidRDefault="0032155E" w:rsidP="0032155E">
      <w:pPr>
        <w:ind w:leftChars="0" w:left="0" w:firstLineChars="0" w:firstLine="0"/>
        <w:rPr>
          <w:bCs/>
          <w:color w:val="000000"/>
          <w:sz w:val="24"/>
          <w:szCs w:val="24"/>
          <w:lang w:val="es-CL" w:eastAsia="x-none"/>
        </w:rPr>
      </w:pPr>
    </w:p>
    <w:p w14:paraId="1CDBD3DE" w14:textId="24A413EE" w:rsidR="00BF183A" w:rsidRDefault="00BF183A" w:rsidP="0032155E">
      <w:pPr>
        <w:ind w:leftChars="0" w:left="0" w:firstLineChars="0" w:firstLine="0"/>
        <w:rPr>
          <w:b/>
          <w:bCs/>
          <w:color w:val="000000"/>
          <w:sz w:val="24"/>
          <w:szCs w:val="24"/>
          <w:lang w:val="es-CL" w:eastAsia="x-none"/>
        </w:rPr>
      </w:pPr>
      <w:r>
        <w:rPr>
          <w:b/>
          <w:bCs/>
          <w:color w:val="000000"/>
          <w:sz w:val="24"/>
          <w:szCs w:val="24"/>
          <w:lang w:val="es-CL" w:eastAsia="x-none"/>
        </w:rPr>
        <w:t>Referencias</w:t>
      </w:r>
    </w:p>
    <w:sdt>
      <w:sdtPr>
        <w:id w:val="111145805"/>
        <w:bibliography/>
      </w:sdtPr>
      <w:sdtEndPr>
        <w:rPr>
          <w:sz w:val="18"/>
          <w:szCs w:val="18"/>
          <w:lang w:val="es-CL" w:eastAsia="es-CL"/>
        </w:rPr>
      </w:sdtEndPr>
      <w:sdtContent>
        <w:p w14:paraId="1C0C9EA4" w14:textId="77777777" w:rsidR="007B1390" w:rsidRDefault="00B64A0C" w:rsidP="00BC1C98">
          <w:pPr>
            <w:spacing w:line="240" w:lineRule="auto"/>
            <w:ind w:left="0" w:hanging="2"/>
            <w:textDirection w:val="lrTb"/>
            <w:rPr>
              <w:sz w:val="18"/>
              <w:szCs w:val="18"/>
              <w:lang w:val="es-CL" w:eastAsia="es-CL"/>
            </w:rPr>
          </w:pPr>
          <w:r w:rsidRPr="00CB6F29">
            <w:rPr>
              <w:sz w:val="18"/>
              <w:szCs w:val="18"/>
              <w:lang w:val="es-CL" w:eastAsia="es-CL"/>
            </w:rPr>
            <w:fldChar w:fldCharType="begin"/>
          </w:r>
          <w:r w:rsidRPr="00CB6F29">
            <w:rPr>
              <w:sz w:val="18"/>
              <w:szCs w:val="18"/>
              <w:lang w:val="es-CL" w:eastAsia="es-CL"/>
            </w:rPr>
            <w:instrText>BIBLIOGRAPHY</w:instrText>
          </w:r>
          <w:r w:rsidRPr="00CB6F29">
            <w:rPr>
              <w:sz w:val="18"/>
              <w:szCs w:val="18"/>
              <w:lang w:val="es-CL" w:eastAsia="es-CL"/>
            </w:rPr>
            <w:fldChar w:fldCharType="separate"/>
          </w:r>
          <w:r w:rsidRPr="00CB6F29">
            <w:rPr>
              <w:sz w:val="18"/>
              <w:szCs w:val="18"/>
              <w:lang w:val="es-CL" w:eastAsia="es-CL"/>
            </w:rPr>
            <w:t xml:space="preserve">Brito, J., Ferreiro, V., &amp; Garambullo, A. (2017). </w:t>
          </w:r>
          <w:r w:rsidRPr="00CB6F29">
            <w:rPr>
              <w:i/>
              <w:sz w:val="18"/>
              <w:szCs w:val="18"/>
              <w:lang w:val="es-CL" w:eastAsia="es-CL"/>
            </w:rPr>
            <w:t>Evaluación de la pertinencia y calidad del programa educativo de licenciatura en contaduría: estudio de empleadores y egresados</w:t>
          </w:r>
          <w:r w:rsidRPr="00CB6F29">
            <w:rPr>
              <w:sz w:val="18"/>
              <w:szCs w:val="18"/>
              <w:lang w:val="es-CL" w:eastAsia="es-CL"/>
            </w:rPr>
            <w:t>. RIDE. Revista Iberoamericana para la Investigación y el Desarrollo Educativo, 8(15), 311-337.</w:t>
          </w:r>
        </w:p>
        <w:p w14:paraId="6D6ED8F9" w14:textId="5E3B17CB" w:rsidR="00CB6F29" w:rsidRPr="00CB6F29" w:rsidRDefault="00CB6F29" w:rsidP="00BC1C98">
          <w:pPr>
            <w:spacing w:line="240" w:lineRule="auto"/>
            <w:ind w:left="0" w:hanging="2"/>
            <w:textDirection w:val="lrTb"/>
            <w:rPr>
              <w:sz w:val="18"/>
              <w:szCs w:val="18"/>
              <w:lang w:val="es-CL" w:eastAsia="es-CL"/>
            </w:rPr>
          </w:pPr>
          <w:r w:rsidRPr="00CB6F29">
            <w:rPr>
              <w:sz w:val="18"/>
              <w:szCs w:val="18"/>
              <w:lang w:val="es-CL" w:eastAsia="es-CL"/>
            </w:rPr>
            <w:t>Comisión Nacional de Acreditación. (2009).</w:t>
          </w:r>
          <w:r w:rsidRPr="00CB6F29">
            <w:rPr>
              <w:i/>
              <w:sz w:val="18"/>
              <w:szCs w:val="18"/>
              <w:lang w:val="es-CL" w:eastAsia="es-CL"/>
            </w:rPr>
            <w:t xml:space="preserve"> Criterios de evaluación carreras de Contabilidad y Auditoría. Recuperado</w:t>
          </w:r>
          <w:r w:rsidRPr="00CB6F29">
            <w:rPr>
              <w:sz w:val="18"/>
              <w:szCs w:val="18"/>
              <w:lang w:val="es-CL" w:eastAsia="es-CL"/>
            </w:rPr>
            <w:t xml:space="preserve"> el 16 de agosto de 2019 en https://www.cnachile.cl/</w:t>
          </w:r>
        </w:p>
        <w:p w14:paraId="5086A7B1" w14:textId="5777366F" w:rsidR="00CB6F29" w:rsidRPr="00CB6F29" w:rsidRDefault="00CB6F29" w:rsidP="00BC1C98">
          <w:pPr>
            <w:spacing w:line="240" w:lineRule="auto"/>
            <w:ind w:left="0" w:hanging="2"/>
            <w:rPr>
              <w:sz w:val="18"/>
              <w:szCs w:val="18"/>
              <w:lang w:val="es-CL" w:eastAsia="es-CL"/>
            </w:rPr>
          </w:pPr>
          <w:r w:rsidRPr="00CB6F29">
            <w:rPr>
              <w:sz w:val="18"/>
              <w:szCs w:val="18"/>
              <w:lang w:val="es-CL" w:eastAsia="es-CL"/>
            </w:rPr>
            <w:t xml:space="preserve">Consejo Nacional de Educación CNED (2019). </w:t>
          </w:r>
          <w:r w:rsidRPr="00CB6F29">
            <w:rPr>
              <w:i/>
              <w:sz w:val="18"/>
              <w:szCs w:val="18"/>
              <w:lang w:val="es-CL" w:eastAsia="es-CL"/>
            </w:rPr>
            <w:t>Indicadores de Retención y Duración</w:t>
          </w:r>
          <w:r w:rsidRPr="00CB6F29">
            <w:rPr>
              <w:sz w:val="18"/>
              <w:szCs w:val="18"/>
              <w:lang w:val="es-CL" w:eastAsia="es-CL"/>
            </w:rPr>
            <w:t>. Extraído el 16 de agosto de 2019. https://www.cned.cl/indices/ficha-institucional-comparada-anos-2007-2018</w:t>
          </w:r>
        </w:p>
        <w:p w14:paraId="58DC060B" w14:textId="514C108A" w:rsidR="00CB6F29" w:rsidRPr="00CB6F29" w:rsidRDefault="00CB6F29" w:rsidP="00BC1C98">
          <w:pPr>
            <w:spacing w:line="240" w:lineRule="auto"/>
            <w:ind w:left="0" w:hanging="2"/>
            <w:rPr>
              <w:sz w:val="18"/>
              <w:szCs w:val="18"/>
              <w:lang w:val="es-CL" w:eastAsia="es-CL"/>
            </w:rPr>
          </w:pPr>
          <w:r w:rsidRPr="00CB6F29">
            <w:rPr>
              <w:sz w:val="18"/>
              <w:szCs w:val="18"/>
              <w:lang w:val="es-CL" w:eastAsia="es-CL"/>
            </w:rPr>
            <w:t xml:space="preserve">Dirección General de Análisis Institucional Universidad del Bío-Bío. DGAI UBB (2021) </w:t>
          </w:r>
          <w:r w:rsidRPr="00CB6F29">
            <w:rPr>
              <w:i/>
              <w:sz w:val="18"/>
              <w:szCs w:val="18"/>
              <w:lang w:val="es-CL" w:eastAsia="es-CL"/>
            </w:rPr>
            <w:t xml:space="preserve">Cuestionario de Caracterización Admisión </w:t>
          </w:r>
          <w:r w:rsidRPr="00CB6F29">
            <w:rPr>
              <w:sz w:val="18"/>
              <w:szCs w:val="18"/>
              <w:lang w:val="es-CL" w:eastAsia="es-CL"/>
            </w:rPr>
            <w:t>Universidad del Bío-Bío. Aplicación Powerbi.</w:t>
          </w:r>
        </w:p>
        <w:p w14:paraId="0BE0BE8C" w14:textId="5B7A2E12" w:rsidR="00CB6F29" w:rsidRPr="00CB6F29" w:rsidRDefault="00CB6F29" w:rsidP="00BC1C98">
          <w:pPr>
            <w:spacing w:line="240" w:lineRule="auto"/>
            <w:ind w:left="0" w:hanging="2"/>
            <w:rPr>
              <w:sz w:val="18"/>
              <w:szCs w:val="18"/>
              <w:lang w:val="es-CL" w:eastAsia="es-CL"/>
            </w:rPr>
          </w:pPr>
          <w:r w:rsidRPr="00CB6F29">
            <w:rPr>
              <w:sz w:val="18"/>
              <w:szCs w:val="18"/>
              <w:lang w:val="es-CL" w:eastAsia="es-CL"/>
            </w:rPr>
            <w:t xml:space="preserve">División de Educación Superior, DIVESUP (2020). Recuperado en julio de 2020 de </w:t>
          </w:r>
          <w:hyperlink r:id="rId10" w:history="1">
            <w:r w:rsidRPr="00CB6F29">
              <w:rPr>
                <w:sz w:val="18"/>
                <w:szCs w:val="18"/>
                <w:lang w:val="es-CL" w:eastAsia="es-CL"/>
              </w:rPr>
              <w:t>https://divesup.mineduc.cl/</w:t>
            </w:r>
          </w:hyperlink>
        </w:p>
        <w:p w14:paraId="5FEA1F62" w14:textId="2CAD467B" w:rsidR="00B64A0C" w:rsidRPr="00CB6F29" w:rsidRDefault="00B64A0C" w:rsidP="00BC1C98">
          <w:pPr>
            <w:spacing w:line="240" w:lineRule="auto"/>
            <w:ind w:left="0" w:hanging="2"/>
            <w:textDirection w:val="lrTb"/>
            <w:rPr>
              <w:sz w:val="18"/>
              <w:szCs w:val="18"/>
              <w:lang w:val="es-CL" w:eastAsia="es-CL"/>
            </w:rPr>
          </w:pPr>
          <w:bookmarkStart w:id="2" w:name="_Hlk114126946"/>
          <w:r w:rsidRPr="00CB6F29">
            <w:rPr>
              <w:sz w:val="18"/>
              <w:szCs w:val="18"/>
              <w:lang w:val="es-CL" w:eastAsia="es-CL"/>
            </w:rPr>
            <w:t xml:space="preserve">Duarte, D. (2021). </w:t>
          </w:r>
          <w:r w:rsidRPr="00CB6F29">
            <w:rPr>
              <w:i/>
              <w:sz w:val="18"/>
              <w:szCs w:val="18"/>
              <w:lang w:val="es-CL" w:eastAsia="es-CL"/>
            </w:rPr>
            <w:t>Análisis comparativo del plan de estudios de contaduría pública de la FACEM-UNICAN con las normas internacionales de formación emitidas por la IFAC-año 2021</w:t>
          </w:r>
          <w:r w:rsidRPr="00CB6F29">
            <w:rPr>
              <w:sz w:val="18"/>
              <w:szCs w:val="18"/>
              <w:lang w:val="es-CL" w:eastAsia="es-CL"/>
            </w:rPr>
            <w:t>. Ciencia Latina Revista Multidisciplinar, 6(1), 3452-3464.</w:t>
          </w:r>
        </w:p>
        <w:bookmarkEnd w:id="2"/>
        <w:p w14:paraId="33C2EB9D" w14:textId="6A5A3F19" w:rsidR="00B64A0C" w:rsidRPr="00CB6F29" w:rsidRDefault="00B64A0C" w:rsidP="00BC1C98">
          <w:pPr>
            <w:spacing w:line="240" w:lineRule="auto"/>
            <w:ind w:left="0" w:hanging="2"/>
            <w:textDirection w:val="lrTb"/>
            <w:rPr>
              <w:sz w:val="18"/>
              <w:szCs w:val="18"/>
              <w:lang w:val="es-CL" w:eastAsia="es-CL"/>
            </w:rPr>
          </w:pPr>
          <w:r w:rsidRPr="00CB6F29">
            <w:rPr>
              <w:sz w:val="18"/>
              <w:szCs w:val="18"/>
              <w:lang w:val="es-CL" w:eastAsia="es-CL"/>
            </w:rPr>
            <w:t xml:space="preserve">Galvis, L. (23 de septiembre de 2009). . </w:t>
          </w:r>
          <w:r w:rsidRPr="00CB6F29">
            <w:rPr>
              <w:i/>
              <w:sz w:val="18"/>
              <w:szCs w:val="18"/>
              <w:lang w:val="es-CL" w:eastAsia="es-CL"/>
            </w:rPr>
            <w:t>Guía para la elaborción del plan de estudio y malla curricular de los colegios</w:t>
          </w:r>
          <w:r w:rsidRPr="00CB6F29">
            <w:rPr>
              <w:sz w:val="18"/>
              <w:szCs w:val="18"/>
              <w:lang w:val="es-CL" w:eastAsia="es-CL"/>
            </w:rPr>
            <w:t>. Medellín, Colombia.</w:t>
          </w:r>
        </w:p>
        <w:p w14:paraId="57D5A6EC" w14:textId="3E8C8F45" w:rsidR="00B64A0C" w:rsidRPr="00986C01" w:rsidRDefault="00B64A0C" w:rsidP="00BC1C98">
          <w:pPr>
            <w:spacing w:line="240" w:lineRule="auto"/>
            <w:ind w:left="0" w:hanging="2"/>
            <w:textDirection w:val="lrTb"/>
            <w:rPr>
              <w:sz w:val="18"/>
              <w:szCs w:val="18"/>
              <w:lang w:val="en-US" w:eastAsia="es-CL"/>
            </w:rPr>
          </w:pPr>
          <w:bookmarkStart w:id="3" w:name="_Hlk114126936"/>
          <w:r w:rsidRPr="00CB6F29">
            <w:rPr>
              <w:sz w:val="18"/>
              <w:szCs w:val="18"/>
              <w:lang w:val="es-CL" w:eastAsia="es-CL"/>
            </w:rPr>
            <w:t xml:space="preserve">La Paz, A., &amp; Armijos, J. C. (2020). </w:t>
          </w:r>
          <w:r w:rsidRPr="00CB6F29">
            <w:rPr>
              <w:i/>
              <w:sz w:val="18"/>
              <w:szCs w:val="18"/>
              <w:lang w:val="es-CL" w:eastAsia="es-CL"/>
            </w:rPr>
            <w:t>Características de la construcción curricular de las carreras universitarias de Contabilidad en Chile</w:t>
          </w:r>
          <w:r w:rsidRPr="00CB6F29">
            <w:rPr>
              <w:sz w:val="18"/>
              <w:szCs w:val="18"/>
              <w:lang w:val="es-CL" w:eastAsia="es-CL"/>
            </w:rPr>
            <w:t xml:space="preserve">. </w:t>
          </w:r>
          <w:r w:rsidRPr="00986C01">
            <w:rPr>
              <w:sz w:val="18"/>
              <w:szCs w:val="18"/>
              <w:lang w:val="en-US" w:eastAsia="es-CL"/>
            </w:rPr>
            <w:t>CAPIC REVIEW: Journal of Accounting, Auditing and Business Management, 18, 1-17.</w:t>
          </w:r>
        </w:p>
        <w:p w14:paraId="3A71911D" w14:textId="41D5D674" w:rsidR="00B64A0C" w:rsidRPr="00CB6F29" w:rsidRDefault="00B64A0C" w:rsidP="00BC1C98">
          <w:pPr>
            <w:spacing w:line="240" w:lineRule="auto"/>
            <w:ind w:left="0" w:hanging="2"/>
            <w:textDirection w:val="lrTb"/>
            <w:rPr>
              <w:sz w:val="18"/>
              <w:szCs w:val="18"/>
              <w:lang w:val="es-CL" w:eastAsia="es-CL"/>
            </w:rPr>
          </w:pPr>
          <w:bookmarkStart w:id="4" w:name="_Hlk114126902"/>
          <w:bookmarkEnd w:id="3"/>
          <w:r w:rsidRPr="00986C01">
            <w:rPr>
              <w:sz w:val="18"/>
              <w:szCs w:val="18"/>
              <w:lang w:val="en-US" w:eastAsia="es-CL"/>
            </w:rPr>
            <w:t xml:space="preserve">Salvioni, T. (2020). </w:t>
          </w:r>
          <w:r w:rsidRPr="00CB6F29">
            <w:rPr>
              <w:i/>
              <w:sz w:val="18"/>
              <w:szCs w:val="18"/>
              <w:lang w:val="es-CL" w:eastAsia="es-CL"/>
            </w:rPr>
            <w:t>Contaduría pública: semejanzas y diferencias entre las mallas curriculares de la Universidad Nacional de Asunción y de la Universidad Nacional Autónoma de México</w:t>
          </w:r>
          <w:r w:rsidRPr="00CB6F29">
            <w:rPr>
              <w:sz w:val="18"/>
              <w:szCs w:val="18"/>
              <w:lang w:val="es-CL" w:eastAsia="es-CL"/>
            </w:rPr>
            <w:t>. Población y Desarrollo, 26(50), 96-105.</w:t>
          </w:r>
        </w:p>
        <w:p w14:paraId="589D2657" w14:textId="77777777" w:rsidR="00573234" w:rsidRPr="00CB6F29" w:rsidRDefault="00CB6F29" w:rsidP="00BC1C98">
          <w:pPr>
            <w:spacing w:line="240" w:lineRule="auto"/>
            <w:ind w:left="0" w:hanging="2"/>
            <w:rPr>
              <w:sz w:val="18"/>
              <w:szCs w:val="18"/>
              <w:lang w:val="es-CL" w:eastAsia="es-CL"/>
            </w:rPr>
          </w:pPr>
          <w:r w:rsidRPr="00CB6F29">
            <w:rPr>
              <w:sz w:val="18"/>
              <w:szCs w:val="18"/>
              <w:lang w:val="es-CL" w:eastAsia="es-CL"/>
            </w:rPr>
            <w:t xml:space="preserve">Tinto, V. (1989). </w:t>
          </w:r>
          <w:r w:rsidRPr="00CB6F29">
            <w:rPr>
              <w:i/>
              <w:sz w:val="18"/>
              <w:szCs w:val="18"/>
              <w:lang w:val="es-CL" w:eastAsia="es-CL"/>
            </w:rPr>
            <w:t>Definir la Deserción: Una Cuestión de Perspectiva. Revista de la Educación Superio</w:t>
          </w:r>
          <w:r w:rsidRPr="00CB6F29">
            <w:rPr>
              <w:sz w:val="18"/>
              <w:szCs w:val="18"/>
              <w:lang w:val="es-CL" w:eastAsia="es-CL"/>
            </w:rPr>
            <w:t>r, Nº71. p. 33-51.</w:t>
          </w:r>
          <w:bookmarkEnd w:id="4"/>
          <w:r w:rsidR="00B64A0C" w:rsidRPr="00CB6F29">
            <w:rPr>
              <w:sz w:val="18"/>
              <w:szCs w:val="18"/>
              <w:lang w:val="es-CL" w:eastAsia="es-CL"/>
            </w:rPr>
            <w:fldChar w:fldCharType="end"/>
          </w:r>
        </w:p>
      </w:sdtContent>
    </w:sdt>
    <w:p w14:paraId="05BF23D1" w14:textId="46291065" w:rsidR="00BD04DB" w:rsidRPr="00CB6F29" w:rsidRDefault="00BF183A" w:rsidP="00BC1C98">
      <w:pPr>
        <w:spacing w:line="240" w:lineRule="auto"/>
        <w:ind w:left="0" w:hanging="2"/>
        <w:rPr>
          <w:sz w:val="18"/>
          <w:szCs w:val="18"/>
          <w:lang w:val="es-CL" w:eastAsia="es-CL"/>
        </w:rPr>
      </w:pPr>
      <w:r w:rsidRPr="00CB6F29">
        <w:rPr>
          <w:sz w:val="18"/>
          <w:szCs w:val="18"/>
          <w:lang w:val="es-CL" w:eastAsia="es-CL"/>
        </w:rPr>
        <w:t xml:space="preserve">Zandomeni, N., Canale, S., Nessier, A., Pagura, F., &amp; Pacífico, A. (2016). </w:t>
      </w:r>
      <w:r w:rsidRPr="00CB6F29">
        <w:rPr>
          <w:i/>
          <w:sz w:val="18"/>
          <w:szCs w:val="18"/>
          <w:lang w:val="es-CL" w:eastAsia="es-CL"/>
        </w:rPr>
        <w:t>Abandono en los estudios universitarios: el caso de la facultad de ciencias económicas de la Universidad Nacional del Litoral. Congresos CLABES</w:t>
      </w:r>
      <w:r w:rsidRPr="00CB6F29">
        <w:rPr>
          <w:sz w:val="18"/>
          <w:szCs w:val="18"/>
          <w:lang w:val="es-CL" w:eastAsia="es-CL"/>
        </w:rPr>
        <w:t>. Recuperado a partir de https://revistas.utp.ac.pa/index.php/clabes/article/view/874</w:t>
      </w:r>
      <w:r w:rsidR="00CB6F29" w:rsidRPr="00CB6F29">
        <w:rPr>
          <w:sz w:val="18"/>
          <w:szCs w:val="18"/>
          <w:lang w:val="es-CL" w:eastAsia="es-CL"/>
        </w:rPr>
        <w:t>.</w:t>
      </w:r>
    </w:p>
    <w:sectPr w:rsidR="00BD04DB" w:rsidRPr="00CB6F29" w:rsidSect="002F2D75">
      <w:headerReference w:type="even" r:id="rId11"/>
      <w:headerReference w:type="default" r:id="rId12"/>
      <w:footerReference w:type="even" r:id="rId13"/>
      <w:footerReference w:type="default" r:id="rId14"/>
      <w:headerReference w:type="first" r:id="rId15"/>
      <w:footerReference w:type="first" r:id="rId16"/>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7864" w14:textId="77777777" w:rsidR="00E4505F" w:rsidRDefault="00E4505F">
      <w:pPr>
        <w:spacing w:after="0" w:line="240" w:lineRule="auto"/>
        <w:ind w:left="0" w:hanging="2"/>
      </w:pPr>
      <w:r>
        <w:separator/>
      </w:r>
    </w:p>
  </w:endnote>
  <w:endnote w:type="continuationSeparator" w:id="0">
    <w:p w14:paraId="7E190029" w14:textId="77777777" w:rsidR="00E4505F" w:rsidRDefault="00E450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lang w:val="en-US" w:eastAsia="en-US"/>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lang w:val="en-US" w:eastAsia="en-US"/>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A0BD" w14:textId="77777777" w:rsidR="00E4505F" w:rsidRDefault="00E4505F">
      <w:pPr>
        <w:spacing w:after="0" w:line="240" w:lineRule="auto"/>
        <w:ind w:left="0" w:hanging="2"/>
      </w:pPr>
      <w:r>
        <w:separator/>
      </w:r>
    </w:p>
  </w:footnote>
  <w:footnote w:type="continuationSeparator" w:id="0">
    <w:p w14:paraId="01A3304B" w14:textId="77777777" w:rsidR="00E4505F" w:rsidRDefault="00E4505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lang w:val="en-US" w:eastAsia="en-US"/>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337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CL" w:vendorID="64" w:dllVersion="6" w:nlCheck="1" w:checkStyle="0"/>
  <w:activeWritingStyle w:appName="MSWord" w:lang="es-ES"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0B51"/>
    <w:rsid w:val="0002308D"/>
    <w:rsid w:val="00024F4D"/>
    <w:rsid w:val="000F5F58"/>
    <w:rsid w:val="001255FD"/>
    <w:rsid w:val="00177CB2"/>
    <w:rsid w:val="002077E7"/>
    <w:rsid w:val="00270301"/>
    <w:rsid w:val="00271BD5"/>
    <w:rsid w:val="002839EF"/>
    <w:rsid w:val="002A3A45"/>
    <w:rsid w:val="002B3F7C"/>
    <w:rsid w:val="002F2D75"/>
    <w:rsid w:val="0032155E"/>
    <w:rsid w:val="00356464"/>
    <w:rsid w:val="00360E43"/>
    <w:rsid w:val="003D237B"/>
    <w:rsid w:val="004B053A"/>
    <w:rsid w:val="004B3F81"/>
    <w:rsid w:val="00553B8E"/>
    <w:rsid w:val="00573234"/>
    <w:rsid w:val="00574B39"/>
    <w:rsid w:val="00586D77"/>
    <w:rsid w:val="006A77D9"/>
    <w:rsid w:val="00713DC0"/>
    <w:rsid w:val="007777FB"/>
    <w:rsid w:val="007A00F2"/>
    <w:rsid w:val="007B1390"/>
    <w:rsid w:val="007D0177"/>
    <w:rsid w:val="007E5704"/>
    <w:rsid w:val="007F4321"/>
    <w:rsid w:val="00885037"/>
    <w:rsid w:val="008E0BA9"/>
    <w:rsid w:val="00986C01"/>
    <w:rsid w:val="00A83462"/>
    <w:rsid w:val="00AD353A"/>
    <w:rsid w:val="00AF2B4C"/>
    <w:rsid w:val="00AF5E0D"/>
    <w:rsid w:val="00B20143"/>
    <w:rsid w:val="00B50F77"/>
    <w:rsid w:val="00B64A0C"/>
    <w:rsid w:val="00BC1C98"/>
    <w:rsid w:val="00BD04DB"/>
    <w:rsid w:val="00BF183A"/>
    <w:rsid w:val="00C637C2"/>
    <w:rsid w:val="00CB6F29"/>
    <w:rsid w:val="00D56F2D"/>
    <w:rsid w:val="00E16D18"/>
    <w:rsid w:val="00E23B2E"/>
    <w:rsid w:val="00E33626"/>
    <w:rsid w:val="00E4505F"/>
    <w:rsid w:val="00E955E4"/>
    <w:rsid w:val="00EA0AEC"/>
    <w:rsid w:val="00ED461F"/>
    <w:rsid w:val="00EF610E"/>
    <w:rsid w:val="00F612EC"/>
    <w:rsid w:val="00F93AE3"/>
    <w:rsid w:val="00FF5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1">
    <w:name w:val="Tabla de cuadrícula 1 clara1"/>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1">
    <w:name w:val="Tabla de cuadrícula 1 clara - Énfasis 1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1">
    <w:name w:val="Tabla de cuadrícula 1 Claro - Énfasis 21"/>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1">
    <w:name w:val="Tabla de cuadrícula 1 clara - Énfasis 31"/>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1">
    <w:name w:val="Tabla de cuadrícula 1 clara - Énfasis 41"/>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1">
    <w:name w:val="Tabla de cuadrícula 1 clara - Énfasis 51"/>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1">
    <w:name w:val="Tabla de cuadrícula 1 clara - Énfasis 61"/>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1">
    <w:name w:val="Tabla de cuadrícula 2 - Énfasis 1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1">
    <w:name w:val="Tabla de cuadrícula 2 - Énfasis 21"/>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1">
    <w:name w:val="Tabla de cuadrícula 2 - Énfasis 31"/>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1">
    <w:name w:val="Tabla de cuadrícula 2 - Énfasis 41"/>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1">
    <w:name w:val="Tabla de cuadrícula 2 - Énfasis 51"/>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1">
    <w:name w:val="Tabla de cuadrícula 2 - Énfasis 61"/>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1">
    <w:name w:val="Tabla de cuadrícula 3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1">
    <w:name w:val="Tabla de cuadrícula 3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1">
    <w:name w:val="Tabla de cuadrícula 3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1">
    <w:name w:val="Tabla de cuadrícula 3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1">
    <w:name w:val="Tabla de cuadrícula 3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1">
    <w:name w:val="Tabla de cuadrícula 3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1">
    <w:name w:val="Tabla de cuadrícul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1">
    <w:name w:val="Tabla de cuadrícul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1">
    <w:name w:val="Tabla de cuadrícul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1">
    <w:name w:val="Tabla de cuadrícul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1">
    <w:name w:val="Tabla de cuadrícul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1">
    <w:name w:val="Tabla de cuadrícul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1">
    <w:name w:val="Tabla de cuadrícula 5 oscura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1">
    <w:name w:val="Tabla de cuadrícula 5 oscura - Énfasis 1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1">
    <w:name w:val="Tabla de cuadrícula 5 oscura - Énfasis 2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1">
    <w:name w:val="Tabla de cuadrícula 5 oscura - Énfasis 3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1">
    <w:name w:val="Tabla de cuadrícula 5 oscura - Énfasis 4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1">
    <w:name w:val="Tabla de cuadrícula 5 oscura - Énfasis 5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1">
    <w:name w:val="Tabla de cuadrícula 5 oscura - Énfasis 6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1">
    <w:name w:val="Tabla de cuadrícula 6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1">
    <w:name w:val="Tabla de cuadrícula 6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1">
    <w:name w:val="Tabla de cuadrícula 6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1">
    <w:name w:val="Tabla de cuadrícula 6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1">
    <w:name w:val="Tabla de cuadrícula 6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1">
    <w:name w:val="Tabla de cuadrícula 6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1">
    <w:name w:val="Tabla de cuadrícula 6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1">
    <w:name w:val="Tabla de cuadrícula 7 con colores1"/>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1">
    <w:name w:val="Tabla de cuadrícula 7 con colores - Énfasis 1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1">
    <w:name w:val="Tabla de cuadrícula 7 con colores - Énfasis 21"/>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1">
    <w:name w:val="Tabla de cuadrícula 7 con colores - Énfasis 31"/>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1">
    <w:name w:val="Tabla de cuadrícula 7 con colores - Énfasis 41"/>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1">
    <w:name w:val="Tabla de cuadrícula 7 con colores - Énfasis 51"/>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1">
    <w:name w:val="Tabla de cuadrícula 7 con colores - Énfasis 61"/>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1">
    <w:name w:val="Tabla con cuadrícula 21"/>
    <w:basedOn w:val="Tablanormal1"/>
    <w:qFormat/>
    <w:tblPr>
      <w:tblBorders>
        <w:insideH w:val="single" w:sz="6" w:space="0" w:color="000000"/>
        <w:insideV w:val="single" w:sz="6" w:space="0" w:color="000000"/>
      </w:tblBorders>
    </w:tblPr>
  </w:style>
  <w:style w:type="table" w:customStyle="1" w:styleId="Tablaconcuadrcula31">
    <w:name w:val="Tabla con cuadrícula 31"/>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1">
    <w:name w:val="Tabla con cuadrícula 41"/>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1">
    <w:name w:val="Cuadrícula de tabla clara1"/>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customStyle="1" w:styleId="Mencinsinresolver1">
    <w:name w:val="Mención sin resolver1"/>
    <w:basedOn w:val="Fontepargpadro"/>
    <w:uiPriority w:val="99"/>
    <w:semiHidden/>
    <w:unhideWhenUsed/>
    <w:rsid w:val="00AF5E0D"/>
    <w:rPr>
      <w:color w:val="605E5C"/>
      <w:shd w:val="clear" w:color="auto" w:fill="E1DFDD"/>
    </w:rPr>
  </w:style>
  <w:style w:type="paragraph" w:customStyle="1" w:styleId="Default">
    <w:name w:val="Default"/>
    <w:rsid w:val="00BF183A"/>
    <w:pPr>
      <w:autoSpaceDE w:val="0"/>
      <w:autoSpaceDN w:val="0"/>
      <w:adjustRightInd w:val="0"/>
      <w:spacing w:after="0"/>
      <w:jc w:val="left"/>
    </w:pPr>
    <w:rPr>
      <w:color w:val="000000"/>
      <w:sz w:val="24"/>
      <w:szCs w:val="24"/>
      <w:lang w:val="en-US" w:eastAsia="en-US"/>
    </w:rPr>
  </w:style>
  <w:style w:type="table" w:styleId="Tabelacomgrade">
    <w:name w:val="Table Grid"/>
    <w:basedOn w:val="Tabelanormal"/>
    <w:uiPriority w:val="39"/>
    <w:rsid w:val="007F43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64A0C"/>
    <w:rPr>
      <w:color w:val="605E5C"/>
      <w:shd w:val="clear" w:color="auto" w:fill="E1DFDD"/>
    </w:rPr>
  </w:style>
  <w:style w:type="paragraph" w:styleId="Bibliografia">
    <w:name w:val="Bibliography"/>
    <w:basedOn w:val="Normal"/>
    <w:next w:val="Normal"/>
    <w:uiPriority w:val="37"/>
    <w:unhideWhenUsed/>
    <w:rsid w:val="00B64A0C"/>
    <w:pPr>
      <w:suppressAutoHyphens w:val="0"/>
      <w:spacing w:after="160" w:line="259" w:lineRule="auto"/>
      <w:ind w:leftChars="0" w:left="0" w:firstLineChars="0" w:firstLine="0"/>
      <w:jc w:val="left"/>
      <w:textDirection w:val="lrTb"/>
      <w:textAlignment w:val="auto"/>
      <w:outlineLvl w:val="9"/>
    </w:pPr>
    <w:rPr>
      <w:rFonts w:asciiTheme="minorHAnsi" w:eastAsiaTheme="minorHAnsi" w:hAnsiTheme="minorHAnsi" w:cstheme="minorBidi"/>
      <w:position w:val="0"/>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45694">
      <w:bodyDiv w:val="1"/>
      <w:marLeft w:val="0"/>
      <w:marRight w:val="0"/>
      <w:marTop w:val="0"/>
      <w:marBottom w:val="0"/>
      <w:divBdr>
        <w:top w:val="none" w:sz="0" w:space="0" w:color="auto"/>
        <w:left w:val="none" w:sz="0" w:space="0" w:color="auto"/>
        <w:bottom w:val="none" w:sz="0" w:space="0" w:color="auto"/>
        <w:right w:val="none" w:sz="0" w:space="0" w:color="auto"/>
      </w:divBdr>
    </w:div>
    <w:div w:id="140764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ivesup.mineduc.cl/"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bb\Downloads\Clabes%202022\CPA\Retenci&#243;n%20Comparativa%20(70-30)%20(CP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CL"/>
              <a:t>Retención Comparativa</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lineChart>
        <c:grouping val="standard"/>
        <c:varyColors val="0"/>
        <c:ser>
          <c:idx val="0"/>
          <c:order val="0"/>
          <c:tx>
            <c:strRef>
              <c:f>'informe vra'!$B$5</c:f>
              <c:strCache>
                <c:ptCount val="1"/>
                <c:pt idx="0">
                  <c:v>Total Admisión</c:v>
                </c:pt>
              </c:strCache>
            </c:strRef>
          </c:tx>
          <c:spPr>
            <a:ln w="28575" cap="rnd">
              <a:solidFill>
                <a:srgbClr val="0000CC"/>
              </a:solidFill>
              <a:round/>
            </a:ln>
            <a:effectLst/>
          </c:spPr>
          <c:marker>
            <c:symbol val="none"/>
          </c:marker>
          <c:dLbls>
            <c:dLbl>
              <c:idx val="0"/>
              <c:layout>
                <c:manualLayout>
                  <c:x val="-2.4978600887090613E-2"/>
                  <c:y val="-2.01761005306647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DD-424B-84AA-006D406C08D3}"/>
                </c:ext>
              </c:extLst>
            </c:dLbl>
            <c:dLbl>
              <c:idx val="1"/>
              <c:layout>
                <c:manualLayout>
                  <c:x val="-2.8468684291610667E-2"/>
                  <c:y val="-3.21220042369577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DD-424B-84AA-006D406C08D3}"/>
                </c:ext>
              </c:extLst>
            </c:dLbl>
            <c:dLbl>
              <c:idx val="2"/>
              <c:layout>
                <c:manualLayout>
                  <c:x val="-1.0016759287788904E-2"/>
                  <c:y val="2.7196215980868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DD-424B-84AA-006D406C08D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'informe vra'!$A$10:$A$15</c:f>
              <c:numCache>
                <c:formatCode>General</c:formatCode>
                <c:ptCount val="6"/>
                <c:pt idx="0">
                  <c:v>2016</c:v>
                </c:pt>
                <c:pt idx="1">
                  <c:v>2017</c:v>
                </c:pt>
                <c:pt idx="2">
                  <c:v>2018</c:v>
                </c:pt>
                <c:pt idx="3">
                  <c:v>2019</c:v>
                </c:pt>
                <c:pt idx="4">
                  <c:v>2020</c:v>
                </c:pt>
                <c:pt idx="5">
                  <c:v>2021</c:v>
                </c:pt>
              </c:numCache>
            </c:numRef>
          </c:cat>
          <c:val>
            <c:numRef>
              <c:f>'informe vra'!$B$10:$B$15</c:f>
              <c:numCache>
                <c:formatCode>0%</c:formatCode>
                <c:ptCount val="6"/>
                <c:pt idx="0">
                  <c:v>0.85</c:v>
                </c:pt>
                <c:pt idx="1">
                  <c:v>0.84</c:v>
                </c:pt>
                <c:pt idx="2">
                  <c:v>0.82</c:v>
                </c:pt>
                <c:pt idx="3">
                  <c:v>0.81</c:v>
                </c:pt>
                <c:pt idx="4">
                  <c:v>0.879</c:v>
                </c:pt>
                <c:pt idx="5">
                  <c:v>0.84</c:v>
                </c:pt>
              </c:numCache>
            </c:numRef>
          </c:val>
          <c:smooth val="0"/>
          <c:extLst>
            <c:ext xmlns:c16="http://schemas.microsoft.com/office/drawing/2014/chart" uri="{C3380CC4-5D6E-409C-BE32-E72D297353CC}">
              <c16:uniqueId val="{00000003-2EDD-424B-84AA-006D406C08D3}"/>
            </c:ext>
          </c:extLst>
        </c:ser>
        <c:ser>
          <c:idx val="1"/>
          <c:order val="1"/>
          <c:tx>
            <c:strRef>
              <c:f>'informe vra'!$C$5</c:f>
              <c:strCache>
                <c:ptCount val="1"/>
                <c:pt idx="0">
                  <c:v>Tutores</c:v>
                </c:pt>
              </c:strCache>
            </c:strRef>
          </c:tx>
          <c:spPr>
            <a:ln w="57150" cap="rnd">
              <a:solidFill>
                <a:srgbClr val="00B050"/>
              </a:solidFill>
              <a:round/>
            </a:ln>
            <a:effectLst/>
          </c:spPr>
          <c:marker>
            <c:symbol val="none"/>
          </c:marker>
          <c:dLbls>
            <c:dLbl>
              <c:idx val="0"/>
              <c:layout>
                <c:manualLayout>
                  <c:x val="-1.8840402491818554E-2"/>
                  <c:y val="2.6376995363732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DD-424B-84AA-006D406C08D3}"/>
                </c:ext>
              </c:extLst>
            </c:dLbl>
            <c:dLbl>
              <c:idx val="1"/>
              <c:layout>
                <c:manualLayout>
                  <c:x val="-2.8468684291610667E-2"/>
                  <c:y val="3.21222073120012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DD-424B-84AA-006D406C08D3}"/>
                </c:ext>
              </c:extLst>
            </c:dLbl>
            <c:dLbl>
              <c:idx val="2"/>
              <c:delete val="1"/>
              <c:extLst>
                <c:ext xmlns:c15="http://schemas.microsoft.com/office/drawing/2012/chart" uri="{CE6537A1-D6FC-4f65-9D91-7224C49458BB}"/>
                <c:ext xmlns:c16="http://schemas.microsoft.com/office/drawing/2014/chart" uri="{C3380CC4-5D6E-409C-BE32-E72D297353CC}">
                  <c16:uniqueId val="{00000006-2EDD-424B-84AA-006D406C08D3}"/>
                </c:ext>
              </c:extLst>
            </c:dLbl>
            <c:dLbl>
              <c:idx val="5"/>
              <c:layout>
                <c:manualLayout>
                  <c:x val="4.6737621849556391E-3"/>
                  <c:y val="2.44338797272982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EDD-424B-84AA-006D406C08D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'informe vra'!$A$10:$A$15</c:f>
              <c:numCache>
                <c:formatCode>General</c:formatCode>
                <c:ptCount val="6"/>
                <c:pt idx="0">
                  <c:v>2016</c:v>
                </c:pt>
                <c:pt idx="1">
                  <c:v>2017</c:v>
                </c:pt>
                <c:pt idx="2">
                  <c:v>2018</c:v>
                </c:pt>
                <c:pt idx="3">
                  <c:v>2019</c:v>
                </c:pt>
                <c:pt idx="4">
                  <c:v>2020</c:v>
                </c:pt>
                <c:pt idx="5">
                  <c:v>2021</c:v>
                </c:pt>
              </c:numCache>
            </c:numRef>
          </c:cat>
          <c:val>
            <c:numRef>
              <c:f>'informe vra'!$C$10:$C$15</c:f>
              <c:numCache>
                <c:formatCode>0%</c:formatCode>
                <c:ptCount val="6"/>
                <c:pt idx="0">
                  <c:v>0.84</c:v>
                </c:pt>
                <c:pt idx="1">
                  <c:v>0.83</c:v>
                </c:pt>
                <c:pt idx="2">
                  <c:v>0.82</c:v>
                </c:pt>
                <c:pt idx="3">
                  <c:v>0.81</c:v>
                </c:pt>
                <c:pt idx="4">
                  <c:v>0.87400000000000011</c:v>
                </c:pt>
                <c:pt idx="5">
                  <c:v>0.84</c:v>
                </c:pt>
              </c:numCache>
            </c:numRef>
          </c:val>
          <c:smooth val="0"/>
          <c:extLst>
            <c:ext xmlns:c16="http://schemas.microsoft.com/office/drawing/2014/chart" uri="{C3380CC4-5D6E-409C-BE32-E72D297353CC}">
              <c16:uniqueId val="{00000007-2EDD-424B-84AA-006D406C08D3}"/>
            </c:ext>
          </c:extLst>
        </c:ser>
        <c:ser>
          <c:idx val="2"/>
          <c:order val="2"/>
          <c:tx>
            <c:strRef>
              <c:f>'informe vra'!$D$5</c:f>
              <c:strCache>
                <c:ptCount val="1"/>
                <c:pt idx="0">
                  <c:v>CPA</c:v>
                </c:pt>
              </c:strCache>
            </c:strRef>
          </c:tx>
          <c:spPr>
            <a:ln w="28575" cap="rnd">
              <a:solidFill>
                <a:srgbClr val="FFC000"/>
              </a:solidFill>
              <a:round/>
            </a:ln>
            <a:effectLst/>
          </c:spPr>
          <c:marker>
            <c:symbol val="none"/>
          </c:marker>
          <c:dLbls>
            <c:dLbl>
              <c:idx val="0"/>
              <c:layout>
                <c:manualLayout>
                  <c:x val="5.2719785725204753E-4"/>
                  <c:y val="-4.2670331223519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DD-424B-84AA-006D406C08D3}"/>
                </c:ext>
              </c:extLst>
            </c:dLbl>
            <c:dLbl>
              <c:idx val="2"/>
              <c:layout>
                <c:manualLayout>
                  <c:x val="-7.3807700015286661E-3"/>
                  <c:y val="6.331676782511502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DD-424B-84AA-006D406C08D3}"/>
                </c:ext>
              </c:extLst>
            </c:dLbl>
            <c:dLbl>
              <c:idx val="5"/>
              <c:layout>
                <c:manualLayout>
                  <c:x val="-1.6075278171927856E-2"/>
                  <c:y val="-1.33019693293055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EDD-424B-84AA-006D406C08D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'informe vra'!$A$10:$A$15</c:f>
              <c:numCache>
                <c:formatCode>General</c:formatCode>
                <c:ptCount val="6"/>
                <c:pt idx="0">
                  <c:v>2016</c:v>
                </c:pt>
                <c:pt idx="1">
                  <c:v>2017</c:v>
                </c:pt>
                <c:pt idx="2">
                  <c:v>2018</c:v>
                </c:pt>
                <c:pt idx="3">
                  <c:v>2019</c:v>
                </c:pt>
                <c:pt idx="4">
                  <c:v>2020</c:v>
                </c:pt>
                <c:pt idx="5">
                  <c:v>2021</c:v>
                </c:pt>
              </c:numCache>
            </c:numRef>
          </c:cat>
          <c:val>
            <c:numRef>
              <c:f>'informe vra'!$D$10:$D$15</c:f>
              <c:numCache>
                <c:formatCode>0%</c:formatCode>
                <c:ptCount val="6"/>
                <c:pt idx="0">
                  <c:v>0.89230769230769236</c:v>
                </c:pt>
                <c:pt idx="1">
                  <c:v>0.91935483870967738</c:v>
                </c:pt>
                <c:pt idx="2">
                  <c:v>0.90140845070422537</c:v>
                </c:pt>
                <c:pt idx="3">
                  <c:v>0.90140845070422537</c:v>
                </c:pt>
                <c:pt idx="4">
                  <c:v>0.90909090909090906</c:v>
                </c:pt>
                <c:pt idx="5">
                  <c:v>0.88461538461538458</c:v>
                </c:pt>
              </c:numCache>
            </c:numRef>
          </c:val>
          <c:smooth val="0"/>
          <c:extLst>
            <c:ext xmlns:c16="http://schemas.microsoft.com/office/drawing/2014/chart" uri="{C3380CC4-5D6E-409C-BE32-E72D297353CC}">
              <c16:uniqueId val="{0000000A-2EDD-424B-84AA-006D406C08D3}"/>
            </c:ext>
          </c:extLst>
        </c:ser>
        <c:ser>
          <c:idx val="3"/>
          <c:order val="3"/>
          <c:tx>
            <c:strRef>
              <c:f>'informe vra'!$E$5</c:f>
              <c:strCache>
                <c:ptCount val="1"/>
                <c:pt idx="0">
                  <c:v>&lt; 70% Asistencia PT</c:v>
                </c:pt>
              </c:strCache>
            </c:strRef>
          </c:tx>
          <c:spPr>
            <a:ln w="28575" cap="rnd">
              <a:solidFill>
                <a:srgbClr val="FFFF00"/>
              </a:solidFill>
              <a:round/>
            </a:ln>
            <a:effectLst/>
          </c:spPr>
          <c:marker>
            <c:symbol val="none"/>
          </c:marker>
          <c:dLbls>
            <c:dLbl>
              <c:idx val="0"/>
              <c:layout>
                <c:manualLayout>
                  <c:x val="-4.3757422151919953E-2"/>
                  <c:y val="-4.12648488471836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DD-424B-84AA-006D406C08D3}"/>
                </c:ext>
              </c:extLst>
            </c:dLbl>
            <c:dLbl>
              <c:idx val="1"/>
              <c:layout>
                <c:manualLayout>
                  <c:x val="-2.9259481077488641E-2"/>
                  <c:y val="-2.3211477476540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EDD-424B-84AA-006D406C08D3}"/>
                </c:ext>
              </c:extLst>
            </c:dLbl>
            <c:dLbl>
              <c:idx val="2"/>
              <c:layout>
                <c:manualLayout>
                  <c:x val="-2.1803291524307992E-2"/>
                  <c:y val="-4.17583882360724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DD-424B-84AA-006D406C08D3}"/>
                </c:ext>
              </c:extLst>
            </c:dLbl>
            <c:dLbl>
              <c:idx val="5"/>
              <c:layout>
                <c:manualLayout>
                  <c:x val="-1.3476420022660566E-2"/>
                  <c:y val="-1.6771488469601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EDD-424B-84AA-006D406C08D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'informe vra'!$A$10:$A$15</c:f>
              <c:numCache>
                <c:formatCode>General</c:formatCode>
                <c:ptCount val="6"/>
                <c:pt idx="0">
                  <c:v>2016</c:v>
                </c:pt>
                <c:pt idx="1">
                  <c:v>2017</c:v>
                </c:pt>
                <c:pt idx="2">
                  <c:v>2018</c:v>
                </c:pt>
                <c:pt idx="3">
                  <c:v>2019</c:v>
                </c:pt>
                <c:pt idx="4">
                  <c:v>2020</c:v>
                </c:pt>
                <c:pt idx="5">
                  <c:v>2021</c:v>
                </c:pt>
              </c:numCache>
            </c:numRef>
          </c:cat>
          <c:val>
            <c:numRef>
              <c:f>'informe vra'!$E$10:$E$15</c:f>
              <c:numCache>
                <c:formatCode>0%</c:formatCode>
                <c:ptCount val="6"/>
                <c:pt idx="0">
                  <c:v>0.95899999999999996</c:v>
                </c:pt>
                <c:pt idx="1">
                  <c:v>0.96399999999999997</c:v>
                </c:pt>
                <c:pt idx="2">
                  <c:v>0.98199999999999998</c:v>
                </c:pt>
                <c:pt idx="3">
                  <c:v>0.94199999999999995</c:v>
                </c:pt>
                <c:pt idx="4">
                  <c:v>0.97799999999999998</c:v>
                </c:pt>
                <c:pt idx="5">
                  <c:v>0.97299999999999998</c:v>
                </c:pt>
              </c:numCache>
            </c:numRef>
          </c:val>
          <c:smooth val="0"/>
          <c:extLst>
            <c:ext xmlns:c16="http://schemas.microsoft.com/office/drawing/2014/chart" uri="{C3380CC4-5D6E-409C-BE32-E72D297353CC}">
              <c16:uniqueId val="{0000000E-2EDD-424B-84AA-006D406C08D3}"/>
            </c:ext>
          </c:extLst>
        </c:ser>
        <c:ser>
          <c:idx val="4"/>
          <c:order val="4"/>
          <c:tx>
            <c:strRef>
              <c:f>'informe vra'!$F$5</c:f>
              <c:strCache>
                <c:ptCount val="1"/>
                <c:pt idx="0">
                  <c:v>&gt;30% Asistencia PT</c:v>
                </c:pt>
              </c:strCache>
            </c:strRef>
          </c:tx>
          <c:spPr>
            <a:ln w="28575" cap="rnd">
              <a:solidFill>
                <a:srgbClr val="FF0000"/>
              </a:solidFill>
              <a:round/>
            </a:ln>
            <a:effectLst/>
          </c:spPr>
          <c:marker>
            <c:symbol val="none"/>
          </c:marker>
          <c:dLbls>
            <c:dLbl>
              <c:idx val="2"/>
              <c:layout>
                <c:manualLayout>
                  <c:x val="1.8451925003821665E-3"/>
                  <c:y val="1.1721897663174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EDD-424B-84AA-006D406C08D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'informe vra'!$A$10:$A$15</c:f>
              <c:numCache>
                <c:formatCode>General</c:formatCode>
                <c:ptCount val="6"/>
                <c:pt idx="0">
                  <c:v>2016</c:v>
                </c:pt>
                <c:pt idx="1">
                  <c:v>2017</c:v>
                </c:pt>
                <c:pt idx="2">
                  <c:v>2018</c:v>
                </c:pt>
                <c:pt idx="3">
                  <c:v>2019</c:v>
                </c:pt>
                <c:pt idx="4">
                  <c:v>2020</c:v>
                </c:pt>
                <c:pt idx="5">
                  <c:v>2021</c:v>
                </c:pt>
              </c:numCache>
            </c:numRef>
          </c:cat>
          <c:val>
            <c:numRef>
              <c:f>'informe vra'!$F$10:$F$15</c:f>
              <c:numCache>
                <c:formatCode>0%</c:formatCode>
                <c:ptCount val="6"/>
                <c:pt idx="0">
                  <c:v>0.8</c:v>
                </c:pt>
                <c:pt idx="1">
                  <c:v>0.25</c:v>
                </c:pt>
                <c:pt idx="2">
                  <c:v>0.8</c:v>
                </c:pt>
                <c:pt idx="3">
                  <c:v>0.6</c:v>
                </c:pt>
                <c:pt idx="4">
                  <c:v>0.5</c:v>
                </c:pt>
              </c:numCache>
            </c:numRef>
          </c:val>
          <c:smooth val="0"/>
          <c:extLst>
            <c:ext xmlns:c16="http://schemas.microsoft.com/office/drawing/2014/chart" uri="{C3380CC4-5D6E-409C-BE32-E72D297353CC}">
              <c16:uniqueId val="{00000010-2EDD-424B-84AA-006D406C08D3}"/>
            </c:ext>
          </c:extLst>
        </c:ser>
        <c:dLbls>
          <c:showLegendKey val="0"/>
          <c:showVal val="0"/>
          <c:showCatName val="0"/>
          <c:showSerName val="0"/>
          <c:showPercent val="0"/>
          <c:showBubbleSize val="0"/>
        </c:dLbls>
        <c:smooth val="0"/>
        <c:axId val="331623088"/>
        <c:axId val="331917040"/>
      </c:lineChart>
      <c:catAx>
        <c:axId val="33162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331917040"/>
        <c:crosses val="autoZero"/>
        <c:auto val="1"/>
        <c:lblAlgn val="ctr"/>
        <c:lblOffset val="100"/>
        <c:noMultiLvlLbl val="0"/>
      </c:catAx>
      <c:valAx>
        <c:axId val="331917040"/>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331623088"/>
        <c:crosses val="autoZero"/>
        <c:crossBetween val="between"/>
        <c:majorUnit val="0.1"/>
        <c:minorUnit val="1.0000000000000002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Sal20</b:Tag>
    <b:SourceType>JournalArticle</b:SourceType>
    <b:Guid>{0413F1CA-93BB-496C-827E-DE5E3B475373}</b:Guid>
    <b:Author>
      <b:Author>
        <b:NameList>
          <b:Person>
            <b:Last>Salvioni</b:Last>
            <b:First>Teresa</b:First>
          </b:Person>
        </b:NameList>
      </b:Author>
    </b:Author>
    <b:Title>Contaduría pública: semejanzas y diferencias entre las mallas curriculares de la Universidad Nacional de Asunción y de la Universidad Nacional Autónoma de México</b:Title>
    <b:JournalName>Población y Desarrollo</b:JournalName>
    <b:Year>2020</b:Year>
    <b:Pages>96-105</b:Pages>
    <b:Volume>26</b:Volume>
    <b:Issue>50</b:Issue>
    <b:RefOrder>1</b:RefOrder>
  </b:Source>
  <b:Source>
    <b:Tag>Gal09</b:Tag>
    <b:SourceType>ElectronicSource</b:SourceType>
    <b:Guid>{6FC376C7-B266-4C19-876D-5EEC15B9F673}</b:Guid>
    <b:Title>. Guía para la elaborción del plan de estudio y malla curricular de los colegios</b:Title>
    <b:Year>2009</b:Year>
    <b:Month>septiembre</b:Month>
    <b:Day>23</b:Day>
    <b:Author>
      <b:Author>
        <b:NameList>
          <b:Person>
            <b:Last>Galvis</b:Last>
            <b:First>L</b:First>
          </b:Person>
        </b:NameList>
      </b:Author>
    </b:Author>
    <b:City>Medellín</b:City>
    <b:CountryRegion>Colombia</b:CountryRegion>
    <b:RefOrder>2</b:RefOrder>
  </b:Source>
  <b:Source>
    <b:Tag>Dua21</b:Tag>
    <b:SourceType>JournalArticle</b:SourceType>
    <b:Guid>{A89E1B51-5EE6-48A7-ACE6-8B8194B34483}</b:Guid>
    <b:Author>
      <b:Author>
        <b:NameList>
          <b:Person>
            <b:Last>Duarte</b:Last>
            <b:First>Derlis</b:First>
          </b:Person>
        </b:NameList>
      </b:Author>
    </b:Author>
    <b:Title>Análisis comparativo del plan de estudios de contaduría pública de la FACEM-UNICAN con las normas internacionales de formación emitidas por la IFAC-año 2021</b:Title>
    <b:Year>2021</b:Year>
    <b:JournalName>Ciencia Latina Revista Multidisciplinar</b:JournalName>
    <b:Pages>3452-3464</b:Pages>
    <b:Volume>6</b:Volume>
    <b:Issue>1</b:Issue>
    <b:RefOrder>3</b:RefOrder>
  </b:Source>
  <b:Source>
    <b:Tag>LaP20</b:Tag>
    <b:SourceType>JournalArticle</b:SourceType>
    <b:Guid>{C65FB2CF-2C5F-4CB2-A697-875C922C3BEE}</b:Guid>
    <b:Title>Características de la construcción curricular de las carreras universitarias de Contabilidad en Chile</b:Title>
    <b:Year>2020</b:Year>
    <b:Author>
      <b:Author>
        <b:NameList>
          <b:Person>
            <b:Last>La Paz</b:Last>
            <b:First>Ariel</b:First>
          </b:Person>
          <b:Person>
            <b:Last>Armijos</b:Last>
            <b:First>Juan</b:First>
            <b:Middle>Carlos</b:Middle>
          </b:Person>
        </b:NameList>
      </b:Author>
    </b:Author>
    <b:JournalName>CAPIC REVIEW: Journal of Accounting, Auditing and Business Management</b:JournalName>
    <b:Pages>1-17</b:Pages>
    <b:Volume>18</b:Volume>
    <b:RefOrder>4</b:RefOrder>
  </b:Source>
  <b:Source>
    <b:Tag>Bri17</b:Tag>
    <b:SourceType>JournalArticle</b:SourceType>
    <b:Guid>{F649A936-6204-45F2-89BE-51BE910EB099}</b:Guid>
    <b:Author>
      <b:Author>
        <b:NameList>
          <b:Person>
            <b:Last>Brito</b:Last>
            <b:First>Jeanette</b:First>
          </b:Person>
          <b:Person>
            <b:Last>Ferreiro</b:Last>
            <b:First>Velia</b:First>
          </b:Person>
          <b:Person>
            <b:Last>Garambullo</b:Last>
            <b:First>Adriana</b:First>
          </b:Person>
        </b:NameList>
      </b:Author>
    </b:Author>
    <b:Title>Evaluación de la pertinencia y calidad del programa educativo de licenciatura en contaduría: estudio de empleadores y egresados</b:Title>
    <b:JournalName>RIDE. Revista Iberoamericana para la Investigación y el Desarrollo Educativo</b:JournalName>
    <b:Year>2017</b:Year>
    <b:Pages>311-337</b:Pages>
    <b:Volume>8</b:Volume>
    <b:Issue>15</b:Issue>
    <b:RefOrder>5</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C30AD011-3633-4E6D-B700-C983B46F551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3970</Words>
  <Characters>21439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9</cp:revision>
  <dcterms:created xsi:type="dcterms:W3CDTF">2022-09-08T14:29:00Z</dcterms:created>
  <dcterms:modified xsi:type="dcterms:W3CDTF">2022-10-24T23:43:00Z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