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63CE" w14:textId="7CA8077C" w:rsidR="00EC727C" w:rsidRDefault="00A3495F" w:rsidP="00CB5B53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Discriminação estrutural em razão de pobreza</w:t>
      </w:r>
      <w:r w:rsidR="00EC727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FE34ED7" w14:textId="2E402AB3" w:rsidR="00EC727C" w:rsidRDefault="00940A71" w:rsidP="00CB5B53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Uma a</w:t>
      </w:r>
      <w:r w:rsidR="00A34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nálise </w:t>
      </w:r>
      <w:r w:rsidR="00990CFA">
        <w:rPr>
          <w:rFonts w:ascii="Times New Roman" w:eastAsia="Times New Roman" w:hAnsi="Times New Roman" w:cs="Times New Roman"/>
          <w:b/>
          <w:bCs/>
          <w:sz w:val="24"/>
          <w:szCs w:val="24"/>
        </w:rPr>
        <w:t>a partir da</w:t>
      </w:r>
      <w:r w:rsidR="00A34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0C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sua </w:t>
      </w:r>
      <w:r w:rsidR="00A34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compreensão </w:t>
      </w:r>
      <w:r w:rsidR="00DE5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pela </w:t>
      </w:r>
      <w:r w:rsidR="00A3495F">
        <w:rPr>
          <w:rFonts w:ascii="Times New Roman" w:eastAsia="Times New Roman" w:hAnsi="Times New Roman" w:cs="Times New Roman"/>
          <w:b/>
          <w:bCs/>
          <w:sz w:val="24"/>
          <w:szCs w:val="24"/>
        </w:rPr>
        <w:t>Corte IDH</w:t>
      </w:r>
    </w:p>
    <w:p w14:paraId="2DC72CB4" w14:textId="77777777" w:rsidR="00041C19" w:rsidRDefault="00041C19" w:rsidP="00DF309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BE3BBE" w14:textId="2C0743F7" w:rsidR="001D23B4" w:rsidRDefault="00CB5B53" w:rsidP="00DF309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Resumo: </w:t>
      </w:r>
      <w:r w:rsidR="00130E8C">
        <w:rPr>
          <w:rFonts w:ascii="Times New Roman" w:eastAsia="Times New Roman" w:hAnsi="Times New Roman" w:cs="Times New Roman"/>
          <w:sz w:val="24"/>
          <w:szCs w:val="24"/>
        </w:rPr>
        <w:t>Em</w:t>
      </w:r>
      <w:r w:rsidR="00B66F81">
        <w:rPr>
          <w:rFonts w:ascii="Times New Roman" w:eastAsia="Times New Roman" w:hAnsi="Times New Roman" w:cs="Times New Roman"/>
          <w:sz w:val="24"/>
          <w:szCs w:val="24"/>
        </w:rPr>
        <w:t xml:space="preserve"> recente</w:t>
      </w:r>
      <w:r w:rsidR="00130E8C">
        <w:rPr>
          <w:rFonts w:ascii="Times New Roman" w:eastAsia="Times New Roman" w:hAnsi="Times New Roman" w:cs="Times New Roman"/>
          <w:sz w:val="24"/>
          <w:szCs w:val="24"/>
        </w:rPr>
        <w:t xml:space="preserve"> julgamento de </w:t>
      </w:r>
      <w:r w:rsidR="00B66F81">
        <w:rPr>
          <w:rFonts w:ascii="Times New Roman" w:eastAsia="Times New Roman" w:hAnsi="Times New Roman" w:cs="Times New Roman"/>
          <w:sz w:val="24"/>
          <w:szCs w:val="24"/>
        </w:rPr>
        <w:t>julho</w:t>
      </w:r>
      <w:r w:rsidR="00037BD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66F81">
        <w:rPr>
          <w:rFonts w:ascii="Times New Roman" w:eastAsia="Times New Roman" w:hAnsi="Times New Roman" w:cs="Times New Roman"/>
          <w:sz w:val="24"/>
          <w:szCs w:val="24"/>
        </w:rPr>
        <w:t xml:space="preserve">2020, a </w:t>
      </w:r>
      <w:r w:rsidR="006933CD">
        <w:rPr>
          <w:rFonts w:ascii="Times New Roman" w:eastAsia="Times New Roman" w:hAnsi="Times New Roman" w:cs="Times New Roman"/>
          <w:sz w:val="24"/>
          <w:szCs w:val="24"/>
        </w:rPr>
        <w:t>Corte Interamericana de Direitos Humanos</w:t>
      </w:r>
      <w:r w:rsidR="00B6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 xml:space="preserve">(Corte IDH) </w:t>
      </w:r>
      <w:r w:rsidR="00B66F81">
        <w:rPr>
          <w:rFonts w:ascii="Times New Roman" w:eastAsia="Times New Roman" w:hAnsi="Times New Roman" w:cs="Times New Roman"/>
          <w:sz w:val="24"/>
          <w:szCs w:val="24"/>
        </w:rPr>
        <w:t xml:space="preserve">reconheceu </w:t>
      </w:r>
      <w:r w:rsidR="00D0116F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934C42">
        <w:rPr>
          <w:rFonts w:ascii="Times New Roman" w:eastAsia="Times New Roman" w:hAnsi="Times New Roman" w:cs="Times New Roman"/>
          <w:sz w:val="24"/>
          <w:szCs w:val="24"/>
        </w:rPr>
        <w:t>os trabalhadores vítimas de explosão de uma fábrica de fogos de artifícios estavam submetidos à “discriminação estrutural em razão da pobreza”</w:t>
      </w:r>
      <w:r w:rsidR="0056646E">
        <w:rPr>
          <w:rFonts w:ascii="Times New Roman" w:eastAsia="Times New Roman" w:hAnsi="Times New Roman" w:cs="Times New Roman"/>
          <w:sz w:val="24"/>
          <w:szCs w:val="24"/>
        </w:rPr>
        <w:t xml:space="preserve">, devido </w:t>
      </w:r>
      <w:r w:rsidR="00577714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111EB">
        <w:rPr>
          <w:rFonts w:ascii="Times New Roman" w:eastAsia="Times New Roman" w:hAnsi="Times New Roman" w:cs="Times New Roman"/>
          <w:sz w:val="24"/>
          <w:szCs w:val="24"/>
        </w:rPr>
        <w:t xml:space="preserve"> impossibilidade de as vítimas tere</w:t>
      </w:r>
      <w:bookmarkStart w:id="0" w:name="_GoBack"/>
      <w:bookmarkEnd w:id="0"/>
      <w:r w:rsidR="000111EB">
        <w:rPr>
          <w:rFonts w:ascii="Times New Roman" w:eastAsia="Times New Roman" w:hAnsi="Times New Roman" w:cs="Times New Roman"/>
          <w:sz w:val="24"/>
          <w:szCs w:val="24"/>
        </w:rPr>
        <w:t xml:space="preserve">m “acesso a outra fonte de renda” e, então, necessitarem “se expor ao aceitar um trabalho em condições de vulnerabilidade” </w:t>
      </w:r>
      <w:r w:rsidR="00934C42" w:rsidRPr="00093B03">
        <w:rPr>
          <w:rFonts w:ascii="Times New Roman" w:eastAsia="Times New Roman" w:hAnsi="Times New Roman" w:cs="Times New Roman"/>
          <w:sz w:val="24"/>
          <w:szCs w:val="24"/>
        </w:rPr>
        <w:t>(CORTE IDH, 2020</w:t>
      </w:r>
      <w:r w:rsidR="00A42B88">
        <w:rPr>
          <w:rFonts w:ascii="Times New Roman" w:eastAsia="Times New Roman" w:hAnsi="Times New Roman" w:cs="Times New Roman"/>
          <w:sz w:val="24"/>
          <w:szCs w:val="24"/>
        </w:rPr>
        <w:t>, par. 188</w:t>
      </w:r>
      <w:r w:rsidR="00934C42" w:rsidRPr="00093B03">
        <w:rPr>
          <w:rFonts w:ascii="Times New Roman" w:eastAsia="Times New Roman" w:hAnsi="Times New Roman" w:cs="Times New Roman"/>
          <w:sz w:val="24"/>
          <w:szCs w:val="24"/>
        </w:rPr>
        <w:t xml:space="preserve">). Embora o julgamento </w:t>
      </w:r>
      <w:r w:rsidR="00EB1945" w:rsidRPr="00093B03">
        <w:rPr>
          <w:rFonts w:ascii="Times New Roman" w:eastAsia="Times New Roman" w:hAnsi="Times New Roman" w:cs="Times New Roman"/>
          <w:sz w:val="24"/>
          <w:szCs w:val="24"/>
        </w:rPr>
        <w:t>tenha reconhecido também a</w:t>
      </w:r>
      <w:r w:rsidR="0056646E" w:rsidRPr="00093B03">
        <w:rPr>
          <w:rFonts w:ascii="Times New Roman" w:eastAsia="Times New Roman" w:hAnsi="Times New Roman" w:cs="Times New Roman"/>
          <w:sz w:val="24"/>
          <w:szCs w:val="24"/>
        </w:rPr>
        <w:t xml:space="preserve"> discriminação intersecional,</w:t>
      </w:r>
      <w:r w:rsidR="00934C42" w:rsidRPr="00093B03">
        <w:rPr>
          <w:rFonts w:ascii="Times New Roman" w:eastAsia="Times New Roman" w:hAnsi="Times New Roman" w:cs="Times New Roman"/>
          <w:sz w:val="24"/>
          <w:szCs w:val="24"/>
        </w:rPr>
        <w:t xml:space="preserve"> devido </w:t>
      </w:r>
      <w:r w:rsidR="005C21D6" w:rsidRPr="00093B0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934C42" w:rsidRPr="00093B03">
        <w:rPr>
          <w:rFonts w:ascii="Times New Roman" w:eastAsia="Times New Roman" w:hAnsi="Times New Roman" w:cs="Times New Roman"/>
          <w:sz w:val="24"/>
          <w:szCs w:val="24"/>
        </w:rPr>
        <w:t xml:space="preserve"> confluência de fatores d</w:t>
      </w:r>
      <w:r w:rsidR="0056646E" w:rsidRPr="00093B03">
        <w:rPr>
          <w:rFonts w:ascii="Times New Roman" w:eastAsia="Times New Roman" w:hAnsi="Times New Roman" w:cs="Times New Roman"/>
          <w:sz w:val="24"/>
          <w:szCs w:val="24"/>
        </w:rPr>
        <w:t xml:space="preserve">a discriminação </w:t>
      </w:r>
      <w:r w:rsidR="00577714" w:rsidRPr="00093B03">
        <w:rPr>
          <w:rFonts w:ascii="Times New Roman" w:eastAsia="Times New Roman" w:hAnsi="Times New Roman" w:cs="Times New Roman"/>
          <w:sz w:val="24"/>
          <w:szCs w:val="24"/>
        </w:rPr>
        <w:t>sofrida pelas vítimas majoritariamente mulheres e meninas afrodescendentes</w:t>
      </w:r>
      <w:r w:rsidR="00EB1945" w:rsidRPr="00093B03">
        <w:rPr>
          <w:rFonts w:ascii="Times New Roman" w:eastAsia="Times New Roman" w:hAnsi="Times New Roman" w:cs="Times New Roman"/>
          <w:sz w:val="24"/>
          <w:szCs w:val="24"/>
        </w:rPr>
        <w:t>, a decisão</w:t>
      </w:r>
      <w:r w:rsidR="00577714" w:rsidRPr="00093B0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Corte IDH</w:t>
      </w:r>
      <w:r w:rsidR="006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945" w:rsidRPr="00093B03">
        <w:rPr>
          <w:rFonts w:ascii="Times New Roman" w:eastAsia="Times New Roman" w:hAnsi="Times New Roman" w:cs="Times New Roman"/>
          <w:sz w:val="24"/>
          <w:szCs w:val="24"/>
        </w:rPr>
        <w:t xml:space="preserve">afirma a existência de discriminação estrutural por condição de pobreza independentemente da existência de discriminação intersecional por sexo, </w:t>
      </w:r>
      <w:proofErr w:type="gramStart"/>
      <w:r w:rsidR="00EB1945" w:rsidRPr="00093B03">
        <w:rPr>
          <w:rFonts w:ascii="Times New Roman" w:eastAsia="Times New Roman" w:hAnsi="Times New Roman" w:cs="Times New Roman"/>
          <w:sz w:val="24"/>
          <w:szCs w:val="24"/>
        </w:rPr>
        <w:t>raça</w:t>
      </w:r>
      <w:proofErr w:type="gramEnd"/>
      <w:r w:rsidR="00EB1945" w:rsidRPr="00093B03">
        <w:rPr>
          <w:rFonts w:ascii="Times New Roman" w:eastAsia="Times New Roman" w:hAnsi="Times New Roman" w:cs="Times New Roman"/>
          <w:sz w:val="24"/>
          <w:szCs w:val="24"/>
        </w:rPr>
        <w:t xml:space="preserve"> e estado de gravidez. </w:t>
      </w:r>
      <w:r w:rsidR="00037BD1" w:rsidRPr="00093B03">
        <w:rPr>
          <w:rFonts w:ascii="Times New Roman" w:eastAsia="Times New Roman" w:hAnsi="Times New Roman" w:cs="Times New Roman"/>
          <w:sz w:val="24"/>
          <w:szCs w:val="24"/>
        </w:rPr>
        <w:t xml:space="preserve">Anteriormente, em julgamento de outubro de 2016, a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Corte IDH</w:t>
      </w:r>
      <w:r w:rsidR="006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172" w:rsidRPr="00093B03">
        <w:rPr>
          <w:rFonts w:ascii="Times New Roman" w:eastAsia="Times New Roman" w:hAnsi="Times New Roman" w:cs="Times New Roman"/>
          <w:sz w:val="24"/>
          <w:szCs w:val="24"/>
        </w:rPr>
        <w:t xml:space="preserve">reconheceu </w:t>
      </w:r>
      <w:r w:rsidR="00D34F22" w:rsidRPr="00093B03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FD498D" w:rsidRPr="00093B03">
        <w:rPr>
          <w:rFonts w:ascii="Times New Roman" w:eastAsia="Times New Roman" w:hAnsi="Times New Roman" w:cs="Times New Roman"/>
          <w:sz w:val="24"/>
          <w:szCs w:val="24"/>
        </w:rPr>
        <w:t xml:space="preserve">as vítimas de trabalho escravo </w:t>
      </w:r>
      <w:r w:rsidR="00D34F22" w:rsidRPr="00093B03">
        <w:rPr>
          <w:rFonts w:ascii="Times New Roman" w:eastAsia="Times New Roman" w:hAnsi="Times New Roman" w:cs="Times New Roman"/>
          <w:sz w:val="24"/>
          <w:szCs w:val="24"/>
        </w:rPr>
        <w:t>resgatad</w:t>
      </w:r>
      <w:r w:rsidR="00FD498D" w:rsidRPr="00093B0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4F22" w:rsidRPr="00093B03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498D" w:rsidRPr="00093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F22" w:rsidRPr="00093B03">
        <w:rPr>
          <w:rFonts w:ascii="Times New Roman" w:eastAsia="Times New Roman" w:hAnsi="Times New Roman" w:cs="Times New Roman"/>
          <w:sz w:val="24"/>
          <w:szCs w:val="24"/>
        </w:rPr>
        <w:t>estavam submetid</w:t>
      </w:r>
      <w:r w:rsidR="005C21D6" w:rsidRPr="00093B0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4F22" w:rsidRPr="00093B03">
        <w:rPr>
          <w:rFonts w:ascii="Times New Roman" w:eastAsia="Times New Roman" w:hAnsi="Times New Roman" w:cs="Times New Roman"/>
          <w:sz w:val="24"/>
          <w:szCs w:val="24"/>
        </w:rPr>
        <w:t xml:space="preserve">s à discriminação </w:t>
      </w:r>
      <w:r w:rsidR="00CB2125" w:rsidRPr="00093B03">
        <w:rPr>
          <w:rFonts w:ascii="Times New Roman" w:eastAsia="Times New Roman" w:hAnsi="Times New Roman" w:cs="Times New Roman"/>
          <w:sz w:val="24"/>
          <w:szCs w:val="24"/>
        </w:rPr>
        <w:t>estrutural “</w:t>
      </w:r>
      <w:r w:rsidR="00D34F22" w:rsidRPr="00093B03">
        <w:rPr>
          <w:rFonts w:ascii="Times New Roman" w:eastAsia="Times New Roman" w:hAnsi="Times New Roman" w:cs="Times New Roman"/>
          <w:sz w:val="24"/>
          <w:szCs w:val="24"/>
        </w:rPr>
        <w:t>em razão da posição econômica”</w:t>
      </w:r>
      <w:r w:rsidR="00FD498D" w:rsidRPr="00093B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04AC" w:rsidRPr="00093B03">
        <w:rPr>
          <w:rFonts w:ascii="Times New Roman" w:eastAsia="Times New Roman" w:hAnsi="Times New Roman" w:cs="Times New Roman"/>
          <w:sz w:val="24"/>
          <w:szCs w:val="24"/>
        </w:rPr>
        <w:t xml:space="preserve">pois “encontravam-se em uma situação de pobreza; provinham das regiões mais pobres do país, com menor desenvolvimento humano e perspectivas de trabalho e emprego; eram </w:t>
      </w:r>
      <w:proofErr w:type="gramStart"/>
      <w:r w:rsidR="003A04AC" w:rsidRPr="00093B03">
        <w:rPr>
          <w:rFonts w:ascii="Times New Roman" w:eastAsia="Times New Roman" w:hAnsi="Times New Roman" w:cs="Times New Roman"/>
          <w:sz w:val="24"/>
          <w:szCs w:val="24"/>
        </w:rPr>
        <w:t>analfabetos</w:t>
      </w:r>
      <w:proofErr w:type="gramEnd"/>
      <w:r w:rsidR="003A04AC" w:rsidRPr="00093B03">
        <w:rPr>
          <w:rFonts w:ascii="Times New Roman" w:eastAsia="Times New Roman" w:hAnsi="Times New Roman" w:cs="Times New Roman"/>
          <w:sz w:val="24"/>
          <w:szCs w:val="24"/>
        </w:rPr>
        <w:t>, e tinham pouca ou nenhuma escolarização” (CORTE IDH,</w:t>
      </w:r>
      <w:r w:rsidR="00786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4AC" w:rsidRPr="00093B03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A42B88">
        <w:rPr>
          <w:rFonts w:ascii="Times New Roman" w:eastAsia="Times New Roman" w:hAnsi="Times New Roman" w:cs="Times New Roman"/>
          <w:sz w:val="24"/>
          <w:szCs w:val="24"/>
        </w:rPr>
        <w:t>, par. 339</w:t>
      </w:r>
      <w:r w:rsidR="001B2CC9">
        <w:rPr>
          <w:rFonts w:ascii="Times New Roman" w:eastAsia="Times New Roman" w:hAnsi="Times New Roman" w:cs="Times New Roman"/>
          <w:sz w:val="24"/>
          <w:szCs w:val="24"/>
        </w:rPr>
        <w:t xml:space="preserve"> e 341</w:t>
      </w:r>
      <w:r w:rsidR="003A04AC" w:rsidRPr="00093B0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C4D53" w:rsidRPr="00093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F8C">
        <w:rPr>
          <w:rFonts w:ascii="Times New Roman" w:eastAsia="Times New Roman" w:hAnsi="Times New Roman" w:cs="Times New Roman"/>
          <w:sz w:val="24"/>
          <w:szCs w:val="24"/>
        </w:rPr>
        <w:t>Em</w:t>
      </w:r>
      <w:r w:rsidR="00A83980" w:rsidRPr="00093B03">
        <w:rPr>
          <w:rFonts w:ascii="Times New Roman" w:eastAsia="Times New Roman" w:hAnsi="Times New Roman" w:cs="Times New Roman"/>
          <w:sz w:val="24"/>
          <w:szCs w:val="24"/>
        </w:rPr>
        <w:t xml:space="preserve"> ambos os julgamentos, a </w:t>
      </w:r>
      <w:r w:rsidR="006933CD">
        <w:rPr>
          <w:rFonts w:ascii="Times New Roman" w:eastAsia="Times New Roman" w:hAnsi="Times New Roman" w:cs="Times New Roman"/>
          <w:sz w:val="24"/>
          <w:szCs w:val="24"/>
        </w:rPr>
        <w:t xml:space="preserve">Corte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IDH</w:t>
      </w:r>
      <w:r w:rsidR="006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980" w:rsidRPr="00093B03">
        <w:rPr>
          <w:rFonts w:ascii="Times New Roman" w:eastAsia="Times New Roman" w:hAnsi="Times New Roman" w:cs="Times New Roman"/>
          <w:sz w:val="24"/>
          <w:szCs w:val="24"/>
        </w:rPr>
        <w:t>responsabilizou o</w:t>
      </w:r>
      <w:r w:rsidR="00A83980">
        <w:rPr>
          <w:rFonts w:ascii="Times New Roman" w:eastAsia="Times New Roman" w:hAnsi="Times New Roman" w:cs="Times New Roman"/>
          <w:sz w:val="24"/>
          <w:szCs w:val="24"/>
        </w:rPr>
        <w:t xml:space="preserve"> Brasil pela violação de </w:t>
      </w:r>
      <w:r w:rsidR="00A83980" w:rsidRPr="00AC4D53">
        <w:rPr>
          <w:rFonts w:ascii="Times New Roman" w:eastAsia="Times New Roman" w:hAnsi="Times New Roman" w:cs="Times New Roman"/>
          <w:sz w:val="24"/>
          <w:szCs w:val="24"/>
        </w:rPr>
        <w:t xml:space="preserve">diversas disposições da Convenção Americana, em relação à </w:t>
      </w:r>
      <w:r w:rsidR="00AC4D53" w:rsidRPr="00AC4D53">
        <w:rPr>
          <w:rFonts w:ascii="Times New Roman" w:eastAsia="Times New Roman" w:hAnsi="Times New Roman" w:cs="Times New Roman"/>
          <w:sz w:val="24"/>
          <w:szCs w:val="24"/>
        </w:rPr>
        <w:t>previsão do artigo 1.1 da Convenção de respeitar os seus direitos e liberdades “sem discriminação alguma”</w:t>
      </w:r>
      <w:r w:rsidR="00AC4D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3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4AC">
        <w:rPr>
          <w:rFonts w:ascii="Times New Roman" w:eastAsia="Times New Roman" w:hAnsi="Times New Roman" w:cs="Times New Roman"/>
          <w:sz w:val="24"/>
          <w:szCs w:val="24"/>
        </w:rPr>
        <w:t xml:space="preserve">considerando o critério </w:t>
      </w:r>
      <w:r w:rsidR="00AC4D53">
        <w:rPr>
          <w:rFonts w:ascii="Times New Roman" w:eastAsia="Times New Roman" w:hAnsi="Times New Roman" w:cs="Times New Roman"/>
          <w:sz w:val="24"/>
          <w:szCs w:val="24"/>
        </w:rPr>
        <w:t xml:space="preserve">proibido de discriminação </w:t>
      </w:r>
      <w:r w:rsidR="003A04AC">
        <w:rPr>
          <w:rFonts w:ascii="Times New Roman" w:eastAsia="Times New Roman" w:hAnsi="Times New Roman" w:cs="Times New Roman"/>
          <w:sz w:val="24"/>
          <w:szCs w:val="24"/>
        </w:rPr>
        <w:t xml:space="preserve">“posição econômica” e o caráter não taxativo </w:t>
      </w:r>
      <w:r w:rsidR="00CB212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093B03">
        <w:rPr>
          <w:rFonts w:ascii="Times New Roman" w:eastAsia="Times New Roman" w:hAnsi="Times New Roman" w:cs="Times New Roman"/>
          <w:sz w:val="24"/>
          <w:szCs w:val="24"/>
        </w:rPr>
        <w:t xml:space="preserve">citado </w:t>
      </w:r>
      <w:r w:rsidR="00CB2125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6161F4">
        <w:rPr>
          <w:rFonts w:ascii="Times New Roman" w:eastAsia="Times New Roman" w:hAnsi="Times New Roman" w:cs="Times New Roman"/>
          <w:sz w:val="24"/>
          <w:szCs w:val="24"/>
        </w:rPr>
        <w:t xml:space="preserve"> (OEA</w:t>
      </w:r>
      <w:r w:rsidR="00EC298D">
        <w:rPr>
          <w:rFonts w:ascii="Times New Roman" w:eastAsia="Times New Roman" w:hAnsi="Times New Roman" w:cs="Times New Roman"/>
          <w:sz w:val="24"/>
          <w:szCs w:val="24"/>
        </w:rPr>
        <w:t>, 1969).</w:t>
      </w:r>
      <w:r w:rsidR="00631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3CD">
        <w:rPr>
          <w:rFonts w:ascii="Times New Roman" w:eastAsia="Times New Roman" w:hAnsi="Times New Roman" w:cs="Times New Roman"/>
          <w:sz w:val="24"/>
          <w:szCs w:val="24"/>
        </w:rPr>
        <w:t xml:space="preserve">No Brasil, o conceito de discriminação estrutural já foi </w:t>
      </w:r>
      <w:r w:rsidR="00F16600">
        <w:rPr>
          <w:rFonts w:ascii="Times New Roman" w:eastAsia="Times New Roman" w:hAnsi="Times New Roman" w:cs="Times New Roman"/>
          <w:sz w:val="24"/>
          <w:szCs w:val="24"/>
        </w:rPr>
        <w:t>afirmado</w:t>
      </w:r>
      <w:r w:rsidR="006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56C">
        <w:rPr>
          <w:rFonts w:ascii="Times New Roman" w:eastAsia="Times New Roman" w:hAnsi="Times New Roman" w:cs="Times New Roman"/>
          <w:sz w:val="24"/>
          <w:szCs w:val="24"/>
        </w:rPr>
        <w:t xml:space="preserve">expressamente </w:t>
      </w:r>
      <w:r w:rsidR="00E358B4">
        <w:rPr>
          <w:rFonts w:ascii="Times New Roman" w:eastAsia="Times New Roman" w:hAnsi="Times New Roman" w:cs="Times New Roman"/>
          <w:sz w:val="24"/>
          <w:szCs w:val="24"/>
        </w:rPr>
        <w:t xml:space="preserve">pelo Supremo Tribunal Federal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 xml:space="preserve">(STF) </w:t>
      </w:r>
      <w:r w:rsidR="00E358B4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6933CD">
        <w:rPr>
          <w:rFonts w:ascii="Times New Roman" w:eastAsia="Times New Roman" w:hAnsi="Times New Roman" w:cs="Times New Roman"/>
          <w:sz w:val="24"/>
          <w:szCs w:val="24"/>
        </w:rPr>
        <w:t>dois julgamentos</w:t>
      </w:r>
      <w:r w:rsidR="00F16600">
        <w:rPr>
          <w:rFonts w:ascii="Times New Roman" w:eastAsia="Times New Roman" w:hAnsi="Times New Roman" w:cs="Times New Roman"/>
          <w:sz w:val="24"/>
          <w:szCs w:val="24"/>
        </w:rPr>
        <w:t xml:space="preserve"> acerca do</w:t>
      </w:r>
      <w:r w:rsidR="00885D23">
        <w:rPr>
          <w:rFonts w:ascii="Times New Roman" w:eastAsia="Times New Roman" w:hAnsi="Times New Roman" w:cs="Times New Roman"/>
          <w:sz w:val="24"/>
          <w:szCs w:val="24"/>
        </w:rPr>
        <w:t xml:space="preserve"> critério proibido de discriminação raça (</w:t>
      </w:r>
      <w:r w:rsidR="002D2716">
        <w:rPr>
          <w:rFonts w:ascii="Times New Roman" w:eastAsia="Times New Roman" w:hAnsi="Times New Roman" w:cs="Times New Roman"/>
          <w:sz w:val="24"/>
          <w:szCs w:val="24"/>
        </w:rPr>
        <w:t>BRASIL</w:t>
      </w:r>
      <w:r w:rsidR="00F16600">
        <w:rPr>
          <w:rFonts w:ascii="Times New Roman" w:eastAsia="Times New Roman" w:hAnsi="Times New Roman" w:cs="Times New Roman"/>
          <w:sz w:val="24"/>
          <w:szCs w:val="24"/>
        </w:rPr>
        <w:t>, 2020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1660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12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716">
        <w:rPr>
          <w:rFonts w:ascii="Times New Roman" w:eastAsia="Times New Roman" w:hAnsi="Times New Roman" w:cs="Times New Roman"/>
          <w:sz w:val="24"/>
          <w:szCs w:val="24"/>
        </w:rPr>
        <w:t>BRASIL</w:t>
      </w:r>
      <w:r w:rsidR="00F12EA9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885D2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47054">
        <w:rPr>
          <w:rFonts w:ascii="Times New Roman" w:eastAsia="Times New Roman" w:hAnsi="Times New Roman" w:cs="Times New Roman"/>
          <w:sz w:val="24"/>
          <w:szCs w:val="24"/>
        </w:rPr>
        <w:t>, em reconhecimento do racismo estrutural presente na realidade brasileira (ALMEIDA, 2019)</w:t>
      </w:r>
      <w:r w:rsidR="007E0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3A15">
        <w:rPr>
          <w:rFonts w:ascii="Times New Roman" w:eastAsia="Times New Roman" w:hAnsi="Times New Roman" w:cs="Times New Roman"/>
          <w:sz w:val="24"/>
          <w:szCs w:val="24"/>
        </w:rPr>
        <w:t>No entanto</w:t>
      </w:r>
      <w:r w:rsidR="007E0731">
        <w:rPr>
          <w:rFonts w:ascii="Times New Roman" w:eastAsia="Times New Roman" w:hAnsi="Times New Roman" w:cs="Times New Roman"/>
          <w:sz w:val="24"/>
          <w:szCs w:val="24"/>
        </w:rPr>
        <w:t xml:space="preserve">, a condição de pobreza, mesmo quando reconhecida como critério proibido de discriminação, </w:t>
      </w:r>
      <w:r w:rsidR="00A42B88">
        <w:rPr>
          <w:rFonts w:ascii="Times New Roman" w:eastAsia="Times New Roman" w:hAnsi="Times New Roman" w:cs="Times New Roman"/>
          <w:sz w:val="24"/>
          <w:szCs w:val="24"/>
        </w:rPr>
        <w:t xml:space="preserve">ainda </w:t>
      </w:r>
      <w:r w:rsidR="007E0731">
        <w:rPr>
          <w:rFonts w:ascii="Times New Roman" w:eastAsia="Times New Roman" w:hAnsi="Times New Roman" w:cs="Times New Roman"/>
          <w:sz w:val="24"/>
          <w:szCs w:val="24"/>
        </w:rPr>
        <w:t xml:space="preserve">costuma ser relacionada a </w:t>
      </w:r>
      <w:r w:rsidR="00BD338D">
        <w:rPr>
          <w:rFonts w:ascii="Times New Roman" w:eastAsia="Times New Roman" w:hAnsi="Times New Roman" w:cs="Times New Roman"/>
          <w:sz w:val="24"/>
          <w:szCs w:val="24"/>
        </w:rPr>
        <w:t>uma concepção</w:t>
      </w:r>
      <w:r w:rsidR="007E0731">
        <w:rPr>
          <w:rFonts w:ascii="Times New Roman" w:eastAsia="Times New Roman" w:hAnsi="Times New Roman" w:cs="Times New Roman"/>
          <w:sz w:val="24"/>
          <w:szCs w:val="24"/>
        </w:rPr>
        <w:t xml:space="preserve"> individualista</w:t>
      </w:r>
      <w:r w:rsidR="00BD3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731">
        <w:rPr>
          <w:rFonts w:ascii="Times New Roman" w:eastAsia="Times New Roman" w:hAnsi="Times New Roman" w:cs="Times New Roman"/>
          <w:sz w:val="24"/>
          <w:szCs w:val="24"/>
        </w:rPr>
        <w:t xml:space="preserve">de discriminação, caracterizando a discriminação em razão de pobreza como </w:t>
      </w:r>
      <w:r w:rsidR="00BD338D">
        <w:rPr>
          <w:rFonts w:ascii="Times New Roman" w:eastAsia="Times New Roman" w:hAnsi="Times New Roman" w:cs="Times New Roman"/>
          <w:sz w:val="24"/>
          <w:szCs w:val="24"/>
        </w:rPr>
        <w:t>“um comportamento de alguns indivíduos que não se comportam de acordo com valores liberais” (MOREIRA, 2017, p. 131)</w:t>
      </w:r>
      <w:r w:rsidR="00B510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CFA">
        <w:rPr>
          <w:rFonts w:ascii="Times New Roman" w:eastAsia="Times New Roman" w:hAnsi="Times New Roman" w:cs="Times New Roman"/>
          <w:sz w:val="24"/>
          <w:szCs w:val="24"/>
        </w:rPr>
        <w:t>Então</w:t>
      </w:r>
      <w:r w:rsidR="0078686E">
        <w:rPr>
          <w:rFonts w:ascii="Times New Roman" w:eastAsia="Times New Roman" w:hAnsi="Times New Roman" w:cs="Times New Roman"/>
          <w:sz w:val="24"/>
          <w:szCs w:val="24"/>
        </w:rPr>
        <w:t xml:space="preserve">, diante da relevância </w:t>
      </w:r>
      <w:r w:rsidR="00A42B88">
        <w:rPr>
          <w:rFonts w:ascii="Times New Roman" w:eastAsia="Times New Roman" w:hAnsi="Times New Roman" w:cs="Times New Roman"/>
          <w:sz w:val="24"/>
          <w:szCs w:val="24"/>
        </w:rPr>
        <w:t xml:space="preserve">dos julgamentos condenatórios da Corte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IDH</w:t>
      </w:r>
      <w:r w:rsidR="00A42B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2CC9">
        <w:rPr>
          <w:rFonts w:ascii="Times New Roman" w:eastAsia="Times New Roman" w:hAnsi="Times New Roman" w:cs="Times New Roman"/>
          <w:sz w:val="24"/>
          <w:szCs w:val="24"/>
        </w:rPr>
        <w:t xml:space="preserve">a presente pesquisa </w:t>
      </w:r>
      <w:r w:rsidR="00B47054">
        <w:rPr>
          <w:rFonts w:ascii="Times New Roman" w:eastAsia="Times New Roman" w:hAnsi="Times New Roman" w:cs="Times New Roman"/>
          <w:sz w:val="24"/>
          <w:szCs w:val="24"/>
        </w:rPr>
        <w:t xml:space="preserve">enfrenta </w:t>
      </w:r>
      <w:r w:rsidR="001B2CC9">
        <w:rPr>
          <w:rFonts w:ascii="Times New Roman" w:eastAsia="Times New Roman" w:hAnsi="Times New Roman" w:cs="Times New Roman"/>
          <w:sz w:val="24"/>
          <w:szCs w:val="24"/>
        </w:rPr>
        <w:t>o problema do desenvolvimento</w:t>
      </w:r>
      <w:r w:rsidR="0074167C">
        <w:rPr>
          <w:rFonts w:ascii="Times New Roman" w:eastAsia="Times New Roman" w:hAnsi="Times New Roman" w:cs="Times New Roman"/>
          <w:sz w:val="24"/>
          <w:szCs w:val="24"/>
        </w:rPr>
        <w:t>, no Brasil,</w:t>
      </w:r>
      <w:r w:rsidR="001B2CC9">
        <w:rPr>
          <w:rFonts w:ascii="Times New Roman" w:eastAsia="Times New Roman" w:hAnsi="Times New Roman" w:cs="Times New Roman"/>
          <w:sz w:val="24"/>
          <w:szCs w:val="24"/>
        </w:rPr>
        <w:t xml:space="preserve"> da discriminação em razão de pobreza como fenômeno de discriminação estrutural. </w:t>
      </w:r>
    </w:p>
    <w:p w14:paraId="1D1A3A8A" w14:textId="140EC7F8" w:rsidR="001D23B4" w:rsidRDefault="00990CFA" w:rsidP="00DF309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Assim</w:t>
      </w:r>
      <w:r w:rsidR="00B47054">
        <w:rPr>
          <w:rFonts w:ascii="Times New Roman" w:eastAsia="Times New Roman" w:hAnsi="Times New Roman" w:cs="Times New Roman"/>
          <w:sz w:val="24"/>
          <w:szCs w:val="24"/>
        </w:rPr>
        <w:t>, a pesquisa objetiva a</w:t>
      </w:r>
      <w:r w:rsidR="00D93A15">
        <w:rPr>
          <w:rFonts w:ascii="Times New Roman" w:eastAsia="Times New Roman" w:hAnsi="Times New Roman" w:cs="Times New Roman"/>
          <w:sz w:val="24"/>
          <w:szCs w:val="24"/>
        </w:rPr>
        <w:t xml:space="preserve">nalisar </w:t>
      </w:r>
      <w:r w:rsidR="0074167C">
        <w:rPr>
          <w:rFonts w:ascii="Times New Roman" w:eastAsia="Times New Roman" w:hAnsi="Times New Roman" w:cs="Times New Roman"/>
          <w:sz w:val="24"/>
          <w:szCs w:val="24"/>
        </w:rPr>
        <w:t xml:space="preserve">os fundamentos da compreensão de discriminação estrutural em razão de pobreza adotada pela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Corte IDH</w:t>
      </w:r>
      <w:r w:rsidR="0074167C">
        <w:rPr>
          <w:rFonts w:ascii="Times New Roman" w:eastAsia="Times New Roman" w:hAnsi="Times New Roman" w:cs="Times New Roman"/>
          <w:sz w:val="24"/>
          <w:szCs w:val="24"/>
        </w:rPr>
        <w:t xml:space="preserve"> nos referidos julgamentos, bem como refletir sobre a validade, no direito brasileiro, do reconhecimento de tal</w:t>
      </w:r>
      <w:r w:rsidR="00D04F8C">
        <w:rPr>
          <w:rFonts w:ascii="Times New Roman" w:eastAsia="Times New Roman" w:hAnsi="Times New Roman" w:cs="Times New Roman"/>
          <w:sz w:val="24"/>
          <w:szCs w:val="24"/>
        </w:rPr>
        <w:t xml:space="preserve"> fenômeno</w:t>
      </w:r>
      <w:r w:rsidR="00741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685">
        <w:rPr>
          <w:rFonts w:ascii="Times New Roman" w:eastAsia="Times New Roman" w:hAnsi="Times New Roman" w:cs="Times New Roman"/>
          <w:sz w:val="24"/>
          <w:szCs w:val="24"/>
        </w:rPr>
        <w:t>discrimina</w:t>
      </w:r>
      <w:r w:rsidR="00D04F8C">
        <w:rPr>
          <w:rFonts w:ascii="Times New Roman" w:eastAsia="Times New Roman" w:hAnsi="Times New Roman" w:cs="Times New Roman"/>
          <w:sz w:val="24"/>
          <w:szCs w:val="24"/>
        </w:rPr>
        <w:t>tório</w:t>
      </w:r>
      <w:r w:rsidR="008A26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9DD543" w14:textId="44299C01" w:rsidR="001D23B4" w:rsidRDefault="00990CFA" w:rsidP="00DF309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tanto, a pesquisa será </w:t>
      </w:r>
      <w:r w:rsidR="00EC298D">
        <w:rPr>
          <w:rFonts w:ascii="Times New Roman" w:eastAsia="Times New Roman" w:hAnsi="Times New Roman" w:cs="Times New Roman"/>
          <w:sz w:val="24"/>
          <w:szCs w:val="24"/>
        </w:rPr>
        <w:t xml:space="preserve">realizada em duas partes, ambas elaboradas a partir da metodologia de revisão </w:t>
      </w:r>
      <w:r w:rsidR="00514057">
        <w:rPr>
          <w:rFonts w:ascii="Times New Roman" w:eastAsia="Times New Roman" w:hAnsi="Times New Roman" w:cs="Times New Roman"/>
          <w:sz w:val="24"/>
          <w:szCs w:val="24"/>
        </w:rPr>
        <w:t>bibliográfica,</w:t>
      </w:r>
      <w:r w:rsidR="00EC298D">
        <w:rPr>
          <w:rFonts w:ascii="Times New Roman" w:eastAsia="Times New Roman" w:hAnsi="Times New Roman" w:cs="Times New Roman"/>
          <w:sz w:val="24"/>
          <w:szCs w:val="24"/>
        </w:rPr>
        <w:t xml:space="preserve"> especialmente relacionada ao</w:t>
      </w:r>
      <w:r w:rsidR="0074167C">
        <w:rPr>
          <w:rFonts w:ascii="Times New Roman" w:eastAsia="Times New Roman" w:hAnsi="Times New Roman" w:cs="Times New Roman"/>
          <w:sz w:val="24"/>
          <w:szCs w:val="24"/>
        </w:rPr>
        <w:t>s direitos humanos e ao</w:t>
      </w:r>
      <w:r w:rsidR="00EC298D">
        <w:rPr>
          <w:rFonts w:ascii="Times New Roman" w:eastAsia="Times New Roman" w:hAnsi="Times New Roman" w:cs="Times New Roman"/>
          <w:sz w:val="24"/>
          <w:szCs w:val="24"/>
        </w:rPr>
        <w:t xml:space="preserve"> direito da </w:t>
      </w:r>
      <w:proofErr w:type="spellStart"/>
      <w:r w:rsidR="00EC298D">
        <w:rPr>
          <w:rFonts w:ascii="Times New Roman" w:eastAsia="Times New Roman" w:hAnsi="Times New Roman" w:cs="Times New Roman"/>
          <w:sz w:val="24"/>
          <w:szCs w:val="24"/>
        </w:rPr>
        <w:t>antidiscriminação</w:t>
      </w:r>
      <w:proofErr w:type="spellEnd"/>
      <w:r w:rsidR="005140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1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98D">
        <w:rPr>
          <w:rFonts w:ascii="Times New Roman" w:eastAsia="Times New Roman" w:hAnsi="Times New Roman" w:cs="Times New Roman"/>
          <w:sz w:val="24"/>
          <w:szCs w:val="24"/>
        </w:rPr>
        <w:t>e d</w:t>
      </w:r>
      <w:r w:rsidR="00552EDD">
        <w:rPr>
          <w:rFonts w:ascii="Times New Roman" w:eastAsia="Times New Roman" w:hAnsi="Times New Roman" w:cs="Times New Roman"/>
          <w:sz w:val="24"/>
          <w:szCs w:val="24"/>
        </w:rPr>
        <w:t>e</w:t>
      </w:r>
      <w:r w:rsidR="00EC298D">
        <w:rPr>
          <w:rFonts w:ascii="Times New Roman" w:eastAsia="Times New Roman" w:hAnsi="Times New Roman" w:cs="Times New Roman"/>
          <w:sz w:val="24"/>
          <w:szCs w:val="24"/>
        </w:rPr>
        <w:t xml:space="preserve"> análise qualitativa de decisões</w:t>
      </w:r>
      <w:r w:rsidR="00D04F8C">
        <w:rPr>
          <w:rFonts w:ascii="Times New Roman" w:eastAsia="Times New Roman" w:hAnsi="Times New Roman" w:cs="Times New Roman"/>
          <w:sz w:val="24"/>
          <w:szCs w:val="24"/>
        </w:rPr>
        <w:t xml:space="preserve"> da Corte IDH e do STF</w:t>
      </w:r>
      <w:r w:rsidR="00EC298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4F8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EC2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F8C">
        <w:rPr>
          <w:rFonts w:ascii="Times New Roman" w:eastAsia="Times New Roman" w:hAnsi="Times New Roman" w:cs="Times New Roman"/>
          <w:sz w:val="24"/>
          <w:szCs w:val="24"/>
        </w:rPr>
        <w:t>manifestações de Comitês de supervisão de normas do Sistema Universal dos Direitos Humanos,</w:t>
      </w:r>
      <w:r w:rsidR="00EC298D">
        <w:rPr>
          <w:rFonts w:ascii="Times New Roman" w:eastAsia="Times New Roman" w:hAnsi="Times New Roman" w:cs="Times New Roman"/>
          <w:sz w:val="24"/>
          <w:szCs w:val="24"/>
        </w:rPr>
        <w:t xml:space="preserve"> selecionadas pelo impacto social e relevância jurídica. </w:t>
      </w:r>
    </w:p>
    <w:p w14:paraId="7362F1F1" w14:textId="2853A225" w:rsidR="00584198" w:rsidRDefault="00EC298D" w:rsidP="00AD2F4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primeira parte, analisa-se o conceito jurídico de discriminação estrutural.</w:t>
      </w:r>
      <w:r w:rsidR="00514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DDD">
        <w:rPr>
          <w:rFonts w:ascii="Times New Roman" w:eastAsia="Times New Roman" w:hAnsi="Times New Roman" w:cs="Times New Roman"/>
          <w:sz w:val="24"/>
          <w:szCs w:val="24"/>
        </w:rPr>
        <w:t>Inicialmente, aborda-se o conceito jurídico de discriminação, considerando o conceito internalizado no direito brasileiro</w:t>
      </w:r>
      <w:r w:rsidR="00AD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DDD">
        <w:rPr>
          <w:rFonts w:ascii="Times New Roman" w:eastAsia="Times New Roman" w:hAnsi="Times New Roman" w:cs="Times New Roman"/>
          <w:sz w:val="24"/>
          <w:szCs w:val="24"/>
        </w:rPr>
        <w:t>a partir das normas do Sistema Universal dos Direitos Humanos</w:t>
      </w:r>
      <w:r w:rsidR="00E1314A" w:rsidRPr="00E13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DDD">
        <w:rPr>
          <w:rFonts w:ascii="Times New Roman" w:eastAsia="Times New Roman" w:hAnsi="Times New Roman" w:cs="Times New Roman"/>
          <w:sz w:val="24"/>
          <w:szCs w:val="24"/>
        </w:rPr>
        <w:t>(RIOS, 2008)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7F9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afirmação </w:t>
      </w:r>
      <w:r w:rsidR="00786DDD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314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Corte IDH</w:t>
      </w:r>
      <w:r w:rsidR="00E1314A">
        <w:rPr>
          <w:rFonts w:ascii="Times New Roman" w:eastAsia="Times New Roman" w:hAnsi="Times New Roman" w:cs="Times New Roman"/>
          <w:sz w:val="24"/>
          <w:szCs w:val="24"/>
        </w:rPr>
        <w:t xml:space="preserve"> que, a partir do artigo 1.1 da Convenção Americana (OEA, 1969)</w:t>
      </w:r>
      <w:r w:rsidR="00AA04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há um </w:t>
      </w:r>
      <w:r w:rsidR="00AA040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A040F" w:rsidRPr="00AA040F">
        <w:rPr>
          <w:rFonts w:ascii="Times New Roman" w:eastAsia="Times New Roman" w:hAnsi="Times New Roman" w:cs="Times New Roman"/>
          <w:sz w:val="24"/>
          <w:szCs w:val="24"/>
        </w:rPr>
        <w:t>vínculo indissolúvel entre a obrigação de respeitar e garantir os direitos humanos e o princípio de igualdade e não discriminação</w:t>
      </w:r>
      <w:r w:rsidR="00AA040F"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AA040F" w:rsidRPr="00093B03">
        <w:rPr>
          <w:rFonts w:ascii="Times New Roman" w:eastAsia="Times New Roman" w:hAnsi="Times New Roman" w:cs="Times New Roman"/>
          <w:sz w:val="24"/>
          <w:szCs w:val="24"/>
        </w:rPr>
        <w:t>CORTE IDH,</w:t>
      </w:r>
      <w:r w:rsidR="001C5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40F" w:rsidRPr="00093B0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AA040F">
        <w:rPr>
          <w:rFonts w:ascii="Times New Roman" w:eastAsia="Times New Roman" w:hAnsi="Times New Roman" w:cs="Times New Roman"/>
          <w:sz w:val="24"/>
          <w:szCs w:val="24"/>
        </w:rPr>
        <w:t>, par. 188</w:t>
      </w:r>
      <w:r w:rsidR="00AA040F" w:rsidRPr="00093B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. Posteriormente, </w:t>
      </w:r>
      <w:r w:rsidR="00D6624C">
        <w:rPr>
          <w:rFonts w:ascii="Times New Roman" w:eastAsia="Times New Roman" w:hAnsi="Times New Roman" w:cs="Times New Roman"/>
          <w:sz w:val="24"/>
          <w:szCs w:val="24"/>
        </w:rPr>
        <w:t>examina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>-se as modalidades direta e indireta de discriminação</w:t>
      </w:r>
      <w:r w:rsidR="00DF309A">
        <w:rPr>
          <w:rFonts w:ascii="Times New Roman" w:eastAsia="Times New Roman" w:hAnsi="Times New Roman" w:cs="Times New Roman"/>
          <w:sz w:val="24"/>
          <w:szCs w:val="24"/>
        </w:rPr>
        <w:t>, distinguíveis a partir da existência de intencionalidade de discriminação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 (FREDMAN, 2011; RIOS, 2008), com ênfase na</w:t>
      </w:r>
      <w:r w:rsidR="00D6624C">
        <w:rPr>
          <w:rFonts w:ascii="Times New Roman" w:eastAsia="Times New Roman" w:hAnsi="Times New Roman" w:cs="Times New Roman"/>
          <w:sz w:val="24"/>
          <w:szCs w:val="24"/>
        </w:rPr>
        <w:t>s características da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9F4">
        <w:rPr>
          <w:rFonts w:ascii="Times New Roman" w:eastAsia="Times New Roman" w:hAnsi="Times New Roman" w:cs="Times New Roman"/>
          <w:sz w:val="24"/>
          <w:szCs w:val="24"/>
        </w:rPr>
        <w:t>discriminação indireta, sua aproximação e distanciamento à teoria do impacto desproporcional (GOMES 2011; CORBO, 2017) e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 o seu reconhecimento em decisões da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Corte IDH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1156">
        <w:rPr>
          <w:rFonts w:ascii="Times New Roman" w:eastAsia="Times New Roman" w:hAnsi="Times New Roman" w:cs="Times New Roman"/>
          <w:sz w:val="24"/>
          <w:szCs w:val="24"/>
        </w:rPr>
        <w:t>CORTE IDH, 2003; CORTE IDH, 2005; CORTE IDH, 2012</w:t>
      </w:r>
      <w:r w:rsidR="00E92451">
        <w:rPr>
          <w:rFonts w:ascii="Times New Roman" w:eastAsia="Times New Roman" w:hAnsi="Times New Roman" w:cs="Times New Roman"/>
          <w:sz w:val="24"/>
          <w:szCs w:val="24"/>
        </w:rPr>
        <w:t>a;</w:t>
      </w:r>
      <w:r w:rsidR="0018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0DF">
        <w:rPr>
          <w:rFonts w:ascii="Times New Roman" w:eastAsia="Times New Roman" w:hAnsi="Times New Roman" w:cs="Times New Roman"/>
          <w:sz w:val="24"/>
          <w:szCs w:val="24"/>
        </w:rPr>
        <w:t>CORTE IDH, 2012b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) e do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STF</w:t>
      </w:r>
      <w:r w:rsidR="00BD6BA0">
        <w:rPr>
          <w:rFonts w:ascii="Times New Roman" w:eastAsia="Times New Roman" w:hAnsi="Times New Roman" w:cs="Times New Roman"/>
          <w:sz w:val="24"/>
          <w:szCs w:val="24"/>
        </w:rPr>
        <w:t xml:space="preserve"> (BRASIL, 2020b; BRASIL, 2016; BRASIL, 2001).</w:t>
      </w:r>
      <w:r w:rsidR="00D66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24C" w:rsidRPr="001F1D30">
        <w:rPr>
          <w:rFonts w:ascii="Times New Roman" w:eastAsia="Times New Roman" w:hAnsi="Times New Roman" w:cs="Times New Roman"/>
          <w:sz w:val="24"/>
          <w:szCs w:val="24"/>
        </w:rPr>
        <w:t>Então,</w:t>
      </w:r>
      <w:r w:rsidR="00DF309A" w:rsidRPr="001F1D30">
        <w:rPr>
          <w:rFonts w:ascii="Times New Roman" w:eastAsia="Times New Roman" w:hAnsi="Times New Roman" w:cs="Times New Roman"/>
          <w:sz w:val="24"/>
          <w:szCs w:val="24"/>
        </w:rPr>
        <w:t xml:space="preserve"> a partir de uma concepção coletiv</w:t>
      </w:r>
      <w:r w:rsidR="001F1D30" w:rsidRPr="001F1D30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309A" w:rsidRPr="001F1D30">
        <w:rPr>
          <w:rFonts w:ascii="Times New Roman" w:eastAsia="Times New Roman" w:hAnsi="Times New Roman" w:cs="Times New Roman"/>
          <w:sz w:val="24"/>
          <w:szCs w:val="24"/>
        </w:rPr>
        <w:t xml:space="preserve"> do fenômeno discriminatório</w:t>
      </w:r>
      <w:r w:rsidR="00AC644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716123">
        <w:rPr>
          <w:rFonts w:ascii="Times New Roman" w:eastAsia="Times New Roman" w:hAnsi="Times New Roman" w:cs="Times New Roman"/>
          <w:sz w:val="24"/>
          <w:szCs w:val="24"/>
        </w:rPr>
        <w:t>enfrentando</w:t>
      </w:r>
      <w:r w:rsidR="00584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448">
        <w:rPr>
          <w:rFonts w:ascii="Times New Roman" w:eastAsia="Times New Roman" w:hAnsi="Times New Roman" w:cs="Times New Roman"/>
          <w:sz w:val="24"/>
          <w:szCs w:val="24"/>
        </w:rPr>
        <w:t>a sua relação com os parâmetros de comparação tradicionalmente vinculados ao princípio da igualdade (GAVARA DE CARA, 2005)</w:t>
      </w:r>
      <w:r w:rsidR="00DF309A" w:rsidRPr="001F1D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624C" w:rsidRPr="001F1D30">
        <w:rPr>
          <w:rFonts w:ascii="Times New Roman" w:eastAsia="Times New Roman" w:hAnsi="Times New Roman" w:cs="Times New Roman"/>
          <w:sz w:val="24"/>
          <w:szCs w:val="24"/>
        </w:rPr>
        <w:t xml:space="preserve"> analisa-se</w:t>
      </w:r>
      <w:r w:rsidR="00DF309A" w:rsidRPr="001F1D30">
        <w:rPr>
          <w:rFonts w:ascii="Times New Roman" w:eastAsia="Times New Roman" w:hAnsi="Times New Roman" w:cs="Times New Roman"/>
          <w:sz w:val="24"/>
          <w:szCs w:val="24"/>
        </w:rPr>
        <w:t xml:space="preserve"> a discriminação em dimensão </w:t>
      </w:r>
      <w:r w:rsidR="00767887" w:rsidRPr="001F1D30">
        <w:rPr>
          <w:rFonts w:ascii="Times New Roman" w:eastAsia="Times New Roman" w:hAnsi="Times New Roman" w:cs="Times New Roman"/>
          <w:sz w:val="24"/>
          <w:szCs w:val="24"/>
        </w:rPr>
        <w:t>institucional</w:t>
      </w:r>
      <w:r w:rsidR="00BA48D8" w:rsidRPr="001F1D30">
        <w:rPr>
          <w:rFonts w:ascii="Times New Roman" w:eastAsia="Times New Roman" w:hAnsi="Times New Roman" w:cs="Times New Roman"/>
          <w:sz w:val="24"/>
          <w:szCs w:val="24"/>
        </w:rPr>
        <w:t xml:space="preserve"> (HENRY, 2010; MCCRUDDEN, 1982</w:t>
      </w:r>
      <w:r w:rsidR="001F1D30" w:rsidRPr="001F1D30">
        <w:rPr>
          <w:rFonts w:ascii="Times New Roman" w:eastAsia="Times New Roman" w:hAnsi="Times New Roman" w:cs="Times New Roman"/>
          <w:sz w:val="24"/>
          <w:szCs w:val="24"/>
        </w:rPr>
        <w:t>; FRIEDMAN, 1975</w:t>
      </w:r>
      <w:r w:rsidR="0067275D" w:rsidRPr="001F1D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1D30" w:rsidRPr="001F1D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275D" w:rsidRPr="001F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887" w:rsidRPr="001F1D30">
        <w:rPr>
          <w:rFonts w:ascii="Times New Roman" w:eastAsia="Times New Roman" w:hAnsi="Times New Roman" w:cs="Times New Roman"/>
          <w:sz w:val="24"/>
          <w:szCs w:val="24"/>
        </w:rPr>
        <w:t>estrutural</w:t>
      </w:r>
      <w:r w:rsidR="001F1D30" w:rsidRPr="001F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28D">
        <w:rPr>
          <w:rFonts w:ascii="Times New Roman" w:eastAsia="Times New Roman" w:hAnsi="Times New Roman" w:cs="Times New Roman"/>
          <w:sz w:val="24"/>
          <w:szCs w:val="24"/>
        </w:rPr>
        <w:t xml:space="preserve">(BONILLA-SILVA, 1997; </w:t>
      </w:r>
      <w:r w:rsidR="005567AE" w:rsidRPr="005567AE">
        <w:rPr>
          <w:rFonts w:ascii="Times New Roman" w:eastAsia="Times New Roman" w:hAnsi="Times New Roman" w:cs="Times New Roman"/>
          <w:sz w:val="24"/>
          <w:szCs w:val="24"/>
        </w:rPr>
        <w:t xml:space="preserve">AÑON ROIG, 2013; </w:t>
      </w:r>
      <w:r w:rsidR="00D66C62" w:rsidRPr="005567AE">
        <w:rPr>
          <w:rFonts w:ascii="Times New Roman" w:eastAsia="Times New Roman" w:hAnsi="Times New Roman" w:cs="Times New Roman"/>
          <w:sz w:val="24"/>
          <w:szCs w:val="24"/>
        </w:rPr>
        <w:t xml:space="preserve">ALTMAN, 2011) </w:t>
      </w:r>
      <w:r w:rsidR="001F1D30" w:rsidRPr="005567AE">
        <w:rPr>
          <w:rFonts w:ascii="Times New Roman" w:eastAsia="Times New Roman" w:hAnsi="Times New Roman" w:cs="Times New Roman"/>
          <w:sz w:val="24"/>
          <w:szCs w:val="24"/>
        </w:rPr>
        <w:t>e intergeracional</w:t>
      </w:r>
      <w:r w:rsidR="00767887" w:rsidRPr="00556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75D" w:rsidRPr="005567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1D30" w:rsidRPr="005567AE">
        <w:rPr>
          <w:rFonts w:ascii="Times New Roman" w:eastAsia="Times New Roman" w:hAnsi="Times New Roman" w:cs="Times New Roman"/>
          <w:sz w:val="24"/>
          <w:szCs w:val="24"/>
        </w:rPr>
        <w:t>MOREIRA, 2017; ALMEIDA, 2019</w:t>
      </w:r>
      <w:r w:rsidR="0042028D" w:rsidRPr="005567A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567AE" w:rsidRPr="005567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7887" w:rsidRPr="005567AE">
        <w:rPr>
          <w:rFonts w:ascii="Times New Roman" w:eastAsia="Times New Roman" w:hAnsi="Times New Roman" w:cs="Times New Roman"/>
          <w:sz w:val="24"/>
          <w:szCs w:val="24"/>
        </w:rPr>
        <w:t>apresentando as diferenças entre as dimensões e com ênfase na discriminação estrutural</w:t>
      </w:r>
      <w:r w:rsidR="005567AE" w:rsidRPr="005567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48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887" w:rsidRPr="00D50589">
        <w:rPr>
          <w:rFonts w:ascii="Times New Roman" w:eastAsia="Times New Roman" w:hAnsi="Times New Roman" w:cs="Times New Roman"/>
          <w:sz w:val="24"/>
          <w:szCs w:val="24"/>
        </w:rPr>
        <w:t xml:space="preserve">Nesse sentido, aborda-se os julgamentos da Corte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IDH</w:t>
      </w:r>
      <w:r w:rsidR="00767887" w:rsidRPr="00D50589">
        <w:rPr>
          <w:rFonts w:ascii="Times New Roman" w:eastAsia="Times New Roman" w:hAnsi="Times New Roman" w:cs="Times New Roman"/>
          <w:sz w:val="24"/>
          <w:szCs w:val="24"/>
        </w:rPr>
        <w:t xml:space="preserve"> sobre discriminação estrutural (CORTE IDH</w:t>
      </w:r>
      <w:r w:rsidR="00392C71" w:rsidRPr="00D50589">
        <w:rPr>
          <w:rFonts w:ascii="Times New Roman" w:eastAsia="Times New Roman" w:hAnsi="Times New Roman" w:cs="Times New Roman"/>
          <w:sz w:val="24"/>
          <w:szCs w:val="24"/>
        </w:rPr>
        <w:t>, 2009;</w:t>
      </w:r>
      <w:r w:rsidR="00D50589" w:rsidRPr="00D50589">
        <w:rPr>
          <w:rFonts w:ascii="Times New Roman" w:eastAsia="Times New Roman" w:hAnsi="Times New Roman" w:cs="Times New Roman"/>
          <w:sz w:val="24"/>
          <w:szCs w:val="24"/>
        </w:rPr>
        <w:t xml:space="preserve"> CORTE IDH, 2012</w:t>
      </w:r>
      <w:r w:rsidR="00E92451">
        <w:rPr>
          <w:rFonts w:ascii="Times New Roman" w:eastAsia="Times New Roman" w:hAnsi="Times New Roman" w:cs="Times New Roman"/>
          <w:sz w:val="24"/>
          <w:szCs w:val="24"/>
        </w:rPr>
        <w:t>c</w:t>
      </w:r>
      <w:r w:rsidR="00D50589" w:rsidRPr="00D50589">
        <w:rPr>
          <w:rFonts w:ascii="Times New Roman" w:eastAsia="Times New Roman" w:hAnsi="Times New Roman" w:cs="Times New Roman"/>
          <w:sz w:val="24"/>
          <w:szCs w:val="24"/>
        </w:rPr>
        <w:t>; CORTE IDH 2016; CORTE IDH 2020</w:t>
      </w:r>
      <w:r w:rsidR="00767887" w:rsidRPr="00D505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C6448">
        <w:rPr>
          <w:rFonts w:ascii="Times New Roman" w:eastAsia="Times New Roman" w:hAnsi="Times New Roman" w:cs="Times New Roman"/>
          <w:sz w:val="24"/>
          <w:szCs w:val="24"/>
        </w:rPr>
        <w:t xml:space="preserve">e do 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>STF</w:t>
      </w:r>
      <w:r w:rsidR="00AC6448">
        <w:rPr>
          <w:rFonts w:ascii="Times New Roman" w:eastAsia="Times New Roman" w:hAnsi="Times New Roman" w:cs="Times New Roman"/>
          <w:sz w:val="24"/>
          <w:szCs w:val="24"/>
        </w:rPr>
        <w:t xml:space="preserve"> acerca da discriminação estrutural racial (BRASIL, 2020a; BRASIL, 2017). Por fim, </w:t>
      </w:r>
      <w:r w:rsidR="00584198">
        <w:rPr>
          <w:rFonts w:ascii="Times New Roman" w:eastAsia="Times New Roman" w:hAnsi="Times New Roman" w:cs="Times New Roman"/>
          <w:sz w:val="24"/>
          <w:szCs w:val="24"/>
        </w:rPr>
        <w:t>em atenção ao fato de a Corte Interamericana de Direitos Humanos respaldar</w:t>
      </w:r>
      <w:r w:rsidR="00AD2F4F">
        <w:rPr>
          <w:rFonts w:ascii="Times New Roman" w:eastAsia="Times New Roman" w:hAnsi="Times New Roman" w:cs="Times New Roman"/>
          <w:sz w:val="24"/>
          <w:szCs w:val="24"/>
        </w:rPr>
        <w:t xml:space="preserve"> a discriminação estrutural com fundamento normativo </w:t>
      </w:r>
      <w:r w:rsidR="00584198">
        <w:rPr>
          <w:rFonts w:ascii="Times New Roman" w:eastAsia="Times New Roman" w:hAnsi="Times New Roman" w:cs="Times New Roman"/>
          <w:sz w:val="24"/>
          <w:szCs w:val="24"/>
        </w:rPr>
        <w:t xml:space="preserve">a partir do conceito de “discriminação sistêmica” da </w:t>
      </w:r>
      <w:r w:rsidR="00584198" w:rsidRPr="00584198">
        <w:rPr>
          <w:rFonts w:ascii="Times New Roman" w:eastAsia="Times New Roman" w:hAnsi="Times New Roman" w:cs="Times New Roman"/>
          <w:sz w:val="24"/>
          <w:szCs w:val="24"/>
        </w:rPr>
        <w:t>Observação Geral nº 20</w:t>
      </w:r>
      <w:r w:rsidR="00584198">
        <w:rPr>
          <w:rFonts w:ascii="Times New Roman" w:eastAsia="Times New Roman" w:hAnsi="Times New Roman" w:cs="Times New Roman"/>
          <w:sz w:val="24"/>
          <w:szCs w:val="24"/>
        </w:rPr>
        <w:t xml:space="preserve"> do Comitê de Direitos Econômicos, Sociais e Culturais (COMITÊ DESC, 2009, par. 12)</w:t>
      </w:r>
      <w:r w:rsidR="00E82242">
        <w:rPr>
          <w:rFonts w:ascii="Times New Roman" w:eastAsia="Times New Roman" w:hAnsi="Times New Roman" w:cs="Times New Roman"/>
          <w:sz w:val="24"/>
          <w:szCs w:val="24"/>
        </w:rPr>
        <w:t>, analisa-</w:t>
      </w:r>
      <w:r w:rsidR="00E822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 a referida Observação Geral e demais </w:t>
      </w:r>
      <w:r w:rsidR="005D077B">
        <w:rPr>
          <w:rFonts w:ascii="Times New Roman" w:eastAsia="Times New Roman" w:hAnsi="Times New Roman" w:cs="Times New Roman"/>
          <w:sz w:val="24"/>
          <w:szCs w:val="24"/>
        </w:rPr>
        <w:t xml:space="preserve">relevantes </w:t>
      </w:r>
      <w:r w:rsidR="00E82242">
        <w:rPr>
          <w:rFonts w:ascii="Times New Roman" w:eastAsia="Times New Roman" w:hAnsi="Times New Roman" w:cs="Times New Roman"/>
          <w:sz w:val="24"/>
          <w:szCs w:val="24"/>
        </w:rPr>
        <w:t>manifestações sobre discriminação estrutural de Comitês de supervisão do Sistema Universal de Direitos Humanos (COMITÊ CERD, 2011</w:t>
      </w:r>
      <w:r w:rsidR="007E2B94">
        <w:rPr>
          <w:rFonts w:ascii="Times New Roman" w:eastAsia="Times New Roman" w:hAnsi="Times New Roman" w:cs="Times New Roman"/>
          <w:sz w:val="24"/>
          <w:szCs w:val="24"/>
        </w:rPr>
        <w:t xml:space="preserve">; COMITÊ CEDAW, 2013; COMITÊ CEDAW, 2015; </w:t>
      </w:r>
      <w:r w:rsidR="005D077B">
        <w:rPr>
          <w:rFonts w:ascii="Times New Roman" w:eastAsia="Times New Roman" w:hAnsi="Times New Roman" w:cs="Times New Roman"/>
          <w:sz w:val="24"/>
          <w:szCs w:val="24"/>
        </w:rPr>
        <w:t>COMITÊ CRDP, 2016)</w:t>
      </w:r>
      <w:r w:rsidR="00A7180A">
        <w:rPr>
          <w:rFonts w:ascii="Times New Roman" w:eastAsia="Times New Roman" w:hAnsi="Times New Roman" w:cs="Times New Roman"/>
          <w:sz w:val="24"/>
          <w:szCs w:val="24"/>
        </w:rPr>
        <w:t xml:space="preserve">, as quais, mesmo que consideradas </w:t>
      </w:r>
      <w:r w:rsidR="00A7180A" w:rsidRPr="00A718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soft </w:t>
      </w:r>
      <w:proofErr w:type="spellStart"/>
      <w:r w:rsidR="00A7180A" w:rsidRPr="00A7180A">
        <w:rPr>
          <w:rFonts w:ascii="Times New Roman" w:eastAsia="Times New Roman" w:hAnsi="Times New Roman" w:cs="Times New Roman"/>
          <w:i/>
          <w:iCs/>
          <w:sz w:val="24"/>
          <w:szCs w:val="24"/>
        </w:rPr>
        <w:t>law</w:t>
      </w:r>
      <w:proofErr w:type="spellEnd"/>
      <w:r w:rsidR="00A7180A">
        <w:rPr>
          <w:rFonts w:ascii="Times New Roman" w:eastAsia="Times New Roman" w:hAnsi="Times New Roman" w:cs="Times New Roman"/>
          <w:sz w:val="24"/>
          <w:szCs w:val="24"/>
        </w:rPr>
        <w:t xml:space="preserve"> (BOYLE: CHINKIN, 2007), </w:t>
      </w:r>
      <w:r w:rsidR="00180B5B">
        <w:rPr>
          <w:rFonts w:ascii="Times New Roman" w:eastAsia="Times New Roman" w:hAnsi="Times New Roman" w:cs="Times New Roman"/>
          <w:sz w:val="24"/>
          <w:szCs w:val="24"/>
        </w:rPr>
        <w:t>impactam</w:t>
      </w:r>
      <w:r w:rsidR="00A7180A">
        <w:rPr>
          <w:rFonts w:ascii="Times New Roman" w:eastAsia="Times New Roman" w:hAnsi="Times New Roman" w:cs="Times New Roman"/>
          <w:sz w:val="24"/>
          <w:szCs w:val="24"/>
        </w:rPr>
        <w:t xml:space="preserve"> as bases doutrin</w:t>
      </w:r>
      <w:r w:rsidR="00180B5B">
        <w:rPr>
          <w:rFonts w:ascii="Times New Roman" w:eastAsia="Times New Roman" w:hAnsi="Times New Roman" w:cs="Times New Roman"/>
          <w:sz w:val="24"/>
          <w:szCs w:val="24"/>
        </w:rPr>
        <w:t>árias sobre o</w:t>
      </w:r>
      <w:r w:rsidR="003E7A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0B5B">
        <w:rPr>
          <w:rFonts w:ascii="Times New Roman" w:eastAsia="Times New Roman" w:hAnsi="Times New Roman" w:cs="Times New Roman"/>
          <w:sz w:val="24"/>
          <w:szCs w:val="24"/>
        </w:rPr>
        <w:t xml:space="preserve"> assunto</w:t>
      </w:r>
      <w:r w:rsidR="003E7A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80B5B">
        <w:rPr>
          <w:rFonts w:ascii="Times New Roman" w:eastAsia="Times New Roman" w:hAnsi="Times New Roman" w:cs="Times New Roman"/>
          <w:sz w:val="24"/>
          <w:szCs w:val="24"/>
        </w:rPr>
        <w:t xml:space="preserve"> (CANÇADO TRINDADE, 1999).</w:t>
      </w:r>
    </w:p>
    <w:p w14:paraId="5A516CE3" w14:textId="6E29F481" w:rsidR="008A7BAC" w:rsidRDefault="00FE3242" w:rsidP="00F833D4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segunda parte, analisa-se a pobreza enquanto critério proibido de discriminação estrutural.</w:t>
      </w:r>
      <w:r w:rsidR="00FB3424">
        <w:rPr>
          <w:rFonts w:ascii="Times New Roman" w:eastAsia="Times New Roman" w:hAnsi="Times New Roman" w:cs="Times New Roman"/>
          <w:sz w:val="24"/>
          <w:szCs w:val="24"/>
        </w:rPr>
        <w:t xml:space="preserve"> Inicialmente, </w:t>
      </w:r>
      <w:r w:rsidR="00127C83">
        <w:rPr>
          <w:rFonts w:ascii="Times New Roman" w:eastAsia="Times New Roman" w:hAnsi="Times New Roman" w:cs="Times New Roman"/>
          <w:sz w:val="24"/>
          <w:szCs w:val="24"/>
        </w:rPr>
        <w:t xml:space="preserve">abordam-se </w:t>
      </w:r>
      <w:r w:rsidR="00447505">
        <w:rPr>
          <w:rFonts w:ascii="Times New Roman" w:eastAsia="Times New Roman" w:hAnsi="Times New Roman" w:cs="Times New Roman"/>
          <w:sz w:val="24"/>
          <w:szCs w:val="24"/>
        </w:rPr>
        <w:t>as técnicas adotadas pelos ordenamentos jurídicos para identificação dos critérios proibidos de discriminação: a enumeração legal de uma lista exaustiva dos critérios; a previsão legal ampla de proibição de discriminação, sem referência a critérios específicos; e a previsão legal de uma lista não exaustiva de motivos proibidos de discriminação</w:t>
      </w:r>
      <w:r w:rsidR="006248A8">
        <w:rPr>
          <w:rFonts w:ascii="Times New Roman" w:eastAsia="Times New Roman" w:hAnsi="Times New Roman" w:cs="Times New Roman"/>
          <w:sz w:val="24"/>
          <w:szCs w:val="24"/>
        </w:rPr>
        <w:t xml:space="preserve">, com uma ampla proibição de discriminação por qualquer razão </w:t>
      </w:r>
      <w:r w:rsidR="00447505">
        <w:rPr>
          <w:rFonts w:ascii="Times New Roman" w:eastAsia="Times New Roman" w:hAnsi="Times New Roman" w:cs="Times New Roman"/>
          <w:sz w:val="24"/>
          <w:szCs w:val="24"/>
        </w:rPr>
        <w:t>(FREDMAN, 2011)</w:t>
      </w:r>
      <w:r w:rsidR="006248A8">
        <w:rPr>
          <w:rFonts w:ascii="Times New Roman" w:eastAsia="Times New Roman" w:hAnsi="Times New Roman" w:cs="Times New Roman"/>
          <w:sz w:val="24"/>
          <w:szCs w:val="24"/>
        </w:rPr>
        <w:t>, destacando-se a adoção do terceiro modelo pelo Sistema Interamericano dos Direitos Humanos e pelo ordenamento jurídico brasileiro (RIOS, 2008)</w:t>
      </w:r>
      <w:r w:rsidR="00043D36">
        <w:rPr>
          <w:rFonts w:ascii="Times New Roman" w:eastAsia="Times New Roman" w:hAnsi="Times New Roman" w:cs="Times New Roman"/>
          <w:sz w:val="24"/>
          <w:szCs w:val="24"/>
        </w:rPr>
        <w:t xml:space="preserve">. Daí, examina-se o conteúdo do critério proibido de discriminação “posição econômica” previsto pela Convenção Americana (OEA, 1969) e a possibilidade de </w:t>
      </w:r>
      <w:r w:rsidR="008B45F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043D36">
        <w:rPr>
          <w:rFonts w:ascii="Times New Roman" w:eastAsia="Times New Roman" w:hAnsi="Times New Roman" w:cs="Times New Roman"/>
          <w:sz w:val="24"/>
          <w:szCs w:val="24"/>
        </w:rPr>
        <w:t>enquadrar a pobreza como critério proibido de discriminação à luz da proibição ampla de discriminação</w:t>
      </w:r>
      <w:r w:rsidR="00EF0276">
        <w:rPr>
          <w:rFonts w:ascii="Times New Roman" w:eastAsia="Times New Roman" w:hAnsi="Times New Roman" w:cs="Times New Roman"/>
          <w:sz w:val="24"/>
          <w:szCs w:val="24"/>
        </w:rPr>
        <w:t>, enquanto uma diferenciação prejudicial no reconhecimento, gozo e exercício de direitos (RIOS, 2020).</w:t>
      </w:r>
      <w:r w:rsidR="00AB1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C0C">
        <w:rPr>
          <w:rFonts w:ascii="Times New Roman" w:eastAsia="Times New Roman" w:hAnsi="Times New Roman" w:cs="Times New Roman"/>
          <w:sz w:val="24"/>
          <w:szCs w:val="24"/>
        </w:rPr>
        <w:t xml:space="preserve">Para tanto, </w:t>
      </w:r>
      <w:r w:rsidR="00F94A46">
        <w:rPr>
          <w:rFonts w:ascii="Times New Roman" w:eastAsia="Times New Roman" w:hAnsi="Times New Roman" w:cs="Times New Roman"/>
          <w:sz w:val="24"/>
          <w:szCs w:val="24"/>
        </w:rPr>
        <w:t xml:space="preserve">observa-se </w:t>
      </w:r>
      <w:r w:rsidR="000604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94A46">
        <w:rPr>
          <w:rFonts w:ascii="Times New Roman" w:eastAsia="Times New Roman" w:hAnsi="Times New Roman" w:cs="Times New Roman"/>
          <w:sz w:val="24"/>
          <w:szCs w:val="24"/>
        </w:rPr>
        <w:t xml:space="preserve">os fundamentos de fato e de direito adotados pela Corte IDH para reconhecer a existência de discriminação estrutural em razão de pobreza (CORTE IDH, 2020) e de posição econômica (CORTE IDH, 2016), bem como </w:t>
      </w:r>
      <w:r w:rsidR="00AF6981">
        <w:rPr>
          <w:rFonts w:ascii="Times New Roman" w:eastAsia="Times New Roman" w:hAnsi="Times New Roman" w:cs="Times New Roman"/>
          <w:sz w:val="24"/>
          <w:szCs w:val="24"/>
        </w:rPr>
        <w:t>a</w:t>
      </w:r>
      <w:r w:rsidR="00067761">
        <w:rPr>
          <w:rFonts w:ascii="Times New Roman" w:eastAsia="Times New Roman" w:hAnsi="Times New Roman" w:cs="Times New Roman"/>
          <w:sz w:val="24"/>
          <w:szCs w:val="24"/>
        </w:rPr>
        <w:t xml:space="preserve"> decisões da Corte IDH </w:t>
      </w:r>
      <w:r w:rsidR="00797DFE">
        <w:rPr>
          <w:rFonts w:ascii="Times New Roman" w:eastAsia="Times New Roman" w:hAnsi="Times New Roman" w:cs="Times New Roman"/>
          <w:sz w:val="24"/>
          <w:szCs w:val="24"/>
        </w:rPr>
        <w:t>que analisam a pobreza e a condição econômica como uma discriminação múltipla (CORTE IDH, 2012a) ou intersecional (CORTE IDH, 2015)</w:t>
      </w:r>
      <w:r w:rsidR="00463458">
        <w:rPr>
          <w:rFonts w:ascii="Times New Roman" w:eastAsia="Times New Roman" w:hAnsi="Times New Roman" w:cs="Times New Roman"/>
          <w:sz w:val="24"/>
          <w:szCs w:val="24"/>
        </w:rPr>
        <w:t xml:space="preserve"> com outras categorias</w:t>
      </w:r>
      <w:r w:rsidR="00AF6981">
        <w:rPr>
          <w:rFonts w:ascii="Times New Roman" w:eastAsia="Times New Roman" w:hAnsi="Times New Roman" w:cs="Times New Roman"/>
          <w:sz w:val="24"/>
          <w:szCs w:val="24"/>
        </w:rPr>
        <w:t>, ou</w:t>
      </w:r>
      <w:r w:rsidR="00463458">
        <w:rPr>
          <w:rFonts w:ascii="Times New Roman" w:eastAsia="Times New Roman" w:hAnsi="Times New Roman" w:cs="Times New Roman"/>
          <w:sz w:val="24"/>
          <w:szCs w:val="24"/>
        </w:rPr>
        <w:t xml:space="preserve"> como um fator isolado de vulnerabilidade a ser considerado pelos Estados (CORTE IDH, 2012d).</w:t>
      </w:r>
      <w:r w:rsidR="00AF6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761">
        <w:rPr>
          <w:rFonts w:ascii="Times New Roman" w:eastAsia="Times New Roman" w:hAnsi="Times New Roman" w:cs="Times New Roman"/>
          <w:sz w:val="24"/>
          <w:szCs w:val="24"/>
        </w:rPr>
        <w:t xml:space="preserve">Então, </w:t>
      </w:r>
      <w:r w:rsidR="002F32B7">
        <w:rPr>
          <w:rFonts w:ascii="Times New Roman" w:eastAsia="Times New Roman" w:hAnsi="Times New Roman" w:cs="Times New Roman"/>
          <w:sz w:val="24"/>
          <w:szCs w:val="24"/>
        </w:rPr>
        <w:t>analisa-se</w:t>
      </w:r>
      <w:r w:rsidR="007A3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23F">
        <w:rPr>
          <w:rFonts w:ascii="Times New Roman" w:eastAsia="Times New Roman" w:hAnsi="Times New Roman" w:cs="Times New Roman"/>
          <w:sz w:val="24"/>
          <w:szCs w:val="24"/>
        </w:rPr>
        <w:t xml:space="preserve">a proposta de </w:t>
      </w:r>
      <w:proofErr w:type="spellStart"/>
      <w:r w:rsidR="0029523F" w:rsidRPr="0029523F">
        <w:rPr>
          <w:rFonts w:ascii="Times New Roman" w:eastAsia="Times New Roman" w:hAnsi="Times New Roman" w:cs="Times New Roman"/>
          <w:sz w:val="24"/>
          <w:szCs w:val="24"/>
        </w:rPr>
        <w:t>Shreya</w:t>
      </w:r>
      <w:proofErr w:type="spellEnd"/>
      <w:r w:rsidR="0029523F" w:rsidRPr="0029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523F" w:rsidRPr="0029523F">
        <w:rPr>
          <w:rFonts w:ascii="Times New Roman" w:eastAsia="Times New Roman" w:hAnsi="Times New Roman" w:cs="Times New Roman"/>
          <w:sz w:val="24"/>
          <w:szCs w:val="24"/>
        </w:rPr>
        <w:t>Atrey</w:t>
      </w:r>
      <w:proofErr w:type="spellEnd"/>
      <w:r w:rsidR="0029523F">
        <w:rPr>
          <w:rFonts w:ascii="Times New Roman" w:eastAsia="Times New Roman" w:hAnsi="Times New Roman" w:cs="Times New Roman"/>
          <w:sz w:val="24"/>
          <w:szCs w:val="24"/>
        </w:rPr>
        <w:t xml:space="preserve"> (2018) de considerar a pobreza</w:t>
      </w:r>
      <w:r w:rsidR="00F833D4">
        <w:rPr>
          <w:rFonts w:ascii="Times New Roman" w:eastAsia="Times New Roman" w:hAnsi="Times New Roman" w:cs="Times New Roman"/>
          <w:sz w:val="24"/>
          <w:szCs w:val="24"/>
        </w:rPr>
        <w:t xml:space="preserve"> como questão </w:t>
      </w:r>
      <w:r w:rsidR="00AD2F4F">
        <w:rPr>
          <w:rFonts w:ascii="Times New Roman" w:eastAsia="Times New Roman" w:hAnsi="Times New Roman" w:cs="Times New Roman"/>
          <w:sz w:val="24"/>
          <w:szCs w:val="24"/>
        </w:rPr>
        <w:t>a ser enfrentada pelo</w:t>
      </w:r>
      <w:r w:rsidR="00F833D4">
        <w:rPr>
          <w:rFonts w:ascii="Times New Roman" w:eastAsia="Times New Roman" w:hAnsi="Times New Roman" w:cs="Times New Roman"/>
          <w:sz w:val="24"/>
          <w:szCs w:val="24"/>
        </w:rPr>
        <w:t xml:space="preserve"> direito à igualdade </w:t>
      </w:r>
      <w:r w:rsidR="00C22F9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C33A5">
        <w:rPr>
          <w:rFonts w:ascii="Times New Roman" w:eastAsia="Times New Roman" w:hAnsi="Times New Roman" w:cs="Times New Roman"/>
          <w:sz w:val="24"/>
          <w:szCs w:val="24"/>
        </w:rPr>
        <w:t xml:space="preserve">à não discriminação </w:t>
      </w:r>
      <w:r w:rsidR="0029523F">
        <w:rPr>
          <w:rFonts w:ascii="Times New Roman" w:eastAsia="Times New Roman" w:hAnsi="Times New Roman" w:cs="Times New Roman"/>
          <w:sz w:val="24"/>
          <w:szCs w:val="24"/>
        </w:rPr>
        <w:t xml:space="preserve">devido à </w:t>
      </w:r>
      <w:r w:rsidR="003F2625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="0029523F">
        <w:rPr>
          <w:rFonts w:ascii="Times New Roman" w:eastAsia="Times New Roman" w:hAnsi="Times New Roman" w:cs="Times New Roman"/>
          <w:sz w:val="24"/>
          <w:szCs w:val="24"/>
        </w:rPr>
        <w:t>intersecção</w:t>
      </w:r>
      <w:r w:rsidR="00F83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23F">
        <w:rPr>
          <w:rFonts w:ascii="Times New Roman" w:eastAsia="Times New Roman" w:hAnsi="Times New Roman" w:cs="Times New Roman"/>
          <w:sz w:val="24"/>
          <w:szCs w:val="24"/>
        </w:rPr>
        <w:t>com múltiplas desvantagens de redistribuição</w:t>
      </w:r>
      <w:r w:rsidR="003F2625">
        <w:rPr>
          <w:rFonts w:ascii="Times New Roman" w:eastAsia="Times New Roman" w:hAnsi="Times New Roman" w:cs="Times New Roman"/>
          <w:sz w:val="24"/>
          <w:szCs w:val="24"/>
        </w:rPr>
        <w:t xml:space="preserve"> (ex., desemprego e falta de moradia)</w:t>
      </w:r>
      <w:r w:rsidR="0029523F">
        <w:rPr>
          <w:rFonts w:ascii="Times New Roman" w:eastAsia="Times New Roman" w:hAnsi="Times New Roman" w:cs="Times New Roman"/>
          <w:sz w:val="24"/>
          <w:szCs w:val="24"/>
        </w:rPr>
        <w:t>, reconhecimento</w:t>
      </w:r>
      <w:r w:rsidR="003F2625">
        <w:rPr>
          <w:rFonts w:ascii="Times New Roman" w:eastAsia="Times New Roman" w:hAnsi="Times New Roman" w:cs="Times New Roman"/>
          <w:sz w:val="24"/>
          <w:szCs w:val="24"/>
        </w:rPr>
        <w:t xml:space="preserve"> (ex., estereótipos e estigma)</w:t>
      </w:r>
      <w:r w:rsidR="0029523F">
        <w:rPr>
          <w:rFonts w:ascii="Times New Roman" w:eastAsia="Times New Roman" w:hAnsi="Times New Roman" w:cs="Times New Roman"/>
          <w:sz w:val="24"/>
          <w:szCs w:val="24"/>
        </w:rPr>
        <w:t>, participação</w:t>
      </w:r>
      <w:r w:rsidR="003F2625">
        <w:rPr>
          <w:rFonts w:ascii="Times New Roman" w:eastAsia="Times New Roman" w:hAnsi="Times New Roman" w:cs="Times New Roman"/>
          <w:sz w:val="24"/>
          <w:szCs w:val="24"/>
        </w:rPr>
        <w:t xml:space="preserve"> (exclusão social e política)</w:t>
      </w:r>
      <w:r w:rsidR="0029523F">
        <w:rPr>
          <w:rFonts w:ascii="Times New Roman" w:eastAsia="Times New Roman" w:hAnsi="Times New Roman" w:cs="Times New Roman"/>
          <w:sz w:val="24"/>
          <w:szCs w:val="24"/>
        </w:rPr>
        <w:t xml:space="preserve"> e transformação</w:t>
      </w:r>
      <w:r w:rsidR="003F2625">
        <w:rPr>
          <w:rFonts w:ascii="Times New Roman" w:eastAsia="Times New Roman" w:hAnsi="Times New Roman" w:cs="Times New Roman"/>
          <w:sz w:val="24"/>
          <w:szCs w:val="24"/>
        </w:rPr>
        <w:t xml:space="preserve"> (dominação estrutural)</w:t>
      </w:r>
      <w:r w:rsidR="0029523F">
        <w:rPr>
          <w:rFonts w:ascii="Times New Roman" w:eastAsia="Times New Roman" w:hAnsi="Times New Roman" w:cs="Times New Roman"/>
          <w:sz w:val="24"/>
          <w:szCs w:val="24"/>
        </w:rPr>
        <w:t>, bem como com múltiplos critérios vinculados</w:t>
      </w:r>
      <w:r w:rsidR="00C22F9D">
        <w:rPr>
          <w:rFonts w:ascii="Times New Roman" w:eastAsia="Times New Roman" w:hAnsi="Times New Roman" w:cs="Times New Roman"/>
          <w:sz w:val="24"/>
          <w:szCs w:val="24"/>
        </w:rPr>
        <w:t xml:space="preserve"> a status e identidades</w:t>
      </w:r>
      <w:r w:rsidR="003F2625">
        <w:rPr>
          <w:rFonts w:ascii="Times New Roman" w:eastAsia="Times New Roman" w:hAnsi="Times New Roman" w:cs="Times New Roman"/>
          <w:sz w:val="24"/>
          <w:szCs w:val="24"/>
        </w:rPr>
        <w:t xml:space="preserve"> (ex. raça, religião, orientação sexual, deficiência).</w:t>
      </w:r>
      <w:r w:rsidR="002F32B7">
        <w:rPr>
          <w:rFonts w:ascii="Times New Roman" w:eastAsia="Times New Roman" w:hAnsi="Times New Roman" w:cs="Times New Roman"/>
          <w:sz w:val="24"/>
          <w:szCs w:val="24"/>
        </w:rPr>
        <w:t xml:space="preserve"> Por fim,</w:t>
      </w:r>
      <w:r w:rsidR="0029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BAC">
        <w:rPr>
          <w:rFonts w:ascii="Times New Roman" w:eastAsia="Times New Roman" w:hAnsi="Times New Roman" w:cs="Times New Roman"/>
          <w:sz w:val="24"/>
          <w:szCs w:val="24"/>
        </w:rPr>
        <w:t>considerando que “</w:t>
      </w:r>
      <w:r w:rsidR="008A7BAC" w:rsidRPr="008A7BAC">
        <w:rPr>
          <w:rFonts w:ascii="Times New Roman" w:eastAsia="Times New Roman" w:hAnsi="Times New Roman" w:cs="Times New Roman"/>
          <w:sz w:val="24"/>
          <w:szCs w:val="24"/>
        </w:rPr>
        <w:t xml:space="preserve">a definição dos grupos protegidos, que serão incorporados no ordenamento jurídico na forma de critérios proibidos de discriminação, revela a repercussão jurídico-institucional de disputas sociais, nas quais grupos politicamente marginalizados lutam por proteção </w:t>
      </w:r>
      <w:proofErr w:type="spellStart"/>
      <w:r w:rsidR="008A7BAC" w:rsidRPr="008A7BAC">
        <w:rPr>
          <w:rFonts w:ascii="Times New Roman" w:eastAsia="Times New Roman" w:hAnsi="Times New Roman" w:cs="Times New Roman"/>
          <w:sz w:val="24"/>
          <w:szCs w:val="24"/>
        </w:rPr>
        <w:t>antidiscriminatória</w:t>
      </w:r>
      <w:proofErr w:type="spellEnd"/>
      <w:r w:rsidR="008A7BAC">
        <w:rPr>
          <w:rFonts w:ascii="Times New Roman" w:eastAsia="Times New Roman" w:hAnsi="Times New Roman" w:cs="Times New Roman"/>
          <w:sz w:val="24"/>
          <w:szCs w:val="24"/>
        </w:rPr>
        <w:t xml:space="preserve">” (RIOS, 2020, p. 1339), reflete-se sobre os possíveis efeitos </w:t>
      </w:r>
      <w:r w:rsidR="008A7BAC">
        <w:rPr>
          <w:rFonts w:ascii="Times New Roman" w:eastAsia="Times New Roman" w:hAnsi="Times New Roman" w:cs="Times New Roman"/>
          <w:sz w:val="24"/>
          <w:szCs w:val="24"/>
        </w:rPr>
        <w:lastRenderedPageBreak/>
        <w:t>da consideração jurídica da pobreza enquanto, isoladamente, um critério proibido de discriminação estrutural.</w:t>
      </w:r>
    </w:p>
    <w:p w14:paraId="304BB128" w14:textId="16684349" w:rsidR="00FB3424" w:rsidRDefault="00FB3424" w:rsidP="00C7103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pesquisa está em estágio inicial e, portanto, </w:t>
      </w:r>
      <w:r w:rsidR="00C03653">
        <w:rPr>
          <w:rFonts w:ascii="Times New Roman" w:eastAsia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não permite a identificação de resultados. </w:t>
      </w:r>
      <w:r w:rsidR="000F6B1E">
        <w:rPr>
          <w:rFonts w:ascii="Times New Roman" w:eastAsia="Times New Roman" w:hAnsi="Times New Roman" w:cs="Times New Roman"/>
          <w:sz w:val="24"/>
          <w:szCs w:val="24"/>
        </w:rPr>
        <w:t xml:space="preserve">Contudo, o estágio atual já </w:t>
      </w:r>
      <w:r w:rsidR="003C33A5">
        <w:rPr>
          <w:rFonts w:ascii="Times New Roman" w:eastAsia="Times New Roman" w:hAnsi="Times New Roman" w:cs="Times New Roman"/>
          <w:sz w:val="24"/>
          <w:szCs w:val="24"/>
        </w:rPr>
        <w:t>possibilitar</w:t>
      </w:r>
      <w:r w:rsidR="000F6B1E">
        <w:rPr>
          <w:rFonts w:ascii="Times New Roman" w:eastAsia="Times New Roman" w:hAnsi="Times New Roman" w:cs="Times New Roman"/>
          <w:sz w:val="24"/>
          <w:szCs w:val="24"/>
        </w:rPr>
        <w:t xml:space="preserve"> apontar </w:t>
      </w:r>
      <w:r w:rsidR="008578D6">
        <w:rPr>
          <w:rFonts w:ascii="Times New Roman" w:eastAsia="Times New Roman" w:hAnsi="Times New Roman" w:cs="Times New Roman"/>
          <w:sz w:val="24"/>
          <w:szCs w:val="24"/>
        </w:rPr>
        <w:t xml:space="preserve">provisoriamente </w:t>
      </w:r>
      <w:r w:rsidR="000F6B1E">
        <w:rPr>
          <w:rFonts w:ascii="Times New Roman" w:eastAsia="Times New Roman" w:hAnsi="Times New Roman" w:cs="Times New Roman"/>
          <w:sz w:val="24"/>
          <w:szCs w:val="24"/>
        </w:rPr>
        <w:t>algumas questões centrais a serem discutidas, quais sejam: a validade jurídica</w:t>
      </w:r>
      <w:r w:rsidR="0031204F">
        <w:rPr>
          <w:rFonts w:ascii="Times New Roman" w:eastAsia="Times New Roman" w:hAnsi="Times New Roman" w:cs="Times New Roman"/>
          <w:sz w:val="24"/>
          <w:szCs w:val="24"/>
        </w:rPr>
        <w:t>, no direito brasileiro,</w:t>
      </w:r>
      <w:r w:rsidR="000F6B1E">
        <w:rPr>
          <w:rFonts w:ascii="Times New Roman" w:eastAsia="Times New Roman" w:hAnsi="Times New Roman" w:cs="Times New Roman"/>
          <w:sz w:val="24"/>
          <w:szCs w:val="24"/>
        </w:rPr>
        <w:t xml:space="preserve"> da concepção de discriminação coletiva e os seus limites, diante da tradicional compreensão da discriminação como reprovação jurídica das violações do princípio da igualdade; a atual indefinição e confusão entre os utilizados conceitos de discriminação indireta, discriminação institucional, discriminação estrutural e discriminação sistêmica; a validade jurídica</w:t>
      </w:r>
      <w:r w:rsidR="00D354A5">
        <w:rPr>
          <w:rFonts w:ascii="Times New Roman" w:eastAsia="Times New Roman" w:hAnsi="Times New Roman" w:cs="Times New Roman"/>
          <w:sz w:val="24"/>
          <w:szCs w:val="24"/>
        </w:rPr>
        <w:t>, no direito brasileiro,</w:t>
      </w:r>
      <w:r w:rsidR="000F6B1E">
        <w:rPr>
          <w:rFonts w:ascii="Times New Roman" w:eastAsia="Times New Roman" w:hAnsi="Times New Roman" w:cs="Times New Roman"/>
          <w:sz w:val="24"/>
          <w:szCs w:val="24"/>
        </w:rPr>
        <w:t xml:space="preserve"> de a pobreza ser considerad</w:t>
      </w:r>
      <w:r w:rsidR="003C33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6B1E">
        <w:rPr>
          <w:rFonts w:ascii="Times New Roman" w:eastAsia="Times New Roman" w:hAnsi="Times New Roman" w:cs="Times New Roman"/>
          <w:sz w:val="24"/>
          <w:szCs w:val="24"/>
        </w:rPr>
        <w:t xml:space="preserve"> critério proibido de discriminação em dimensão coletiva, diante de uma ordem </w:t>
      </w:r>
      <w:r w:rsidR="00C71036">
        <w:rPr>
          <w:rFonts w:ascii="Times New Roman" w:eastAsia="Times New Roman" w:hAnsi="Times New Roman" w:cs="Times New Roman"/>
          <w:sz w:val="24"/>
          <w:szCs w:val="24"/>
        </w:rPr>
        <w:t>jurídica que convive licitamente com a existência de pobreza</w:t>
      </w:r>
      <w:r w:rsidR="006C4E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578D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C4E5D">
        <w:rPr>
          <w:rFonts w:ascii="Times New Roman" w:eastAsia="Times New Roman" w:hAnsi="Times New Roman" w:cs="Times New Roman"/>
          <w:sz w:val="24"/>
          <w:szCs w:val="24"/>
        </w:rPr>
        <w:t>os limites do papel emancipatório do direito e do reconhecimento de discriminação estrutural em razão de pobreza.</w:t>
      </w:r>
    </w:p>
    <w:p w14:paraId="61E7090E" w14:textId="38E9F8C0" w:rsidR="00767887" w:rsidRDefault="008578D6" w:rsidP="00DB6D1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razão do estágio inicial da pesquisa, não é possível tecer conclusões</w:t>
      </w:r>
      <w:r w:rsidR="0076788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D15">
        <w:rPr>
          <w:rFonts w:ascii="Times New Roman" w:eastAsia="Times New Roman" w:hAnsi="Times New Roman" w:cs="Times New Roman"/>
          <w:sz w:val="24"/>
          <w:szCs w:val="24"/>
        </w:rPr>
        <w:t>De qualquer 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partir da exposição do problema e dos apontamentos provisórios, visualiza-se que as decisões da Corte IDH que reconhecem a existência de discriminação estrutural em razão de pobreza em casos contra o Brasil </w:t>
      </w:r>
      <w:r w:rsidR="0092382E">
        <w:rPr>
          <w:rFonts w:ascii="Times New Roman" w:eastAsia="Times New Roman" w:hAnsi="Times New Roman" w:cs="Times New Roman"/>
          <w:sz w:val="24"/>
          <w:szCs w:val="24"/>
        </w:rPr>
        <w:t>impõem o desenvolvimento no direito brasileiro do fenômeno da discriminação estrutural em razão de pobreza. Ademais, a estruturação da pesquisa indica a possibilidade de desenvolvimento d</w:t>
      </w:r>
      <w:r w:rsidR="00CD7523">
        <w:rPr>
          <w:rFonts w:ascii="Times New Roman" w:eastAsia="Times New Roman" w:hAnsi="Times New Roman" w:cs="Times New Roman"/>
          <w:sz w:val="24"/>
          <w:szCs w:val="24"/>
        </w:rPr>
        <w:t xml:space="preserve">e temas relevantes e atuais dos direitos humanos e do direito da </w:t>
      </w:r>
      <w:proofErr w:type="spellStart"/>
      <w:r w:rsidR="00CD7523">
        <w:rPr>
          <w:rFonts w:ascii="Times New Roman" w:eastAsia="Times New Roman" w:hAnsi="Times New Roman" w:cs="Times New Roman"/>
          <w:sz w:val="24"/>
          <w:szCs w:val="24"/>
        </w:rPr>
        <w:t>antidiscriminação</w:t>
      </w:r>
      <w:proofErr w:type="spellEnd"/>
      <w:r w:rsidR="00CD7523">
        <w:rPr>
          <w:rFonts w:ascii="Times New Roman" w:eastAsia="Times New Roman" w:hAnsi="Times New Roman" w:cs="Times New Roman"/>
          <w:sz w:val="24"/>
          <w:szCs w:val="24"/>
        </w:rPr>
        <w:t>, tais como o conceito de discriminação estrutural e seus limites e as ações jurídicas possíveis para combate à pobreza.</w:t>
      </w:r>
    </w:p>
    <w:p w14:paraId="4F647315" w14:textId="46C1CC5E" w:rsidR="00093B03" w:rsidRPr="00CD1CF3" w:rsidRDefault="00093B03" w:rsidP="00DB6D1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Palavras-chave:</w:t>
      </w:r>
      <w:r w:rsidR="00CD1CF3">
        <w:rPr>
          <w:rFonts w:ascii="Times New Roman" w:eastAsia="Times New Roman" w:hAnsi="Times New Roman" w:cs="Times New Roman"/>
          <w:sz w:val="24"/>
          <w:szCs w:val="24"/>
        </w:rPr>
        <w:t xml:space="preserve"> Discriminação estrutural</w:t>
      </w:r>
      <w:r w:rsidR="009D0E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A9C">
        <w:rPr>
          <w:rFonts w:ascii="Times New Roman" w:eastAsia="Times New Roman" w:hAnsi="Times New Roman" w:cs="Times New Roman"/>
          <w:sz w:val="24"/>
          <w:szCs w:val="24"/>
        </w:rPr>
        <w:t>Pobreza</w:t>
      </w:r>
      <w:r w:rsidR="009D0E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7A9C">
        <w:rPr>
          <w:rFonts w:ascii="Times New Roman" w:eastAsia="Times New Roman" w:hAnsi="Times New Roman" w:cs="Times New Roman"/>
          <w:sz w:val="24"/>
          <w:szCs w:val="24"/>
        </w:rPr>
        <w:t xml:space="preserve"> Corte Interamericana de Direitos Humanos</w:t>
      </w:r>
      <w:r w:rsidR="009D0E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7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523">
        <w:rPr>
          <w:rFonts w:ascii="Times New Roman" w:eastAsia="Times New Roman" w:hAnsi="Times New Roman" w:cs="Times New Roman"/>
          <w:sz w:val="24"/>
          <w:szCs w:val="24"/>
        </w:rPr>
        <w:t>Direito Humanos</w:t>
      </w:r>
      <w:r w:rsidR="009D0E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7523">
        <w:rPr>
          <w:rFonts w:ascii="Times New Roman" w:eastAsia="Times New Roman" w:hAnsi="Times New Roman" w:cs="Times New Roman"/>
          <w:sz w:val="24"/>
          <w:szCs w:val="24"/>
        </w:rPr>
        <w:t xml:space="preserve"> Direito da </w:t>
      </w:r>
      <w:proofErr w:type="spellStart"/>
      <w:r w:rsidR="00CD7523">
        <w:rPr>
          <w:rFonts w:ascii="Times New Roman" w:eastAsia="Times New Roman" w:hAnsi="Times New Roman" w:cs="Times New Roman"/>
          <w:sz w:val="24"/>
          <w:szCs w:val="24"/>
        </w:rPr>
        <w:t>Antidiscriminação</w:t>
      </w:r>
      <w:proofErr w:type="spellEnd"/>
      <w:r w:rsidR="00CD7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E08E83" w14:textId="4F448A55" w:rsidR="00093B03" w:rsidRDefault="00093B03" w:rsidP="00DB6D1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Referências:</w:t>
      </w:r>
    </w:p>
    <w:p w14:paraId="1D8A7AD0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54">
        <w:rPr>
          <w:rFonts w:ascii="Times New Roman" w:eastAsia="Times New Roman" w:hAnsi="Times New Roman" w:cs="Times New Roman"/>
          <w:sz w:val="24"/>
          <w:szCs w:val="24"/>
        </w:rPr>
        <w:t xml:space="preserve">ALMEIDA, Silvio. </w:t>
      </w:r>
      <w:r w:rsidRPr="00B47054">
        <w:rPr>
          <w:rFonts w:ascii="Times New Roman" w:eastAsia="Times New Roman" w:hAnsi="Times New Roman" w:cs="Times New Roman"/>
          <w:b/>
          <w:bCs/>
          <w:sz w:val="24"/>
          <w:szCs w:val="24"/>
        </w:rPr>
        <w:t>Racismo estrutural</w:t>
      </w:r>
      <w:r w:rsidRPr="00B47054">
        <w:rPr>
          <w:rFonts w:ascii="Times New Roman" w:eastAsia="Times New Roman" w:hAnsi="Times New Roman" w:cs="Times New Roman"/>
          <w:sz w:val="24"/>
          <w:szCs w:val="24"/>
        </w:rPr>
        <w:t>. São Paulo: Sueli Carneiro; Pólen, 2019.</w:t>
      </w:r>
    </w:p>
    <w:p w14:paraId="64963455" w14:textId="77777777" w:rsidR="00695C6F" w:rsidRPr="00D04F8C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ALTMAN</w:t>
      </w:r>
      <w:r w:rsidRPr="008648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Andrew. Discrimination. In: ZALTA, Edward N. </w:t>
      </w:r>
      <w:r w:rsidRPr="008648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 Stanford Encyclopedia of Philosophy</w:t>
      </w:r>
      <w:r w:rsidRPr="008648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Metaphysics Research Lab, Stanford University: 2011.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D04F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https://plato.stanford.edu/archives/spr2011/entries/discrimination/</w:t>
        </w:r>
      </w:hyperlink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s-ES"/>
        </w:rPr>
        <w:t>Acesso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em: 8 nov. 2020.</w:t>
      </w:r>
    </w:p>
    <w:p w14:paraId="7162989D" w14:textId="6BD6FCA3" w:rsidR="00695C6F" w:rsidRPr="00D04F8C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67AE">
        <w:rPr>
          <w:rFonts w:ascii="Times New Roman" w:eastAsia="Times New Roman" w:hAnsi="Times New Roman" w:cs="Times New Roman"/>
          <w:sz w:val="24"/>
          <w:szCs w:val="24"/>
          <w:lang w:val="es-ES"/>
        </w:rPr>
        <w:t>AÑ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ROIG, María José. </w:t>
      </w:r>
      <w:r w:rsidRPr="005567A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Principio antidiscriminatorio y determinación de la desventaja. </w:t>
      </w:r>
      <w:proofErr w:type="spellStart"/>
      <w:r w:rsidRPr="005567A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Isonomía</w:t>
      </w:r>
      <w:proofErr w:type="spellEnd"/>
      <w:r w:rsidRPr="005567A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 Revista de teoría y filosofía del derecho</w:t>
      </w:r>
      <w:r w:rsidRPr="005567A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México, n. </w:t>
      </w:r>
      <w:r w:rsidRPr="005567AE">
        <w:rPr>
          <w:rFonts w:ascii="Times New Roman" w:eastAsia="Times New Roman" w:hAnsi="Times New Roman" w:cs="Times New Roman"/>
          <w:sz w:val="24"/>
          <w:szCs w:val="24"/>
          <w:lang w:val="es-ES"/>
        </w:rPr>
        <w:t>39, p. 127-157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5567AE">
        <w:rPr>
          <w:rFonts w:ascii="Times New Roman" w:eastAsia="Times New Roman" w:hAnsi="Times New Roman" w:cs="Times New Roman"/>
          <w:sz w:val="24"/>
          <w:szCs w:val="24"/>
          <w:lang w:val="es-ES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864898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Pr="00A3071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https://biblat.unam.mx/pt/revista/isonomia/articulo/principio-</w:t>
        </w:r>
        <w:r w:rsidRPr="00A3071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lastRenderedPageBreak/>
          <w:t>antidiscriminatorio-y-determinacion-de-la-desventaja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8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nov.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2020.</w:t>
      </w:r>
    </w:p>
    <w:p w14:paraId="31A6FB71" w14:textId="3B7F170C" w:rsidR="00C22F9D" w:rsidRPr="00D04F8C" w:rsidRDefault="00C22F9D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2F9D">
        <w:rPr>
          <w:rFonts w:ascii="Times New Roman" w:eastAsia="Times New Roman" w:hAnsi="Times New Roman" w:cs="Times New Roman"/>
          <w:sz w:val="24"/>
          <w:szCs w:val="24"/>
          <w:lang w:val="en-US"/>
        </w:rPr>
        <w:t>ATREY, Shreya. The Intersectional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ase of Poverty in Discrimination Law.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Human Rights Law Review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18, n. 3, p. 411-440, set. 2018.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D04F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https://academic.oup.com/hrlr/article-abstract/18/3/411/5086067</w:t>
        </w:r>
      </w:hyperlink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8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nov.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2020.  </w:t>
      </w:r>
    </w:p>
    <w:p w14:paraId="6E85A2E9" w14:textId="77777777" w:rsidR="00695C6F" w:rsidRPr="00041C19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2F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BONILLA-SILVA, Eduardo. </w:t>
      </w:r>
      <w:r w:rsidRPr="0042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Rethinking racism: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toward a structural interpretation. </w:t>
      </w:r>
      <w:r w:rsidRPr="00D04F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American Sociological Review</w:t>
      </w:r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Estados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Unidos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62, n. 3, p. 465-480, 1997. </w:t>
      </w:r>
      <w:proofErr w:type="spellStart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041C1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https://www.jstor.org/stable/2657316?seq=1</w:t>
        </w:r>
      </w:hyperlink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8 </w:t>
      </w:r>
      <w:proofErr w:type="spellStart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>nov.</w:t>
      </w:r>
      <w:proofErr w:type="spellEnd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2020.</w:t>
      </w:r>
    </w:p>
    <w:p w14:paraId="17C7C9CB" w14:textId="7473C52F" w:rsidR="00695C6F" w:rsidRPr="00041C19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718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BOYLE, Alan; CHINKIN, Christine. </w:t>
      </w:r>
      <w:r w:rsidRPr="00A71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making of international law</w:t>
      </w:r>
      <w:r w:rsidRPr="00A718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>Oxford: Oxford University Press, 2007.</w:t>
      </w:r>
    </w:p>
    <w:p w14:paraId="48F713FA" w14:textId="6086BC1D" w:rsidR="00695C6F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BRASIL. </w:t>
      </w:r>
      <w:proofErr w:type="spellStart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>Supremo</w:t>
      </w:r>
      <w:proofErr w:type="spellEnd"/>
      <w:r w:rsidRPr="00041C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Tribunal Federal. </w:t>
      </w:r>
      <w:proofErr w:type="gramStart"/>
      <w:r w:rsidRPr="00D6624C">
        <w:rPr>
          <w:rFonts w:ascii="Times New Roman" w:eastAsia="Times New Roman" w:hAnsi="Times New Roman" w:cs="Times New Roman"/>
          <w:sz w:val="24"/>
          <w:szCs w:val="24"/>
        </w:rPr>
        <w:t>Medida Cautelar</w:t>
      </w:r>
      <w:proofErr w:type="gramEnd"/>
      <w:r w:rsidRPr="00D6624C">
        <w:rPr>
          <w:rFonts w:ascii="Times New Roman" w:eastAsia="Times New Roman" w:hAnsi="Times New Roman" w:cs="Times New Roman"/>
          <w:sz w:val="24"/>
          <w:szCs w:val="24"/>
        </w:rPr>
        <w:t xml:space="preserve"> na Ação Direta de Inconstitucionalidade nº 1946. Tribunal Pleno. Rel. Min. Sydney Sanches. Julgamento 29/04/1999. Publicação 14/09/2001.</w:t>
      </w:r>
    </w:p>
    <w:p w14:paraId="0430DC7E" w14:textId="77777777" w:rsidR="00695C6F" w:rsidRPr="00BD6BA0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A0">
        <w:rPr>
          <w:rFonts w:ascii="Times New Roman" w:eastAsia="Times New Roman" w:hAnsi="Times New Roman" w:cs="Times New Roman"/>
          <w:sz w:val="24"/>
          <w:szCs w:val="24"/>
        </w:rPr>
        <w:t xml:space="preserve">BRASIL. Supremo Tribunal Federal. ADPF nº 291. Tribunal Pleno. Rel. Min. Luís Roberto Barroso. Julgamento 28/10/2015. Publicação 11/05/2016. </w:t>
      </w:r>
    </w:p>
    <w:p w14:paraId="6695420B" w14:textId="46942CF1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Supremo Tribunal Federal. Ação Declaratória de Constitucionalidade nº 41. Tribunal Pleno. Rel. Min. Roberto Barroso. Julgamento 08/06/2017. Publicação 17/08/2017.</w:t>
      </w:r>
    </w:p>
    <w:p w14:paraId="61512CCB" w14:textId="240EB8CD" w:rsidR="00695C6F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98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sz w:val="24"/>
          <w:szCs w:val="24"/>
        </w:rPr>
        <w:t>Supremo Tribunal Federal. Medida Cautelar na Arguição de Descumprimento de Preceito Fundamental nº 738. Tribunal Pleno. Rel. Min. Ricardo Lewandowski. Julgamento 05/10/2020. Publicação 29/10/2020. 2020a.</w:t>
      </w:r>
    </w:p>
    <w:p w14:paraId="07137CE9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BA0">
        <w:rPr>
          <w:rFonts w:ascii="Times New Roman" w:eastAsia="Times New Roman" w:hAnsi="Times New Roman" w:cs="Times New Roman"/>
          <w:sz w:val="24"/>
          <w:szCs w:val="24"/>
        </w:rPr>
        <w:t xml:space="preserve">BRASIL. Supremo Tribunal Federal. </w:t>
      </w:r>
      <w:r w:rsidRPr="00767887">
        <w:rPr>
          <w:rFonts w:ascii="Times New Roman" w:eastAsia="Times New Roman" w:hAnsi="Times New Roman" w:cs="Times New Roman"/>
          <w:sz w:val="24"/>
          <w:szCs w:val="24"/>
        </w:rPr>
        <w:t xml:space="preserve">ADI nº 5543. </w:t>
      </w:r>
      <w:r w:rsidRPr="00D04F8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Tribunal Pleno. Rel. Min. Edson </w:t>
      </w:r>
      <w:proofErr w:type="spellStart"/>
      <w:r w:rsidRPr="00D04F8C">
        <w:rPr>
          <w:rFonts w:ascii="Times New Roman" w:eastAsia="Times New Roman" w:hAnsi="Times New Roman" w:cs="Times New Roman"/>
          <w:sz w:val="24"/>
          <w:szCs w:val="24"/>
          <w:lang w:val="es-ES"/>
        </w:rPr>
        <w:t>Fachin</w:t>
      </w:r>
      <w:proofErr w:type="spellEnd"/>
      <w:r w:rsidRPr="00D04F8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D04F8C">
        <w:rPr>
          <w:rFonts w:ascii="Times New Roman" w:eastAsia="Times New Roman" w:hAnsi="Times New Roman" w:cs="Times New Roman"/>
          <w:sz w:val="24"/>
          <w:szCs w:val="24"/>
        </w:rPr>
        <w:t xml:space="preserve">Julgamento 11/05/2020. </w:t>
      </w:r>
      <w:r w:rsidRPr="00BD6BA0">
        <w:rPr>
          <w:rFonts w:ascii="Times New Roman" w:eastAsia="Times New Roman" w:hAnsi="Times New Roman" w:cs="Times New Roman"/>
          <w:sz w:val="24"/>
          <w:szCs w:val="24"/>
        </w:rPr>
        <w:t>Publicação 26/08/2020.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2020b.</w:t>
      </w:r>
    </w:p>
    <w:p w14:paraId="02C25E8B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B5B">
        <w:rPr>
          <w:rFonts w:ascii="Times New Roman" w:eastAsia="Times New Roman" w:hAnsi="Times New Roman" w:cs="Times New Roman"/>
          <w:sz w:val="24"/>
          <w:szCs w:val="24"/>
        </w:rPr>
        <w:t xml:space="preserve">CANÇADO TRINDADE, Antônio Augusto. </w:t>
      </w:r>
      <w:r w:rsidRPr="00180B5B">
        <w:rPr>
          <w:rFonts w:ascii="Times New Roman" w:eastAsia="Times New Roman" w:hAnsi="Times New Roman" w:cs="Times New Roman"/>
          <w:b/>
          <w:sz w:val="24"/>
          <w:szCs w:val="24"/>
        </w:rPr>
        <w:t>Tratado de Direito Internacional dos Direitos Humanos</w:t>
      </w:r>
      <w:r w:rsidRPr="00180B5B">
        <w:rPr>
          <w:rFonts w:ascii="Times New Roman" w:eastAsia="Times New Roman" w:hAnsi="Times New Roman" w:cs="Times New Roman"/>
          <w:sz w:val="24"/>
          <w:szCs w:val="24"/>
        </w:rPr>
        <w:t xml:space="preserve">: volume II. Porto Alegre: Sergio </w:t>
      </w:r>
      <w:proofErr w:type="spellStart"/>
      <w:r w:rsidRPr="00180B5B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180B5B">
        <w:rPr>
          <w:rFonts w:ascii="Times New Roman" w:eastAsia="Times New Roman" w:hAnsi="Times New Roman" w:cs="Times New Roman"/>
          <w:sz w:val="24"/>
          <w:szCs w:val="24"/>
        </w:rPr>
        <w:t xml:space="preserve"> Fabris Editor, 1999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1B649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COMITÊ CEDAW. COMITÊ PARA ELIMINAÇÃO DE TODAS AS FORMAS DE DISCRIMINAÇÃO CONTRA MULHERES. </w:t>
      </w:r>
      <w:r w:rsidRPr="007E2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NAÇÕES UNIDAS. </w:t>
      </w:r>
      <w:r w:rsidRPr="007E2B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General recommendation No. 30 on women in conflict prevention, conflict and post-conflict situations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E2B94">
        <w:rPr>
          <w:rFonts w:ascii="Times New Roman" w:eastAsia="Times New Roman" w:hAnsi="Times New Roman" w:cs="Times New Roman"/>
          <w:sz w:val="24"/>
          <w:szCs w:val="24"/>
        </w:rPr>
        <w:t xml:space="preserve">CEDAW/C/GC/30,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1 de novembro de 2013. Disponível em: </w:t>
      </w:r>
      <w:hyperlink r:id="rId11" w:history="1">
        <w:r w:rsidRPr="0069702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https://www.refworld.org/docid/5268d2064.html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8 nov. 2020.</w:t>
      </w:r>
    </w:p>
    <w:p w14:paraId="3DAB0CC7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COMITÊ CEDAW. COMITÊ PARA ELIMINAÇÃO DE TODAS AS FORMAS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DISCRIMINAÇÃO CONTRA MULHERES. </w:t>
      </w:r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NAÇÕES UNIDAS. </w:t>
      </w:r>
      <w:r w:rsidRPr="007E2B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General recommendation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No. 33 </w:t>
      </w:r>
      <w:r w:rsidRPr="007E2B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on women’s access to justice</w:t>
      </w:r>
      <w:r w:rsidRPr="007E2B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7E2B94">
        <w:rPr>
          <w:lang w:val="en-US"/>
        </w:rPr>
        <w:t xml:space="preserve"> </w:t>
      </w:r>
      <w:r w:rsidRPr="007E2B94">
        <w:rPr>
          <w:rFonts w:ascii="Times New Roman" w:eastAsia="Times New Roman" w:hAnsi="Times New Roman" w:cs="Times New Roman"/>
          <w:sz w:val="24"/>
          <w:szCs w:val="24"/>
        </w:rPr>
        <w:t xml:space="preserve">CEDAW/C/GC/33, </w:t>
      </w:r>
      <w:r>
        <w:rPr>
          <w:rFonts w:ascii="Times New Roman" w:eastAsia="Times New Roman" w:hAnsi="Times New Roman" w:cs="Times New Roman"/>
          <w:sz w:val="24"/>
          <w:szCs w:val="24"/>
        </w:rPr>
        <w:t>de 23 de julho de 2015.</w:t>
      </w:r>
      <w:r w:rsidRPr="007E2B94">
        <w:rPr>
          <w:rFonts w:ascii="Times New Roman" w:eastAsia="Times New Roman" w:hAnsi="Times New Roman" w:cs="Times New Roman"/>
          <w:sz w:val="24"/>
          <w:szCs w:val="24"/>
        </w:rPr>
        <w:t xml:space="preserve"> Disponível 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69702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https://tbinternet.ohchr.org/Treaties/CEDAW/Shared%20Documents/1_Global/CEDAW_C_GC_33_7767_E.pdf</w:t>
        </w:r>
      </w:hyperlink>
      <w:r w:rsidRPr="007E2B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Acesso em: 8 nov. 2020.</w:t>
      </w:r>
    </w:p>
    <w:p w14:paraId="6615FB3E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B94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OMITÊ CERD – COMITÊ PARA ELIMINAÇÃO DA DISCRIMINAÇÃO RACIAL. </w:t>
      </w:r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NAÇÕES UNIDAS. </w:t>
      </w:r>
      <w:r w:rsidRPr="007E2B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General recommendation No. 34</w:t>
      </w:r>
      <w:r w:rsidRPr="007E2B94">
        <w:rPr>
          <w:rFonts w:ascii="Times New Roman" w:eastAsia="Times New Roman" w:hAnsi="Times New Roman" w:cs="Times New Roman"/>
          <w:sz w:val="24"/>
          <w:szCs w:val="24"/>
          <w:lang w:val="en-US"/>
        </w:rPr>
        <w:t>: Racial discrimination against people of African descent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E2B94">
        <w:rPr>
          <w:rFonts w:ascii="Times New Roman" w:eastAsia="Times New Roman" w:hAnsi="Times New Roman" w:cs="Times New Roman"/>
          <w:sz w:val="24"/>
          <w:szCs w:val="24"/>
        </w:rPr>
        <w:t xml:space="preserve">CERD/C/GC/34, de 03 de outubro de 2011. Disponível em: </w:t>
      </w:r>
      <w:hyperlink r:id="rId13" w:history="1">
        <w:r w:rsidRPr="0069702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https://www.refworld.org/docid/4ef19d592.html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2B9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cesso em: 8 nov. 2020.</w:t>
      </w:r>
    </w:p>
    <w:p w14:paraId="74546844" w14:textId="77777777" w:rsidR="00695C6F" w:rsidRPr="005D077B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COMITÊ CRPD. COMITÊ SOBRE OS DIREITOS DE PESSOAS COM DEFICIÊNCIA. </w:t>
      </w:r>
      <w:r w:rsidRPr="005D0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NAÇÕES UNIDAS. </w:t>
      </w:r>
      <w:r w:rsidRPr="005D07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General comment No. 3</w:t>
      </w:r>
      <w:r w:rsidRPr="005D077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D077B">
        <w:rPr>
          <w:lang w:val="en-US"/>
        </w:rPr>
        <w:t xml:space="preserve"> </w:t>
      </w:r>
      <w:r w:rsidRPr="005D077B">
        <w:rPr>
          <w:rFonts w:ascii="Times New Roman" w:eastAsia="Times New Roman" w:hAnsi="Times New Roman" w:cs="Times New Roman"/>
          <w:sz w:val="24"/>
          <w:szCs w:val="24"/>
          <w:lang w:val="en-US"/>
        </w:rPr>
        <w:t>Article 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Pr="005D077B">
        <w:rPr>
          <w:rFonts w:ascii="Times New Roman" w:eastAsia="Times New Roman" w:hAnsi="Times New Roman" w:cs="Times New Roman"/>
          <w:sz w:val="24"/>
          <w:szCs w:val="24"/>
          <w:lang w:val="en-US"/>
        </w:rPr>
        <w:t>Women and girls with disabilities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D077B">
        <w:rPr>
          <w:rFonts w:ascii="Times New Roman" w:eastAsia="Times New Roman" w:hAnsi="Times New Roman" w:cs="Times New Roman"/>
          <w:sz w:val="24"/>
          <w:szCs w:val="24"/>
        </w:rPr>
        <w:t xml:space="preserve">CRPD/C/GC/3, de 2 de setembro de 2016. Disponível em: </w:t>
      </w:r>
      <w:hyperlink r:id="rId14" w:history="1">
        <w:r w:rsidRPr="0069702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https://www.refworld.org/docid/57c977344.html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8 nov. 2020.</w:t>
      </w:r>
    </w:p>
    <w:p w14:paraId="6530E460" w14:textId="77777777" w:rsidR="00695C6F" w:rsidRPr="007E2B94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COMITÊ DESC – COMITÊ SOBRE DIREITOS ECONÔMICOS, SOCIAIS E CULTURAIS. </w:t>
      </w:r>
      <w:r w:rsidRPr="007E2B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NAÇÕES UNIDAS. </w:t>
      </w:r>
      <w:r w:rsidRPr="00E822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General comment No. 20</w:t>
      </w:r>
      <w:r w:rsidRPr="00E822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Non-discrimination in economic, social and cultural rights (art. 2, para. 2, of the International Covenant on Economic, Social and 0043ultural Rights). </w:t>
      </w:r>
      <w:r w:rsidRPr="007E2B94">
        <w:rPr>
          <w:rFonts w:ascii="Times New Roman" w:eastAsia="Times New Roman" w:hAnsi="Times New Roman" w:cs="Times New Roman"/>
          <w:sz w:val="24"/>
          <w:szCs w:val="24"/>
        </w:rPr>
        <w:t xml:space="preserve">E/C.12/GC/20, de 02 de julho de 2009. Disponível em: </w:t>
      </w:r>
      <w:hyperlink r:id="rId15" w:history="1">
        <w:r w:rsidRPr="0069702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https://www.refworld.org/docid/4a60961f2.html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2B9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cesso em: 8 nov. 2020.</w:t>
      </w:r>
    </w:p>
    <w:p w14:paraId="1FB61177" w14:textId="519B799B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123">
        <w:rPr>
          <w:rFonts w:ascii="Times New Roman" w:eastAsia="Times New Roman" w:hAnsi="Times New Roman" w:cs="Times New Roman"/>
          <w:sz w:val="24"/>
          <w:szCs w:val="24"/>
        </w:rPr>
        <w:t xml:space="preserve">CORBO. Wallace. </w:t>
      </w:r>
      <w:r w:rsidRPr="00716123">
        <w:rPr>
          <w:rFonts w:ascii="Times New Roman" w:eastAsia="Times New Roman" w:hAnsi="Times New Roman" w:cs="Times New Roman"/>
          <w:b/>
          <w:sz w:val="24"/>
          <w:szCs w:val="24"/>
        </w:rPr>
        <w:t>Discriminação indireta</w:t>
      </w:r>
      <w:r w:rsidRPr="00716123">
        <w:rPr>
          <w:rFonts w:ascii="Times New Roman" w:eastAsia="Times New Roman" w:hAnsi="Times New Roman" w:cs="Times New Roman"/>
          <w:sz w:val="24"/>
          <w:szCs w:val="24"/>
        </w:rPr>
        <w:t xml:space="preserve">: conceito, fundamentos e uma proposta de enfrentamento à luz da Constituição de 1988. Rio de Janeiro: </w:t>
      </w:r>
      <w:proofErr w:type="spellStart"/>
      <w:r w:rsidRPr="00716123">
        <w:rPr>
          <w:rFonts w:ascii="Times New Roman" w:eastAsia="Times New Roman" w:hAnsi="Times New Roman" w:cs="Times New Roman"/>
          <w:sz w:val="24"/>
          <w:szCs w:val="24"/>
        </w:rPr>
        <w:t>Lumen</w:t>
      </w:r>
      <w:proofErr w:type="spellEnd"/>
      <w:r w:rsidRPr="00716123">
        <w:rPr>
          <w:rFonts w:ascii="Times New Roman" w:eastAsia="Times New Roman" w:hAnsi="Times New Roman" w:cs="Times New Roman"/>
          <w:sz w:val="24"/>
          <w:szCs w:val="24"/>
        </w:rPr>
        <w:t xml:space="preserve"> Juris, 2017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D44DA" w14:textId="77777777" w:rsidR="00695C6F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56">
        <w:rPr>
          <w:rFonts w:ascii="Times New Roman" w:eastAsia="Times New Roman" w:hAnsi="Times New Roman" w:cs="Times New Roman"/>
          <w:sz w:val="24"/>
          <w:szCs w:val="24"/>
        </w:rPr>
        <w:t xml:space="preserve">CORTE IDH - </w:t>
      </w:r>
      <w:r>
        <w:rPr>
          <w:rFonts w:ascii="Times New Roman" w:eastAsia="Times New Roman" w:hAnsi="Times New Roman" w:cs="Times New Roman"/>
          <w:sz w:val="24"/>
          <w:szCs w:val="24"/>
        </w:rPr>
        <w:t>CORTE INTERAMERICANA DE DIREITOS HUMANOS. Opinião Consultiva OC 18/03. Condição Jurídica e Direitos dos Migrantes Indocumentados. 17 de setembro de 2003.</w:t>
      </w:r>
    </w:p>
    <w:p w14:paraId="0A72F239" w14:textId="77777777" w:rsidR="00695C6F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56">
        <w:rPr>
          <w:rFonts w:ascii="Times New Roman" w:eastAsia="Times New Roman" w:hAnsi="Times New Roman" w:cs="Times New Roman"/>
          <w:sz w:val="24"/>
          <w:szCs w:val="24"/>
        </w:rPr>
        <w:t xml:space="preserve">CORTE IDH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CORTE INTERAMERICANA DE DIREITOS HUMANOS. Caso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Vs. Nicarágua. Sentença de 23 de junho de 2005.</w:t>
      </w:r>
    </w:p>
    <w:p w14:paraId="5CA264A3" w14:textId="77777777" w:rsidR="00695C6F" w:rsidRPr="00695C6F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CORTE IDH – CORTE INTERAMERICANA DE DIREITOS HUMANOS. </w:t>
      </w:r>
      <w:r w:rsidRPr="00392C7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Caso Gonzáles y otras (“Campo algodonero”)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392C7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s. </w:t>
      </w:r>
      <w:r w:rsidRPr="00695C6F">
        <w:rPr>
          <w:rFonts w:ascii="Times New Roman" w:eastAsia="Times New Roman" w:hAnsi="Times New Roman" w:cs="Times New Roman"/>
          <w:sz w:val="24"/>
          <w:szCs w:val="24"/>
        </w:rPr>
        <w:t>México. Sentença de 16 de novembro de 2009.</w:t>
      </w:r>
    </w:p>
    <w:p w14:paraId="26C8CCDC" w14:textId="1C46A1DD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CORTE IDH – CORTE INTERAMERICANA DE DIREITOS HUMANOS. Caso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Artavia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Murillo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Outros (“Fecundação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 vitro</w:t>
      </w:r>
      <w:r>
        <w:rPr>
          <w:rFonts w:ascii="Times New Roman" w:eastAsia="Times New Roman" w:hAnsi="Times New Roman" w:cs="Times New Roman"/>
          <w:sz w:val="24"/>
          <w:szCs w:val="24"/>
        </w:rPr>
        <w:t>”) Vs. Costa Rica. Sentença de 28 de novembro de 2012. 2012a.</w:t>
      </w:r>
    </w:p>
    <w:p w14:paraId="3FAD7A6F" w14:textId="77777777" w:rsidR="00695C6F" w:rsidRPr="00E92451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CORTE IDH – CORTE INTERAMERICANA DE DIREITOS HUMANOS. </w:t>
      </w:r>
      <w:r w:rsidRPr="00E92451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Dorzema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Outros Vs. República Dominicana. Sentença de 24 de outubro de 2012. 2012b.</w:t>
      </w:r>
    </w:p>
    <w:p w14:paraId="0067EA78" w14:textId="64069986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CORTE IDH – CORTE INTERAMERICANA DE DIREITOS HUMANOS. </w:t>
      </w:r>
      <w:r w:rsidRPr="0046345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Caso </w:t>
      </w:r>
      <w:proofErr w:type="spellStart"/>
      <w:r w:rsidRPr="00463458">
        <w:rPr>
          <w:rFonts w:ascii="Times New Roman" w:eastAsia="Times New Roman" w:hAnsi="Times New Roman" w:cs="Times New Roman"/>
          <w:sz w:val="24"/>
          <w:szCs w:val="24"/>
          <w:lang w:val="es-ES"/>
        </w:rPr>
        <w:t>Atala</w:t>
      </w:r>
      <w:proofErr w:type="spellEnd"/>
      <w:r w:rsidRPr="0046345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Riffo y niñas Vs. </w:t>
      </w:r>
      <w:r w:rsidRPr="00463458">
        <w:rPr>
          <w:rFonts w:ascii="Times New Roman" w:eastAsia="Times New Roman" w:hAnsi="Times New Roman" w:cs="Times New Roman"/>
          <w:sz w:val="24"/>
          <w:szCs w:val="24"/>
        </w:rPr>
        <w:t>Chile. Sentença de 24 de fevereiro de 2012. 2012c.</w:t>
      </w:r>
    </w:p>
    <w:p w14:paraId="689136DB" w14:textId="77777777" w:rsidR="00695C6F" w:rsidRPr="00463458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CORTE IDH – CORTE INTERAMERICANA DE DIREITOS HUMANOS. </w:t>
      </w:r>
      <w:r w:rsidRPr="0046345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proofErr w:type="spellStart"/>
      <w:r w:rsidRPr="00463458">
        <w:rPr>
          <w:rFonts w:ascii="Times New Roman" w:eastAsia="Times New Roman" w:hAnsi="Times New Roman" w:cs="Times New Roman"/>
          <w:sz w:val="24"/>
          <w:szCs w:val="24"/>
        </w:rPr>
        <w:t>Uzcátegui</w:t>
      </w:r>
      <w:proofErr w:type="spellEnd"/>
      <w:r w:rsidRPr="00463458">
        <w:rPr>
          <w:rFonts w:ascii="Times New Roman" w:eastAsia="Times New Roman" w:hAnsi="Times New Roman" w:cs="Times New Roman"/>
          <w:sz w:val="24"/>
          <w:szCs w:val="24"/>
        </w:rPr>
        <w:t xml:space="preserve"> e outros Vs. Venezuela</w:t>
      </w:r>
      <w:r>
        <w:rPr>
          <w:rFonts w:ascii="Times New Roman" w:eastAsia="Times New Roman" w:hAnsi="Times New Roman" w:cs="Times New Roman"/>
          <w:sz w:val="24"/>
          <w:szCs w:val="24"/>
        </w:rPr>
        <w:t>. Sentença de 3 de setembro de 2012. 2012d.</w:t>
      </w:r>
    </w:p>
    <w:p w14:paraId="5DA7DB4F" w14:textId="57DB3C14" w:rsidR="00695C6F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156">
        <w:rPr>
          <w:rFonts w:ascii="Times New Roman" w:eastAsia="Times New Roman" w:hAnsi="Times New Roman" w:cs="Times New Roman"/>
          <w:sz w:val="24"/>
          <w:szCs w:val="24"/>
        </w:rPr>
        <w:t xml:space="preserve">CORTE IDH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CORTE INTERAMERICANA DE DIREITOS HUMANOS. </w:t>
      </w:r>
      <w:r w:rsidRPr="00463458">
        <w:rPr>
          <w:rFonts w:ascii="Times New Roman" w:eastAsia="Times New Roman" w:hAnsi="Times New Roman" w:cs="Times New Roman"/>
          <w:sz w:val="24"/>
          <w:szCs w:val="24"/>
        </w:rPr>
        <w:t xml:space="preserve">Caso Gonzales </w:t>
      </w:r>
      <w:proofErr w:type="spellStart"/>
      <w:r w:rsidRPr="00463458">
        <w:rPr>
          <w:rFonts w:ascii="Times New Roman" w:eastAsia="Times New Roman" w:hAnsi="Times New Roman" w:cs="Times New Roman"/>
          <w:sz w:val="24"/>
          <w:szCs w:val="24"/>
        </w:rPr>
        <w:t>Lluy</w:t>
      </w:r>
      <w:proofErr w:type="spellEnd"/>
      <w:r w:rsidRPr="00463458">
        <w:rPr>
          <w:rFonts w:ascii="Times New Roman" w:eastAsia="Times New Roman" w:hAnsi="Times New Roman" w:cs="Times New Roman"/>
          <w:sz w:val="24"/>
          <w:szCs w:val="24"/>
        </w:rPr>
        <w:t xml:space="preserve"> e outros Vs. Equador.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Sentença de 1º de setembro de 2015.</w:t>
      </w:r>
    </w:p>
    <w:p w14:paraId="67A449E1" w14:textId="77777777" w:rsidR="00695C6F" w:rsidRDefault="00695C6F" w:rsidP="00695C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CORTE IDH – CORTE INTERAMERICANA DE DIREITOS HUMANOS. </w:t>
      </w:r>
      <w:r w:rsidRPr="00BD338D">
        <w:rPr>
          <w:rFonts w:ascii="Times New Roman" w:eastAsia="Times New Roman" w:hAnsi="Times New Roman" w:cs="Times New Roman"/>
          <w:sz w:val="24"/>
          <w:szCs w:val="24"/>
        </w:rPr>
        <w:t xml:space="preserve">Caso Trabalhadores da Fazenda Brasil Verde Vs. Brasil. </w:t>
      </w:r>
      <w:r>
        <w:rPr>
          <w:rFonts w:ascii="Times New Roman" w:eastAsia="Times New Roman" w:hAnsi="Times New Roman" w:cs="Times New Roman"/>
          <w:sz w:val="24"/>
          <w:szCs w:val="24"/>
        </w:rPr>
        <w:t>Sentença de 20 de outubro de 2016.</w:t>
      </w:r>
    </w:p>
    <w:p w14:paraId="2D9AA934" w14:textId="77777777" w:rsidR="00695C6F" w:rsidRPr="00BD338D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38D">
        <w:rPr>
          <w:rFonts w:ascii="Times New Roman" w:eastAsia="Times New Roman" w:hAnsi="Times New Roman" w:cs="Times New Roman"/>
          <w:sz w:val="24"/>
          <w:szCs w:val="24"/>
        </w:rPr>
        <w:t>CORTE IDH – CORTE INTERAMERICANA DE DIREITOS HUMANOS. Caso Empregados da Fábrica de Fogos de Santo Antônio de Jesus e seus familiares Vs. Brasil. Sentença de 15 de julho de 2020.</w:t>
      </w:r>
    </w:p>
    <w:p w14:paraId="1EB99785" w14:textId="77777777" w:rsidR="00695C6F" w:rsidRDefault="00695C6F" w:rsidP="0086489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41C19">
        <w:rPr>
          <w:rFonts w:ascii="Times New Roman" w:hAnsi="Times New Roman" w:cs="Times New Roman"/>
          <w:bCs/>
          <w:sz w:val="24"/>
          <w:szCs w:val="24"/>
          <w:lang w:val="es-PY"/>
        </w:rPr>
        <w:t xml:space="preserve">FREDMAN, Sandra. </w:t>
      </w:r>
      <w:r w:rsidRPr="00041C19">
        <w:rPr>
          <w:rFonts w:ascii="Times New Roman" w:hAnsi="Times New Roman" w:cs="Times New Roman"/>
          <w:b/>
          <w:bCs/>
          <w:sz w:val="24"/>
          <w:szCs w:val="24"/>
          <w:lang w:val="es-PY"/>
        </w:rPr>
        <w:t>Discrimination Law</w:t>
      </w:r>
      <w:r w:rsidRPr="00041C19">
        <w:rPr>
          <w:rFonts w:ascii="Times New Roman" w:hAnsi="Times New Roman" w:cs="Times New Roman"/>
          <w:bCs/>
          <w:sz w:val="24"/>
          <w:szCs w:val="24"/>
          <w:lang w:val="es-PY"/>
        </w:rPr>
        <w:t xml:space="preserve">. 2. ed. </w:t>
      </w:r>
      <w:r w:rsidRPr="00BD6BA0">
        <w:rPr>
          <w:rFonts w:ascii="Times New Roman" w:hAnsi="Times New Roman" w:cs="Times New Roman"/>
          <w:bCs/>
          <w:sz w:val="24"/>
          <w:szCs w:val="24"/>
          <w:lang w:val="en-US"/>
        </w:rPr>
        <w:t>Oxford: Oxford University Press, 2011.</w:t>
      </w:r>
    </w:p>
    <w:p w14:paraId="50F69DFC" w14:textId="77777777" w:rsidR="00695C6F" w:rsidRPr="00D04F8C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FRIEDMAN, Robert. </w:t>
      </w:r>
      <w:r w:rsidRPr="008648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Institutional racism: how to discriminate without really trying. </w:t>
      </w:r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In: PETTIGREW, Thomas. </w:t>
      </w:r>
      <w:r w:rsidRPr="00D04F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Racial Discrimination in the United States</w:t>
      </w:r>
      <w:r w:rsidRPr="00D04F8C">
        <w:rPr>
          <w:rFonts w:ascii="Times New Roman" w:eastAsia="Times New Roman" w:hAnsi="Times New Roman" w:cs="Times New Roman"/>
          <w:sz w:val="24"/>
          <w:szCs w:val="24"/>
          <w:lang w:val="en-US"/>
        </w:rPr>
        <w:t>. p. 386-391, New York: Harper e Row, 1975.</w:t>
      </w:r>
    </w:p>
    <w:p w14:paraId="2017B021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4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GAVARA DE CARA, Juan Carlos. </w:t>
      </w:r>
      <w:r w:rsidRPr="00AC644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Contenido y Función del Término de comparación en la Aplicación del Principio de Igualdad</w:t>
      </w:r>
      <w:r w:rsidRPr="00AC644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AC6448">
        <w:rPr>
          <w:rFonts w:ascii="Times New Roman" w:eastAsia="Times New Roman" w:hAnsi="Times New Roman" w:cs="Times New Roman"/>
          <w:sz w:val="24"/>
          <w:szCs w:val="24"/>
        </w:rPr>
        <w:t>Cizur</w:t>
      </w:r>
      <w:proofErr w:type="spellEnd"/>
      <w:r w:rsidRPr="00AC6448">
        <w:rPr>
          <w:rFonts w:ascii="Times New Roman" w:eastAsia="Times New Roman" w:hAnsi="Times New Roman" w:cs="Times New Roman"/>
          <w:sz w:val="24"/>
          <w:szCs w:val="24"/>
        </w:rPr>
        <w:t xml:space="preserve"> Menor: </w:t>
      </w:r>
      <w:proofErr w:type="spellStart"/>
      <w:r w:rsidRPr="00AC6448">
        <w:rPr>
          <w:rFonts w:ascii="Times New Roman" w:eastAsia="Times New Roman" w:hAnsi="Times New Roman" w:cs="Times New Roman"/>
          <w:sz w:val="24"/>
          <w:szCs w:val="24"/>
        </w:rPr>
        <w:t>Aranzadi</w:t>
      </w:r>
      <w:proofErr w:type="spellEnd"/>
      <w:r w:rsidRPr="00AC6448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14:paraId="47CCA4D3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123">
        <w:rPr>
          <w:rFonts w:ascii="Times New Roman" w:eastAsia="Times New Roman" w:hAnsi="Times New Roman" w:cs="Times New Roman"/>
          <w:sz w:val="24"/>
          <w:szCs w:val="24"/>
        </w:rPr>
        <w:t xml:space="preserve">GOMES, Joaquim B. Barbosa. </w:t>
      </w:r>
      <w:r w:rsidRPr="00716123">
        <w:rPr>
          <w:rFonts w:ascii="Times New Roman" w:eastAsia="Times New Roman" w:hAnsi="Times New Roman" w:cs="Times New Roman"/>
          <w:b/>
          <w:sz w:val="24"/>
          <w:szCs w:val="24"/>
        </w:rPr>
        <w:t>Ação afirmativa &amp; princípio constitucional da igualdade</w:t>
      </w:r>
      <w:r w:rsidRPr="00716123">
        <w:rPr>
          <w:rFonts w:ascii="Times New Roman" w:eastAsia="Times New Roman" w:hAnsi="Times New Roman" w:cs="Times New Roman"/>
          <w:sz w:val="24"/>
          <w:szCs w:val="24"/>
        </w:rPr>
        <w:t>: o Direito como instrumento de transformação social. A experiência dos EUA. Rio de Janeiro: Renovar, 2001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DC0D65" w14:textId="77777777" w:rsidR="00695C6F" w:rsidRDefault="00695C6F" w:rsidP="0086489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04F8C">
        <w:rPr>
          <w:rFonts w:ascii="Times New Roman" w:hAnsi="Times New Roman" w:cs="Times New Roman"/>
          <w:bCs/>
          <w:sz w:val="24"/>
          <w:szCs w:val="24"/>
        </w:rPr>
        <w:t xml:space="preserve">HENRY, P. J. </w:t>
      </w:r>
      <w:proofErr w:type="spellStart"/>
      <w:r w:rsidRPr="00D04F8C">
        <w:rPr>
          <w:rFonts w:ascii="Times New Roman" w:hAnsi="Times New Roman" w:cs="Times New Roman"/>
          <w:bCs/>
          <w:sz w:val="24"/>
          <w:szCs w:val="24"/>
        </w:rPr>
        <w:t>Institutional</w:t>
      </w:r>
      <w:proofErr w:type="spellEnd"/>
      <w:r w:rsidRPr="00D04F8C">
        <w:rPr>
          <w:rFonts w:ascii="Times New Roman" w:hAnsi="Times New Roman" w:cs="Times New Roman"/>
          <w:bCs/>
          <w:sz w:val="24"/>
          <w:szCs w:val="24"/>
        </w:rPr>
        <w:t xml:space="preserve"> Bias, In: DOVIDIO, John F. (Org.). </w:t>
      </w:r>
      <w:r w:rsidRPr="00E8480D">
        <w:rPr>
          <w:rFonts w:ascii="Times New Roman" w:hAnsi="Times New Roman" w:cs="Times New Roman"/>
          <w:b/>
          <w:sz w:val="24"/>
          <w:szCs w:val="24"/>
          <w:lang w:val="en-US"/>
        </w:rPr>
        <w:t>The Sage Handbook of Prejudice, Stereotyping and Discrimination</w:t>
      </w:r>
      <w:r w:rsidRPr="00E8480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 426-440, </w:t>
      </w:r>
      <w:r w:rsidRPr="00E8480D">
        <w:rPr>
          <w:rFonts w:ascii="Times New Roman" w:hAnsi="Times New Roman" w:cs="Times New Roman"/>
          <w:bCs/>
          <w:sz w:val="24"/>
          <w:szCs w:val="24"/>
          <w:lang w:val="en-US"/>
        </w:rPr>
        <w:t>London: Sage, 2010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4FA8DE4" w14:textId="77777777" w:rsidR="00695C6F" w:rsidRDefault="00695C6F" w:rsidP="0086489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MCCRUDDEN, Christopher. Institutional Discrimination.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Oxford Journal Legal Studies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2, n. 3, p. 303-367, 1982. </w:t>
      </w:r>
      <w:r w:rsidRPr="00864898"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  <w:hyperlink r:id="rId16" w:history="1">
        <w:r w:rsidRPr="0086489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https://www.jstor.org/stable/764475?seq=1</w:t>
        </w:r>
      </w:hyperlink>
      <w:r w:rsidRPr="00864898">
        <w:rPr>
          <w:rFonts w:ascii="Times New Roman" w:hAnsi="Times New Roman" w:cs="Times New Roman"/>
          <w:bCs/>
          <w:sz w:val="24"/>
          <w:szCs w:val="24"/>
        </w:rPr>
        <w:t>. Acesso e</w:t>
      </w:r>
      <w:r>
        <w:rPr>
          <w:rFonts w:ascii="Times New Roman" w:hAnsi="Times New Roman" w:cs="Times New Roman"/>
          <w:bCs/>
          <w:sz w:val="24"/>
          <w:szCs w:val="24"/>
        </w:rPr>
        <w:t>m: 8 nov. 2020.</w:t>
      </w:r>
    </w:p>
    <w:p w14:paraId="7B22587D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0A">
        <w:rPr>
          <w:rFonts w:ascii="Times New Roman" w:hAnsi="Times New Roman" w:cs="Times New Roman"/>
          <w:sz w:val="24"/>
          <w:szCs w:val="24"/>
        </w:rPr>
        <w:t xml:space="preserve">MOREIRA, Adilson José. </w:t>
      </w:r>
      <w:r w:rsidRPr="00B47054">
        <w:rPr>
          <w:rFonts w:ascii="Times New Roman" w:hAnsi="Times New Roman" w:cs="Times New Roman"/>
          <w:b/>
          <w:bCs/>
          <w:sz w:val="24"/>
          <w:szCs w:val="24"/>
        </w:rPr>
        <w:t xml:space="preserve">O que é discriminação? </w:t>
      </w:r>
      <w:r w:rsidRPr="00B47054">
        <w:rPr>
          <w:rFonts w:ascii="Times New Roman" w:hAnsi="Times New Roman" w:cs="Times New Roman"/>
          <w:sz w:val="24"/>
          <w:szCs w:val="24"/>
        </w:rPr>
        <w:t xml:space="preserve">Belo Horizonte: Letramento: Casa do </w:t>
      </w:r>
      <w:r w:rsidRPr="00B47054">
        <w:rPr>
          <w:rFonts w:ascii="Times New Roman" w:hAnsi="Times New Roman" w:cs="Times New Roman"/>
          <w:sz w:val="24"/>
          <w:szCs w:val="24"/>
        </w:rPr>
        <w:lastRenderedPageBreak/>
        <w:t>Direito: Justificando, 2017.</w:t>
      </w:r>
    </w:p>
    <w:p w14:paraId="6FA9AC7E" w14:textId="77777777" w:rsidR="00695C6F" w:rsidRDefault="00695C6F" w:rsidP="00864898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OEA – ORGANIZAÇÃO DOS ESTADOS AMERICANOS. Convenção Americana sobre Direitos Humanos. Assinada em 22 de novembro de 1969.</w:t>
      </w:r>
    </w:p>
    <w:p w14:paraId="5B4B4BFE" w14:textId="77777777" w:rsidR="00695C6F" w:rsidRPr="00BD6BA0" w:rsidRDefault="00695C6F" w:rsidP="0086489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6BA0">
        <w:rPr>
          <w:rFonts w:ascii="Times New Roman" w:eastAsia="Times New Roman" w:hAnsi="Times New Roman" w:cs="Times New Roman"/>
          <w:bCs/>
          <w:sz w:val="24"/>
          <w:szCs w:val="24"/>
        </w:rPr>
        <w:t xml:space="preserve">RIOS, Roger Raupp. </w:t>
      </w:r>
      <w:r w:rsidRPr="00BD6BA0">
        <w:rPr>
          <w:rFonts w:ascii="Times New Roman" w:eastAsia="Times New Roman" w:hAnsi="Times New Roman" w:cs="Times New Roman"/>
          <w:b/>
          <w:sz w:val="24"/>
          <w:szCs w:val="24"/>
        </w:rPr>
        <w:t xml:space="preserve">Direito da </w:t>
      </w:r>
      <w:proofErr w:type="spellStart"/>
      <w:r w:rsidRPr="00BD6BA0">
        <w:rPr>
          <w:rFonts w:ascii="Times New Roman" w:eastAsia="Times New Roman" w:hAnsi="Times New Roman" w:cs="Times New Roman"/>
          <w:b/>
          <w:sz w:val="24"/>
          <w:szCs w:val="24"/>
        </w:rPr>
        <w:t>antidiscriminação</w:t>
      </w:r>
      <w:proofErr w:type="spellEnd"/>
      <w:r w:rsidRPr="00BD6BA0">
        <w:rPr>
          <w:rFonts w:ascii="Times New Roman" w:eastAsia="Times New Roman" w:hAnsi="Times New Roman" w:cs="Times New Roman"/>
          <w:bCs/>
          <w:sz w:val="24"/>
          <w:szCs w:val="24"/>
        </w:rPr>
        <w:t>: discriminação direta, indireta e ações afirmativas. Porto Alegre: Livraria do Advogado Editora, 2008.</w:t>
      </w:r>
    </w:p>
    <w:p w14:paraId="662C46AF" w14:textId="4B220776" w:rsidR="00EB1945" w:rsidRPr="00060462" w:rsidRDefault="00695C6F" w:rsidP="00B60B9B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3F5">
        <w:rPr>
          <w:rFonts w:ascii="Times New Roman" w:eastAsia="Times New Roman" w:hAnsi="Times New Roman" w:cs="Times New Roman"/>
          <w:bCs/>
          <w:sz w:val="24"/>
          <w:szCs w:val="24"/>
        </w:rPr>
        <w:t xml:space="preserve">RIOS, Roger Raupp. Tramas e interconexões no Supremo Tribunal Federal: </w:t>
      </w:r>
      <w:proofErr w:type="spellStart"/>
      <w:r w:rsidRPr="007113F5">
        <w:rPr>
          <w:rFonts w:ascii="Times New Roman" w:eastAsia="Times New Roman" w:hAnsi="Times New Roman" w:cs="Times New Roman"/>
          <w:bCs/>
          <w:sz w:val="24"/>
          <w:szCs w:val="24"/>
        </w:rPr>
        <w:t>Antidiscriminação</w:t>
      </w:r>
      <w:proofErr w:type="spellEnd"/>
      <w:r w:rsidRPr="007113F5">
        <w:rPr>
          <w:rFonts w:ascii="Times New Roman" w:eastAsia="Times New Roman" w:hAnsi="Times New Roman" w:cs="Times New Roman"/>
          <w:bCs/>
          <w:sz w:val="24"/>
          <w:szCs w:val="24"/>
        </w:rPr>
        <w:t xml:space="preserve">, gênero e sexualidade. </w:t>
      </w:r>
      <w:r w:rsidRPr="007113F5">
        <w:rPr>
          <w:rFonts w:ascii="Times New Roman" w:eastAsia="Times New Roman" w:hAnsi="Times New Roman" w:cs="Times New Roman"/>
          <w:b/>
          <w:bCs/>
          <w:sz w:val="24"/>
          <w:szCs w:val="24"/>
        </w:rPr>
        <w:t>Revista Direito e Práxis</w:t>
      </w:r>
      <w:r w:rsidRPr="007113F5">
        <w:rPr>
          <w:rFonts w:ascii="Times New Roman" w:eastAsia="Times New Roman" w:hAnsi="Times New Roman" w:cs="Times New Roman"/>
          <w:bCs/>
          <w:sz w:val="24"/>
          <w:szCs w:val="24"/>
        </w:rPr>
        <w:t>, Rio de Janeiro, v. 11, n. 2, p. 1332-1357, abr. 2020.</w:t>
      </w:r>
    </w:p>
    <w:sectPr w:rsidR="00EB1945" w:rsidRPr="00060462" w:rsidSect="0006123B">
      <w:headerReference w:type="defaul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334F0" w14:textId="77777777" w:rsidR="00AD2B54" w:rsidRDefault="00AD2B54" w:rsidP="00646E7E">
      <w:pPr>
        <w:spacing w:after="0" w:line="240" w:lineRule="auto"/>
      </w:pPr>
      <w:r>
        <w:separator/>
      </w:r>
    </w:p>
  </w:endnote>
  <w:endnote w:type="continuationSeparator" w:id="0">
    <w:p w14:paraId="267095D9" w14:textId="77777777" w:rsidR="00AD2B54" w:rsidRDefault="00AD2B54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7E53" w14:textId="77777777" w:rsidR="00AD2B54" w:rsidRDefault="00AD2B54" w:rsidP="00646E7E">
      <w:pPr>
        <w:spacing w:after="0" w:line="240" w:lineRule="auto"/>
      </w:pPr>
      <w:r>
        <w:separator/>
      </w:r>
    </w:p>
  </w:footnote>
  <w:footnote w:type="continuationSeparator" w:id="0">
    <w:p w14:paraId="4F852253" w14:textId="77777777" w:rsidR="00AD2B54" w:rsidRDefault="00AD2B54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7C80" w14:textId="64CA4EFB" w:rsidR="00646E7E" w:rsidRDefault="00E14A86" w:rsidP="0084416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Cabealho"/>
      <w:rPr>
        <w:noProof/>
      </w:rPr>
    </w:pPr>
  </w:p>
  <w:p w14:paraId="0CCD5649" w14:textId="3C73D615" w:rsidR="00E14A86" w:rsidRDefault="00E14A86" w:rsidP="00844166">
    <w:pPr>
      <w:pStyle w:val="Cabealho"/>
      <w:rPr>
        <w:noProof/>
      </w:rPr>
    </w:pPr>
  </w:p>
  <w:p w14:paraId="42E8B9DF" w14:textId="752F7C78" w:rsidR="00E14A86" w:rsidRDefault="00E14A86" w:rsidP="00844166">
    <w:pPr>
      <w:pStyle w:val="Cabealho"/>
      <w:rPr>
        <w:noProof/>
      </w:rPr>
    </w:pPr>
  </w:p>
  <w:p w14:paraId="516CC3D3" w14:textId="77777777" w:rsidR="00E14A86" w:rsidRPr="00844166" w:rsidRDefault="00E14A86" w:rsidP="00844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006BF4"/>
    <w:rsid w:val="000111EB"/>
    <w:rsid w:val="00033CB3"/>
    <w:rsid w:val="00037BD1"/>
    <w:rsid w:val="00041C19"/>
    <w:rsid w:val="00043D36"/>
    <w:rsid w:val="00060462"/>
    <w:rsid w:val="0006123B"/>
    <w:rsid w:val="00067761"/>
    <w:rsid w:val="0008050F"/>
    <w:rsid w:val="000914EF"/>
    <w:rsid w:val="0009170E"/>
    <w:rsid w:val="00093B03"/>
    <w:rsid w:val="000F6B1E"/>
    <w:rsid w:val="00127C83"/>
    <w:rsid w:val="00130E8C"/>
    <w:rsid w:val="00144318"/>
    <w:rsid w:val="00144E96"/>
    <w:rsid w:val="00180B5B"/>
    <w:rsid w:val="00181156"/>
    <w:rsid w:val="00186127"/>
    <w:rsid w:val="001B2CC9"/>
    <w:rsid w:val="001C55DB"/>
    <w:rsid w:val="001D23B4"/>
    <w:rsid w:val="001E2172"/>
    <w:rsid w:val="001F1D30"/>
    <w:rsid w:val="0020054E"/>
    <w:rsid w:val="00211305"/>
    <w:rsid w:val="00221185"/>
    <w:rsid w:val="00270FDD"/>
    <w:rsid w:val="00272A56"/>
    <w:rsid w:val="0029523F"/>
    <w:rsid w:val="002A1FEA"/>
    <w:rsid w:val="002D2716"/>
    <w:rsid w:val="002F32B7"/>
    <w:rsid w:val="0031204F"/>
    <w:rsid w:val="003656F9"/>
    <w:rsid w:val="00392C71"/>
    <w:rsid w:val="003A04AC"/>
    <w:rsid w:val="003C33A5"/>
    <w:rsid w:val="003E7A9C"/>
    <w:rsid w:val="003F2625"/>
    <w:rsid w:val="00416379"/>
    <w:rsid w:val="0042028D"/>
    <w:rsid w:val="00447505"/>
    <w:rsid w:val="00463458"/>
    <w:rsid w:val="004772B5"/>
    <w:rsid w:val="004877F9"/>
    <w:rsid w:val="004A2EB8"/>
    <w:rsid w:val="004C430C"/>
    <w:rsid w:val="004F4A5C"/>
    <w:rsid w:val="00502F57"/>
    <w:rsid w:val="00514057"/>
    <w:rsid w:val="00552EDD"/>
    <w:rsid w:val="005567AE"/>
    <w:rsid w:val="005660BC"/>
    <w:rsid w:val="0056646E"/>
    <w:rsid w:val="00577714"/>
    <w:rsid w:val="00584198"/>
    <w:rsid w:val="00596825"/>
    <w:rsid w:val="005979DA"/>
    <w:rsid w:val="005C21D6"/>
    <w:rsid w:val="005D077B"/>
    <w:rsid w:val="00603CE9"/>
    <w:rsid w:val="006161F4"/>
    <w:rsid w:val="006248A8"/>
    <w:rsid w:val="006312CF"/>
    <w:rsid w:val="00646E7E"/>
    <w:rsid w:val="0067275D"/>
    <w:rsid w:val="006933CD"/>
    <w:rsid w:val="00695C6F"/>
    <w:rsid w:val="006C4E5D"/>
    <w:rsid w:val="00700D15"/>
    <w:rsid w:val="00706A22"/>
    <w:rsid w:val="007113F5"/>
    <w:rsid w:val="00716123"/>
    <w:rsid w:val="00735806"/>
    <w:rsid w:val="0074167C"/>
    <w:rsid w:val="00752D99"/>
    <w:rsid w:val="00762273"/>
    <w:rsid w:val="00767887"/>
    <w:rsid w:val="0078686E"/>
    <w:rsid w:val="00786DDD"/>
    <w:rsid w:val="00797DFE"/>
    <w:rsid w:val="007A3C9D"/>
    <w:rsid w:val="007E0731"/>
    <w:rsid w:val="007E2B94"/>
    <w:rsid w:val="007F3A6E"/>
    <w:rsid w:val="00844166"/>
    <w:rsid w:val="008578D6"/>
    <w:rsid w:val="00864898"/>
    <w:rsid w:val="00870E69"/>
    <w:rsid w:val="00885D23"/>
    <w:rsid w:val="00891C48"/>
    <w:rsid w:val="008969F4"/>
    <w:rsid w:val="008A2685"/>
    <w:rsid w:val="008A7BAC"/>
    <w:rsid w:val="008B45FC"/>
    <w:rsid w:val="008C3C0C"/>
    <w:rsid w:val="008D3936"/>
    <w:rsid w:val="0091127A"/>
    <w:rsid w:val="0092382E"/>
    <w:rsid w:val="00934C42"/>
    <w:rsid w:val="00940A71"/>
    <w:rsid w:val="009640DF"/>
    <w:rsid w:val="00990CFA"/>
    <w:rsid w:val="0099182E"/>
    <w:rsid w:val="009A7209"/>
    <w:rsid w:val="009B16A0"/>
    <w:rsid w:val="009C756C"/>
    <w:rsid w:val="009D0ECC"/>
    <w:rsid w:val="00A075C4"/>
    <w:rsid w:val="00A3495F"/>
    <w:rsid w:val="00A42B88"/>
    <w:rsid w:val="00A51B22"/>
    <w:rsid w:val="00A7180A"/>
    <w:rsid w:val="00A83631"/>
    <w:rsid w:val="00A83848"/>
    <w:rsid w:val="00A83980"/>
    <w:rsid w:val="00AA040F"/>
    <w:rsid w:val="00AA59AD"/>
    <w:rsid w:val="00AB1C6B"/>
    <w:rsid w:val="00AC4D53"/>
    <w:rsid w:val="00AC6448"/>
    <w:rsid w:val="00AD2B54"/>
    <w:rsid w:val="00AD2F4F"/>
    <w:rsid w:val="00AD61AF"/>
    <w:rsid w:val="00AF2F88"/>
    <w:rsid w:val="00AF6981"/>
    <w:rsid w:val="00B2241A"/>
    <w:rsid w:val="00B47054"/>
    <w:rsid w:val="00B51025"/>
    <w:rsid w:val="00B60B9B"/>
    <w:rsid w:val="00B66F81"/>
    <w:rsid w:val="00B87D64"/>
    <w:rsid w:val="00BA48D8"/>
    <w:rsid w:val="00BD338D"/>
    <w:rsid w:val="00BD6BA0"/>
    <w:rsid w:val="00C03653"/>
    <w:rsid w:val="00C22F9D"/>
    <w:rsid w:val="00C35757"/>
    <w:rsid w:val="00C575E1"/>
    <w:rsid w:val="00C71036"/>
    <w:rsid w:val="00C900D2"/>
    <w:rsid w:val="00C9786F"/>
    <w:rsid w:val="00CB2125"/>
    <w:rsid w:val="00CB5B53"/>
    <w:rsid w:val="00CD1CF3"/>
    <w:rsid w:val="00CD7523"/>
    <w:rsid w:val="00CE6BE8"/>
    <w:rsid w:val="00D0116F"/>
    <w:rsid w:val="00D04F8C"/>
    <w:rsid w:val="00D0744D"/>
    <w:rsid w:val="00D34F22"/>
    <w:rsid w:val="00D354A5"/>
    <w:rsid w:val="00D50589"/>
    <w:rsid w:val="00D54BF0"/>
    <w:rsid w:val="00D6624C"/>
    <w:rsid w:val="00D66C62"/>
    <w:rsid w:val="00D93A15"/>
    <w:rsid w:val="00DA2C59"/>
    <w:rsid w:val="00DB6D15"/>
    <w:rsid w:val="00DE564F"/>
    <w:rsid w:val="00DF309A"/>
    <w:rsid w:val="00E1314A"/>
    <w:rsid w:val="00E14A86"/>
    <w:rsid w:val="00E358B4"/>
    <w:rsid w:val="00E35B4F"/>
    <w:rsid w:val="00E55D80"/>
    <w:rsid w:val="00E62759"/>
    <w:rsid w:val="00E82242"/>
    <w:rsid w:val="00E8480D"/>
    <w:rsid w:val="00E92451"/>
    <w:rsid w:val="00EB1945"/>
    <w:rsid w:val="00EC298D"/>
    <w:rsid w:val="00EC727C"/>
    <w:rsid w:val="00EF0276"/>
    <w:rsid w:val="00EF1BF7"/>
    <w:rsid w:val="00F12EA9"/>
    <w:rsid w:val="00F16600"/>
    <w:rsid w:val="00F45CAC"/>
    <w:rsid w:val="00F51638"/>
    <w:rsid w:val="00F67F8F"/>
    <w:rsid w:val="00F833D4"/>
    <w:rsid w:val="00F94A46"/>
    <w:rsid w:val="00FB3424"/>
    <w:rsid w:val="00FC091F"/>
    <w:rsid w:val="00FC27BD"/>
    <w:rsid w:val="00FD498D"/>
    <w:rsid w:val="00FD4E10"/>
    <w:rsid w:val="00FD5DC6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C72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C72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727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1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at.unam.mx/pt/revista/isonomia/articulo/principio-antidiscriminatorio-y-determinacion-de-la-desventaja" TargetMode="External"/><Relationship Id="rId13" Type="http://schemas.openxmlformats.org/officeDocument/2006/relationships/hyperlink" Target="https://www.refworld.org/docid/4ef19d59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o.stanford.edu/archives/spr2011/entries/discrimination/" TargetMode="External"/><Relationship Id="rId12" Type="http://schemas.openxmlformats.org/officeDocument/2006/relationships/hyperlink" Target="https://tbinternet.ohchr.org/Treaties/CEDAW/Shared%20Documents/1_Global/CEDAW_C_GC_33_7767_E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jstor.org/stable/764475?seq=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fworld.org/docid/5268d206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fworld.org/docid/4a60961f2.html" TargetMode="External"/><Relationship Id="rId10" Type="http://schemas.openxmlformats.org/officeDocument/2006/relationships/hyperlink" Target="https://www.jstor.org/stable/2657316?seq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hrlr/article-abstract/18/3/411/5086067" TargetMode="External"/><Relationship Id="rId14" Type="http://schemas.openxmlformats.org/officeDocument/2006/relationships/hyperlink" Target="https://www.refworld.org/docid/57c97734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52B3-BCE4-4490-8A6D-6EEF6EDF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2807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Helil Aguiar</cp:lastModifiedBy>
  <cp:revision>5</cp:revision>
  <cp:lastPrinted>2020-10-10T20:41:00Z</cp:lastPrinted>
  <dcterms:created xsi:type="dcterms:W3CDTF">2020-11-09T01:42:00Z</dcterms:created>
  <dcterms:modified xsi:type="dcterms:W3CDTF">2020-11-17T21:27:00Z</dcterms:modified>
</cp:coreProperties>
</file>