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ascii="Arial" w:hAnsi="Arial" w:eastAsia="Times New Roman" w:cs="Arial"/>
          <w:b/>
          <w:lang w:eastAsia="pt-BR"/>
        </w:rPr>
      </w:pPr>
    </w:p>
    <w:p>
      <w:pPr>
        <w:shd w:val="clear" w:color="auto" w:fill="FFFFFF"/>
        <w:jc w:val="center"/>
        <w:rPr>
          <w:rFonts w:ascii="Arial" w:hAnsi="Arial" w:eastAsia="Times New Roman" w:cs="Arial"/>
          <w:color w:val="000000" w:themeColor="text1"/>
          <w:lang w:eastAsia="pt-BR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lang w:eastAsia="pt-BR"/>
        </w:rPr>
        <w:t>EIXO TEMÁTICO 4:</w:t>
      </w:r>
      <w:r>
        <w:rPr>
          <w:rFonts w:ascii="Arial" w:hAnsi="Arial" w:eastAsia="Times New Roman" w:cs="Arial"/>
          <w:lang w:eastAsia="pt-BR"/>
        </w:rPr>
        <w:t xml:space="preserve"> </w:t>
      </w:r>
      <w:r>
        <w:rPr>
          <w:rFonts w:ascii="Arial" w:hAnsi="Arial" w:eastAsia="Times New Roman" w:cs="Arial"/>
          <w:color w:val="000000" w:themeColor="text1"/>
          <w:lang w:eastAsia="pt-BR"/>
          <w14:textFill>
            <w14:solidFill>
              <w14:schemeClr w14:val="tx1"/>
            </w14:solidFill>
          </w14:textFill>
        </w:rPr>
        <w:t>Tecnologia Socioambiental e Biodiversidade.</w:t>
      </w:r>
    </w:p>
    <w:p>
      <w:pPr>
        <w:rPr>
          <w:rFonts w:ascii="Arial" w:hAnsi="Arial" w:cs="Arial"/>
          <w:i/>
          <w:iCs/>
          <w:color w:val="FF0000"/>
        </w:rPr>
      </w:pPr>
    </w:p>
    <w:p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i/>
          <w:i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A SAÚDE DE QUEM PRODUZ O CANAVIAL: UM </w:t>
      </w:r>
      <w:bookmarkStart w:id="0" w:name="_GoBack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ESTUDO SOBRE O TRABALHO NO EITO E A DOENÇA </w:t>
      </w:r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RENAL CRÔNICA DE CAUSAS NÃO TRADICIONAIS</w:t>
      </w:r>
    </w:p>
    <w:p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PACHECO, J. R. S.¹, FACHIN, L. P.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SANTOS, T. H.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FELIX, L.D.A.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, VERÇOSA, L. V. </w:t>
      </w: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.</w:t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¹ Centro Universitário Cesmac, Curso de Medicina</w:t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Centro Universitário Cesmac, Docente do Curso de Medicina</w:t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Centro Universitário Cesmac, Curso de Medicina</w:t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>Centro Universitário Cesmac, Curso de Medicina</w:t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</w:rPr>
        <w:t>Centro Universitário Cesmac, Docente do Curso de Medicina</w:t>
      </w:r>
    </w:p>
    <w:p>
      <w:pPr>
        <w:widowControl w:val="0"/>
        <w:autoSpaceDE w:val="0"/>
        <w:autoSpaceDN w:val="0"/>
        <w:adjustRightInd w:val="0"/>
        <w:ind w:right="49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fldChar w:fldCharType="begin"/>
      </w:r>
      <w:r>
        <w:instrText xml:space="preserve"> HYPERLINK "mailto:jruthelypacheco@gmail.com" </w:instrText>
      </w:r>
      <w:r>
        <w:fldChar w:fldCharType="separate"/>
      </w:r>
      <w:r>
        <w:rPr>
          <w:rStyle w:val="8"/>
          <w:rFonts w:ascii="Arial" w:hAnsi="Arial" w:cs="Arial"/>
        </w:rPr>
        <w:t>jruthelypacheco@gmail.com</w:t>
      </w:r>
      <w:r>
        <w:rPr>
          <w:rStyle w:val="8"/>
          <w:rFonts w:ascii="Arial" w:hAnsi="Arial" w:cs="Arial"/>
        </w:rPr>
        <w:fldChar w:fldCharType="end"/>
      </w: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b/>
        </w:rPr>
      </w:pPr>
    </w:p>
    <w:p>
      <w:pPr>
        <w:pStyle w:val="6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Introdução: </w:t>
      </w:r>
      <w:r>
        <w:rPr>
          <w:rFonts w:ascii="Arial" w:hAnsi="Arial" w:cs="Arial"/>
          <w:color w:val="000000"/>
        </w:rPr>
        <w:t xml:space="preserve">A cana-de-açúcar é cultivada e amplamente produzida em vastas extensões de terras da América Latina, Ásia e no Brasil – país que ocupa o posto de principal produtor mundial. Nesses lugares, o labor nos eitos do canavial é marcado por condições de trabalho que colocam a saúde de milhares de trabalhadores em risco. Ainda que os determinantes sociais da saúde dos trabalhadores canavieiros tenham sido amplamente estudados nas últimas décadas, existe uma patologia específica que, até o presente momento, não tem sua etiologia esclarecida. Trata-se de Doença Renal Crônica de causa não determinada, também conhecida como Nefropatia Mesoamericana. </w:t>
      </w:r>
      <w:r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Integrar e sintetizar os resultados e dados das pesquisas mais significativas sobre doenças renais crônicas de causas não tradicionais entre trabalhadores do corte de cana. </w:t>
      </w:r>
      <w:r>
        <w:rPr>
          <w:rFonts w:ascii="Arial" w:hAnsi="Arial" w:cs="Arial"/>
          <w:b/>
        </w:rPr>
        <w:t>Metodologia: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Estudo integrativo realizado por meio de uma revisão da literatura, a partir de pesquisa bibliográfica nas bases de dados: SciELO Medline, Lilacs e PubMed. 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Serão empregadas as palavras-chave: chronic kidney disease of nontraditional causes, </w:t>
      </w:r>
      <w:r>
        <w:fldChar w:fldCharType="begin"/>
      </w:r>
      <w:r>
        <w:instrText xml:space="preserve"> HYPERLINK "https://www.kidney-international.org/action/doSearch?searchType=quick&amp;occurrences=all&amp;ltrlSrch=true&amp;searchScope=series&amp;searchText=Mesoamerican%20nephropathy&amp;seriesISSN=0085-2538" </w:instrText>
      </w:r>
      <w:r>
        <w:fldChar w:fldCharType="separate"/>
      </w:r>
      <w:r>
        <w:rPr>
          <w:rStyle w:val="8"/>
          <w:rFonts w:ascii="Arial" w:hAnsi="Arial" w:cs="Arial"/>
          <w:color w:val="000000"/>
          <w:shd w:val="clear" w:color="auto" w:fill="FFFFFF"/>
          <w:lang w:val="en-US"/>
        </w:rPr>
        <w:t>mesoamerican nephropathy</w:t>
      </w:r>
      <w:r>
        <w:rPr>
          <w:rStyle w:val="8"/>
          <w:rFonts w:ascii="Arial" w:hAnsi="Arial" w:cs="Arial"/>
          <w:color w:val="000000"/>
          <w:shd w:val="clear" w:color="auto" w:fill="FFFFFF"/>
          <w:lang w:val="en-US"/>
        </w:rPr>
        <w:fldChar w:fldCharType="end"/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, chronic kidney disease of uncertain,  </w:t>
      </w:r>
      <w:r>
        <w:fldChar w:fldCharType="begin"/>
      </w:r>
      <w:r>
        <w:instrText xml:space="preserve"> HYPERLINK "https://www.kidney-international.org/action/doSearch?searchType=quick&amp;occurrences=all&amp;ltrlSrch=true&amp;searchScope=series&amp;searchText=chronic%20interstitial%20nephritis%20of%20agricultural%20communities&amp;seriesISSN=0085-2538" </w:instrText>
      </w:r>
      <w:r>
        <w:fldChar w:fldCharType="separate"/>
      </w:r>
      <w:r>
        <w:rPr>
          <w:rStyle w:val="8"/>
          <w:rFonts w:ascii="Arial" w:hAnsi="Arial" w:cs="Arial"/>
          <w:color w:val="000000"/>
          <w:shd w:val="clear" w:color="auto" w:fill="FFFFFF"/>
          <w:lang w:val="en-US"/>
        </w:rPr>
        <w:t>chronic interstitial nephritis of agricultural communities</w:t>
      </w:r>
      <w:r>
        <w:rPr>
          <w:rStyle w:val="8"/>
          <w:rFonts w:ascii="Arial" w:hAnsi="Arial" w:cs="Arial"/>
          <w:color w:val="000000"/>
          <w:shd w:val="clear" w:color="auto" w:fill="FFFFFF"/>
          <w:lang w:val="en-US"/>
        </w:rPr>
        <w:fldChar w:fldCharType="end"/>
      </w:r>
      <w:r>
        <w:rPr>
          <w:rFonts w:ascii="Arial" w:hAnsi="Arial" w:cs="Arial"/>
          <w:color w:val="000000"/>
          <w:shd w:val="clear" w:color="auto" w:fill="FFFFFF"/>
          <w:lang w:val="en-US"/>
        </w:rPr>
        <w:t>,  sugarcane workers, sugarcane cutters, sugarcane harvesting.</w:t>
      </w:r>
      <w:r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</w:rPr>
        <w:t xml:space="preserve">Mediante a aplicação de critérios pré-definidos para a inclusão e exclusão de publicações, os achados obtidos serão interpretados e discutidos, em comparação às hipóteses levantadas neste estudo. </w:t>
      </w:r>
      <w:r>
        <w:rPr>
          <w:rFonts w:ascii="Arial" w:hAnsi="Arial" w:cs="Arial"/>
          <w:b/>
        </w:rPr>
        <w:t xml:space="preserve">Resultados esperados: </w:t>
      </w:r>
      <w:r>
        <w:rPr>
          <w:rFonts w:hint="default" w:ascii="Arial" w:hAnsi="Arial" w:cs="Arial"/>
          <w:b w:val="0"/>
          <w:bCs/>
          <w:lang w:val="pt-BR"/>
        </w:rPr>
        <w:t>espera-se chegar a conclusões mais claras sobre a Nefropatia Mesoamericana, sendo observadas as variáveis etiológicas em comum que determinam a doença renal crônica de causas não tradicionais.</w:t>
      </w:r>
      <w:r>
        <w:rPr>
          <w:rFonts w:ascii="Arial" w:hAnsi="Arial" w:cs="Arial"/>
          <w:b/>
        </w:rPr>
        <w:t xml:space="preserve">Considerações parciais: </w:t>
      </w:r>
      <w:r>
        <w:rPr>
          <w:rFonts w:ascii="Arial" w:hAnsi="Arial" w:eastAsia="Arial" w:cs="Arial"/>
        </w:rPr>
        <w:t xml:space="preserve">Os resultados deste estudo poderão dar origem </w:t>
      </w:r>
      <w:r>
        <w:rPr>
          <w:rFonts w:ascii="Arial" w:hAnsi="Arial" w:cs="Arial"/>
          <w:color w:val="000000"/>
        </w:rPr>
        <w:t>ao entendimento e reconhecimento dessa epidemia (que apresenta alta taxa mortalidade), bem como estimular pesquisas que possam apoiar ações de prevenção e promoção de saúde embasadas em evidências científicas.</w:t>
      </w:r>
    </w:p>
    <w:p>
      <w:pPr>
        <w:pStyle w:val="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lang w:val="en-US"/>
        </w:rPr>
      </w:pPr>
      <w:r>
        <w:rPr>
          <w:rFonts w:ascii="Arial" w:hAnsi="Arial" w:cs="Arial"/>
          <w:lang w:val="en-US"/>
        </w:rPr>
        <w:t>PALAVRAS-CHAVE:</w:t>
      </w:r>
      <w:r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color w:val="000000"/>
          <w:shd w:val="clear" w:color="auto" w:fill="FFFFFF"/>
          <w:lang w:val="en-US"/>
        </w:rPr>
        <w:t xml:space="preserve">Chronic kidney disease. Chronic kidney disease of nontraditional causes. Rural Health. Occupational Health. </w:t>
      </w:r>
    </w:p>
    <w:p>
      <w:pPr>
        <w:rPr>
          <w:lang w:val="en-US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284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Jaapokki">
    <w:altName w:val="Arial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20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" o:spid="_x0000_s1026" o:spt="1" style="position:absolute;left:0pt;margin-left:-25.65pt;margin-top:-8.2pt;height:3.6pt;width:488.4pt;z-index:251659264;v-text-anchor:middle;mso-width-relative:page;mso-height-relative:page;" fillcolor="#FFC000" filled="t" stroked="f" coordsize="21600,21600" o:gfxdata="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LwYAtoAAAAKAQAADwAAAAAA&#10;AAABACAAAAAiAAAAZHJzL2Rvd25yZXYueG1sUEsBAhQAFAAAAAgAh07iQC+GKXtKAgAAgAQAAA4A&#10;AAAAAAAAAQAgAAAAKQEAAGRycy9lMm9Eb2MueG1sUEsFBgAAAAAGAAYAWQEAAOU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840"/>
      </w:tabs>
    </w:pPr>
    <w:r>
      <w:tab/>
    </w:r>
    <w:r>
      <w:rPr>
        <w:lang w:eastAsia="pt-BR"/>
      </w:rPr>
      <w:drawing>
        <wp:inline distT="0" distB="0" distL="0" distR="0">
          <wp:extent cx="1228725" cy="130556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0429B"/>
    <w:rsid w:val="0012419F"/>
    <w:rsid w:val="005036DA"/>
    <w:rsid w:val="00536DCD"/>
    <w:rsid w:val="005440E7"/>
    <w:rsid w:val="005724A9"/>
    <w:rsid w:val="00590581"/>
    <w:rsid w:val="00616D7F"/>
    <w:rsid w:val="006B3C90"/>
    <w:rsid w:val="006D1E4C"/>
    <w:rsid w:val="00742C44"/>
    <w:rsid w:val="007728E0"/>
    <w:rsid w:val="00773673"/>
    <w:rsid w:val="00797050"/>
    <w:rsid w:val="007D2A46"/>
    <w:rsid w:val="007E1030"/>
    <w:rsid w:val="00945F8F"/>
    <w:rsid w:val="00A25696"/>
    <w:rsid w:val="00A47DB7"/>
    <w:rsid w:val="00AD7A2C"/>
    <w:rsid w:val="00B072FC"/>
    <w:rsid w:val="00B079FB"/>
    <w:rsid w:val="00B44BA1"/>
    <w:rsid w:val="00B81AEA"/>
    <w:rsid w:val="00B86180"/>
    <w:rsid w:val="00BE3DFD"/>
    <w:rsid w:val="00BE7BDA"/>
    <w:rsid w:val="00CA4305"/>
    <w:rsid w:val="00D3297C"/>
    <w:rsid w:val="00D42D3D"/>
    <w:rsid w:val="00DC74A1"/>
    <w:rsid w:val="00E858A2"/>
    <w:rsid w:val="00F34C91"/>
    <w:rsid w:val="00FE4FCF"/>
    <w:rsid w:val="07E75419"/>
    <w:rsid w:val="5131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mbria" w:hAnsi="Cambria" w:eastAsia="MS Mincho" w:cs="Times New Roman"/>
      <w:sz w:val="24"/>
      <w:szCs w:val="24"/>
      <w:lang w:val="pt-BR" w:eastAsia="en-US" w:bidi="ar-SA"/>
    </w:rPr>
  </w:style>
  <w:style w:type="paragraph" w:styleId="2">
    <w:name w:val="heading 2"/>
    <w:basedOn w:val="1"/>
    <w:next w:val="1"/>
    <w:link w:val="12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eastAsia="Times New Roman"/>
      <w:b/>
      <w:bCs/>
      <w:sz w:val="36"/>
      <w:szCs w:val="36"/>
      <w:lang w:eastAsia="pt-BR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</w:rPr>
  </w:style>
  <w:style w:type="paragraph" w:styleId="5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pt-BR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Cabeçalho Char"/>
    <w:basedOn w:val="7"/>
    <w:link w:val="5"/>
    <w:uiPriority w:val="99"/>
  </w:style>
  <w:style w:type="character" w:customStyle="1" w:styleId="11">
    <w:name w:val="Rodapé Char"/>
    <w:basedOn w:val="7"/>
    <w:link w:val="4"/>
    <w:uiPriority w:val="99"/>
  </w:style>
  <w:style w:type="character" w:customStyle="1" w:styleId="12">
    <w:name w:val="Título 2 Char"/>
    <w:basedOn w:val="7"/>
    <w:link w:val="2"/>
    <w:uiPriority w:val="9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customStyle="1" w:styleId="13">
    <w:name w:val="Texto de balão Char"/>
    <w:basedOn w:val="7"/>
    <w:link w:val="3"/>
    <w:semiHidden/>
    <w:uiPriority w:val="99"/>
    <w:rPr>
      <w:rFonts w:ascii="Tahoma" w:hAnsi="Tahoma" w:eastAsia="MS Mincho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2530</Characters>
  <Lines>21</Lines>
  <Paragraphs>5</Paragraphs>
  <TotalTime>37</TotalTime>
  <ScaleCrop>false</ScaleCrop>
  <LinksUpToDate>false</LinksUpToDate>
  <CharactersWithSpaces>2993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2020-12-28T18:17:00Z</dcterms:created>
  <dcterms:modified xsi:type="dcterms:W3CDTF">2020-12-29T01:55:10Z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