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left="0" w:right="4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184" w:right="184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RESTAURAÇÃO ESTÉTICA EM RESINA COMPOSTA  EM DENTE ANTERIOR COM LESÃO INATIVA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3" w:line="240" w:lineRule="auto"/>
        <w:ind w:left="184" w:right="19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¹ </w:t>
      </w:r>
      <w:r w:rsidDel="00000000" w:rsidR="00000000" w:rsidRPr="00000000">
        <w:rPr>
          <w:sz w:val="24"/>
          <w:szCs w:val="24"/>
          <w:rtl w:val="0"/>
        </w:rPr>
        <w:t xml:space="preserve">Lohana Carine Corrêa dos Santos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² </w:t>
      </w:r>
      <w:r w:rsidDel="00000000" w:rsidR="00000000" w:rsidRPr="00000000">
        <w:rPr>
          <w:sz w:val="24"/>
          <w:szCs w:val="24"/>
          <w:rtl w:val="0"/>
        </w:rPr>
        <w:t xml:space="preserve">João Gabriel Bragança de Souza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³ </w:t>
      </w:r>
      <w:r w:rsidDel="00000000" w:rsidR="00000000" w:rsidRPr="00000000">
        <w:rPr>
          <w:sz w:val="24"/>
          <w:szCs w:val="24"/>
          <w:rtl w:val="0"/>
        </w:rPr>
        <w:t xml:space="preserve">Kamila Menezes Guedes de Andrade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" w:line="242" w:lineRule="auto"/>
        <w:ind w:left="184" w:right="17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Graduando em </w:t>
      </w:r>
      <w:r w:rsidDel="00000000" w:rsidR="00000000" w:rsidRPr="00000000">
        <w:rPr>
          <w:sz w:val="24"/>
          <w:szCs w:val="24"/>
          <w:rtl w:val="0"/>
        </w:rPr>
        <w:t xml:space="preserve">Odontologia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pela Universidade</w:t>
      </w:r>
      <w:r w:rsidDel="00000000" w:rsidR="00000000" w:rsidRPr="00000000">
        <w:rPr>
          <w:sz w:val="24"/>
          <w:szCs w:val="24"/>
          <w:rtl w:val="0"/>
        </w:rPr>
        <w:t xml:space="preserve"> do Estado do Amazonas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sz w:val="24"/>
          <w:szCs w:val="24"/>
          <w:rtl w:val="0"/>
        </w:rPr>
        <w:t xml:space="preserve">UEA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2 Graduando em </w:t>
      </w:r>
      <w:r w:rsidDel="00000000" w:rsidR="00000000" w:rsidRPr="00000000">
        <w:rPr>
          <w:sz w:val="24"/>
          <w:szCs w:val="24"/>
          <w:rtl w:val="0"/>
        </w:rPr>
        <w:t xml:space="preserve">Odontologia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pela Universidade </w:t>
      </w:r>
      <w:r w:rsidDel="00000000" w:rsidR="00000000" w:rsidRPr="00000000">
        <w:rPr>
          <w:sz w:val="24"/>
          <w:szCs w:val="24"/>
          <w:rtl w:val="0"/>
        </w:rPr>
        <w:t xml:space="preserve">do Estado do Amazonas – UEA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3 P</w:t>
      </w:r>
      <w:r w:rsidDel="00000000" w:rsidR="00000000" w:rsidRPr="00000000">
        <w:rPr>
          <w:sz w:val="24"/>
          <w:szCs w:val="24"/>
          <w:rtl w:val="0"/>
        </w:rPr>
        <w:t xml:space="preserve">rofessora Adjunta 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Universidade </w:t>
      </w:r>
      <w:r w:rsidDel="00000000" w:rsidR="00000000" w:rsidRPr="00000000">
        <w:rPr>
          <w:sz w:val="24"/>
          <w:szCs w:val="24"/>
          <w:rtl w:val="0"/>
        </w:rPr>
        <w:t xml:space="preserve">do Estado do Amazonas – UEA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13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Área temática: </w:t>
      </w:r>
      <w:r w:rsidDel="00000000" w:rsidR="00000000" w:rsidRPr="00000000">
        <w:rPr>
          <w:sz w:val="24"/>
          <w:szCs w:val="24"/>
          <w:rtl w:val="0"/>
        </w:rPr>
        <w:t xml:space="preserve">Dentística</w:t>
      </w:r>
    </w:p>
    <w:p w:rsidR="00000000" w:rsidDel="00000000" w:rsidP="00000000" w:rsidRDefault="00000000" w:rsidRPr="00000000" w14:paraId="00000009">
      <w:pPr>
        <w:spacing w:before="247" w:lineRule="auto"/>
        <w:ind w:left="13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Modalidade: </w:t>
      </w:r>
      <w:r w:rsidDel="00000000" w:rsidR="00000000" w:rsidRPr="00000000">
        <w:rPr>
          <w:sz w:val="24"/>
          <w:szCs w:val="24"/>
          <w:rtl w:val="0"/>
        </w:rPr>
        <w:t xml:space="preserve">RELATO DE CASO</w:t>
      </w:r>
    </w:p>
    <w:p w:rsidR="00000000" w:rsidDel="00000000" w:rsidP="00000000" w:rsidRDefault="00000000" w:rsidRPr="00000000" w14:paraId="0000000A">
      <w:pPr>
        <w:spacing w:before="243" w:lineRule="auto"/>
        <w:ind w:left="13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 dos autores: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lccds.odo20@uea.edu.br ¹;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jgbds.odo20@uea.edu.br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²; kandrade@uea.edu.br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43" w:lineRule="auto"/>
        <w:ind w:left="13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spacing w:before="1" w:lineRule="auto"/>
        <w:ind w:left="184" w:right="184" w:firstLine="0"/>
        <w:jc w:val="center"/>
        <w:rPr/>
      </w:pPr>
      <w:r w:rsidDel="00000000" w:rsidR="00000000" w:rsidRPr="00000000">
        <w:rPr>
          <w:rtl w:val="0"/>
        </w:rPr>
        <w:t xml:space="preserve">RESUMO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" w:line="240" w:lineRule="auto"/>
        <w:ind w:left="130" w:right="137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Lesões de cárie inativa são caracterizadas pela coloração escura, por vezes brilhante, e resistência ao corte. Usualmente não é indicado intervenção, salvo casos onde a localização compromete  a estética e autoestima do paciente, cabendo ao profissional escolher a conduta mais adequada. Com o avanço da odontologia, os materiais restauradores, como resina composta, se tornaram um bom aliado para alcançar resultados satisfatórios com baixo custo e permitindo trabalhar com técnicas conservadoras, devolvendo ao paciente um sorriso harmonioso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OBJETIVO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Relatar um caso clínico onde a restauração direta em resina composta foi realizada especialmente por razões estéticas, uma vez que do ponto de vista biológico, a lesão estava inativa.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MÉTODOS: </w:t>
      </w:r>
      <w:r w:rsidDel="00000000" w:rsidR="00000000" w:rsidRPr="00000000">
        <w:rPr>
          <w:sz w:val="24"/>
          <w:szCs w:val="24"/>
          <w:rtl w:val="0"/>
        </w:rPr>
        <w:t xml:space="preserve">Paciente do gênero masculino, 35 anos, compareceu a policlínica da UEA com queixa principal de insatisfação com seu sorriso devido a manchas escuras. No exame clínico constataram-se lesões de cárie inativas na face vestibular e cervical com bordas bem delimitadas nos elementos 12 e 13. Após profilaxia e seleção de cor,  foi  realizado preparo de uma cavidade classe V e remoção de todo tecido cariado escurecido com pontas  diamantadas e brocas multilaminadas. O condicionamento ácido dos substratos dentários, aplicação do sistema adesivo e posteriormente a técnica incremental  em resina composta foram realizados seguindo as recomendações do fabricante. O acabamento inicial foi realizado  com pontas  diamantadas para remoção de possíveis irregularidades e brocas multilaminadas. Após 7 dias realizou-se o polimento final utilizando taças abrasivas, pasta e feltro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RESULTADOS: </w:t>
      </w:r>
      <w:r w:rsidDel="00000000" w:rsidR="00000000" w:rsidRPr="00000000">
        <w:rPr>
          <w:sz w:val="24"/>
          <w:szCs w:val="24"/>
          <w:rtl w:val="0"/>
        </w:rPr>
        <w:t xml:space="preserve">Imediatamente observou-se que o tratamento proporcionou melhoria da condição estética, estando ambas restaurações reproduzindo características satisfatórias e com aspecto de naturalidade.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CONCLUSÃO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4"/>
          <w:szCs w:val="24"/>
          <w:rtl w:val="0"/>
        </w:rPr>
        <w:t xml:space="preserve">Restaurações diretas em resina composta são alternativas conservadoras. O paciente relatou estar satisfeito com o resultado alcançado e mostrou-se motivado a continuar seu tratamento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before="251" w:lineRule="auto"/>
        <w:ind w:left="13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Estética dentária</w:t>
      </w:r>
      <w:r w:rsidDel="00000000" w:rsidR="00000000" w:rsidRPr="00000000">
        <w:rPr>
          <w:sz w:val="24"/>
          <w:szCs w:val="24"/>
          <w:rtl w:val="0"/>
        </w:rPr>
        <w:t xml:space="preserve">),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Resina composta</w:t>
      </w:r>
      <w:r w:rsidDel="00000000" w:rsidR="00000000" w:rsidRPr="00000000">
        <w:rPr>
          <w:sz w:val="24"/>
          <w:szCs w:val="24"/>
          <w:rtl w:val="0"/>
        </w:rPr>
        <w:t xml:space="preserve">), (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Restauração dentária permanente</w:t>
      </w:r>
      <w:r w:rsidDel="00000000" w:rsidR="00000000" w:rsidRPr="00000000">
        <w:rPr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ind w:left="130" w:firstLine="0"/>
        <w:jc w:val="both"/>
        <w:rPr/>
      </w:pPr>
      <w:r w:rsidDel="00000000" w:rsidR="00000000" w:rsidRPr="00000000">
        <w:rPr>
          <w:rtl w:val="0"/>
        </w:rPr>
        <w:t xml:space="preserve">REFERÊNCIAS: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74"/>
        </w:tabs>
        <w:spacing w:after="0" w:before="243" w:line="240" w:lineRule="auto"/>
        <w:ind w:left="374" w:right="0" w:hanging="24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Baratieri LN, et al. Soluções clínicas: fundamentos e técnicas. Florianópolis: Editora Ponto; 2008. 606 p.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"/>
        </w:numPr>
        <w:spacing w:after="160" w:line="259" w:lineRule="auto"/>
        <w:ind w:left="374" w:hanging="245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Martins PW, Silva MGdS, Torre EdN, Baldissera RA, Silveira LFM, Nova Cruz LER, Martos J. Reabilitação estética em dentes anteriores com lesões de cárie proximais: relato de caso. Odontol Clín-Cient (Online). 2011;10(3):1-8.</w:t>
      </w:r>
    </w:p>
    <w:p w:rsidR="00000000" w:rsidDel="00000000" w:rsidP="00000000" w:rsidRDefault="00000000" w:rsidRPr="00000000" w14:paraId="00000014">
      <w:pPr>
        <w:widowControl w:val="1"/>
        <w:numPr>
          <w:ilvl w:val="0"/>
          <w:numId w:val="1"/>
        </w:numPr>
        <w:spacing w:after="160" w:line="259" w:lineRule="auto"/>
        <w:ind w:left="374" w:hanging="245"/>
        <w:jc w:val="both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Martins LM, Pereira LdS, Milhomem CN, Yamashita RK. Revisão de literatura das técnicas de estratificação em resina composta em dentes anteriores. Res Soc Dev. 2022;11(8):e40411881390.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60" w:w="11920" w:orient="portrait"/>
      <w:pgMar w:bottom="2120" w:top="2060" w:left="1320" w:right="1320" w:header="0" w:footer="19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9347200</wp:posOffset>
              </wp:positionV>
              <wp:extent cx="6951980" cy="1337310"/>
              <wp:effectExtent b="0" l="0" r="0" t="0"/>
              <wp:wrapNone/>
              <wp:docPr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870000" y="3111325"/>
                        <a:ext cx="6951980" cy="1337310"/>
                        <a:chOff x="1870000" y="3111325"/>
                        <a:chExt cx="6952000" cy="1337325"/>
                      </a:xfrm>
                    </wpg:grpSpPr>
                    <wpg:grpSp>
                      <wpg:cNvGrpSpPr/>
                      <wpg:grpSpPr>
                        <a:xfrm>
                          <a:off x="1870010" y="3111345"/>
                          <a:ext cx="6951975" cy="1337300"/>
                          <a:chOff x="0" y="0"/>
                          <a:chExt cx="6951975" cy="13373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6951975" cy="133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6951794" cy="1337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SpPr/>
                        <wps:cNvPr id="9" name="Shape 9"/>
                        <wps:spPr>
                          <a:xfrm>
                            <a:off x="3235325" y="246665"/>
                            <a:ext cx="2920365" cy="704850"/>
                          </a:xfrm>
                          <a:custGeom>
                            <a:rect b="b" l="l" r="r" t="t"/>
                            <a:pathLst>
                              <a:path extrusionOk="0" h="704850" w="2920365">
                                <a:moveTo>
                                  <a:pt x="2920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lnTo>
                                  <a:pt x="2920365" y="704850"/>
                                </a:lnTo>
                                <a:lnTo>
                                  <a:pt x="2920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0" name="Shape 10"/>
                        <wps:spPr>
                          <a:xfrm>
                            <a:off x="3235325" y="246665"/>
                            <a:ext cx="2920365" cy="704850"/>
                          </a:xfrm>
                          <a:custGeom>
                            <a:rect b="b" l="l" r="r" t="t"/>
                            <a:pathLst>
                              <a:path extrusionOk="0" h="704850" w="2920365">
                                <a:moveTo>
                                  <a:pt x="0" y="704850"/>
                                </a:moveTo>
                                <a:lnTo>
                                  <a:pt x="2920365" y="704850"/>
                                </a:lnTo>
                                <a:lnTo>
                                  <a:pt x="29203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48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flat" cmpd="sng"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9347200</wp:posOffset>
              </wp:positionV>
              <wp:extent cx="6951980" cy="1337310"/>
              <wp:effectExtent b="0" l="0" r="0" t="0"/>
              <wp:wrapNone/>
              <wp:docPr id="7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51980" cy="133731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b="0" l="0" r="0" t="0"/>
              <wp:wrapNone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61700" y="3122775"/>
                        <a:ext cx="7568565" cy="1314450"/>
                        <a:chOff x="1561700" y="3122775"/>
                        <a:chExt cx="7568575" cy="1314450"/>
                      </a:xfrm>
                    </wpg:grpSpPr>
                    <wpg:grpSp>
                      <wpg:cNvGrpSpPr/>
                      <wpg:grpSpPr>
                        <a:xfrm>
                          <a:off x="1561718" y="3122775"/>
                          <a:ext cx="7568550" cy="1314450"/>
                          <a:chOff x="0" y="0"/>
                          <a:chExt cx="7568550" cy="13144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75685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0" y="0"/>
                            <a:ext cx="5730875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5" name="Shape 5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4229100" y="0"/>
                            <a:ext cx="3339083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6" name="Shape 6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779651" y="19050"/>
                            <a:ext cx="39909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b="0" l="0" r="0" t="0"/>
              <wp:wrapNone/>
              <wp:docPr id="6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8565" cy="13144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74" w:hanging="245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269" w:hanging="245"/>
      </w:pPr>
      <w:rPr/>
    </w:lvl>
    <w:lvl w:ilvl="2">
      <w:start w:val="0"/>
      <w:numFmt w:val="bullet"/>
      <w:lvlText w:val="•"/>
      <w:lvlJc w:val="left"/>
      <w:pPr>
        <w:ind w:left="2159" w:hanging="245"/>
      </w:pPr>
      <w:rPr/>
    </w:lvl>
    <w:lvl w:ilvl="3">
      <w:start w:val="0"/>
      <w:numFmt w:val="bullet"/>
      <w:lvlText w:val="•"/>
      <w:lvlJc w:val="left"/>
      <w:pPr>
        <w:ind w:left="3049" w:hanging="245"/>
      </w:pPr>
      <w:rPr/>
    </w:lvl>
    <w:lvl w:ilvl="4">
      <w:start w:val="0"/>
      <w:numFmt w:val="bullet"/>
      <w:lvlText w:val="•"/>
      <w:lvlJc w:val="left"/>
      <w:pPr>
        <w:ind w:left="3939" w:hanging="245"/>
      </w:pPr>
      <w:rPr/>
    </w:lvl>
    <w:lvl w:ilvl="5">
      <w:start w:val="0"/>
      <w:numFmt w:val="bullet"/>
      <w:lvlText w:val="•"/>
      <w:lvlJc w:val="left"/>
      <w:pPr>
        <w:ind w:left="4829" w:hanging="245"/>
      </w:pPr>
      <w:rPr/>
    </w:lvl>
    <w:lvl w:ilvl="6">
      <w:start w:val="0"/>
      <w:numFmt w:val="bullet"/>
      <w:lvlText w:val="•"/>
      <w:lvlJc w:val="left"/>
      <w:pPr>
        <w:ind w:left="5719" w:hanging="245"/>
      </w:pPr>
      <w:rPr/>
    </w:lvl>
    <w:lvl w:ilvl="7">
      <w:start w:val="0"/>
      <w:numFmt w:val="bullet"/>
      <w:lvlText w:val="•"/>
      <w:lvlJc w:val="left"/>
      <w:pPr>
        <w:ind w:left="6608" w:hanging="245"/>
      </w:pPr>
      <w:rPr/>
    </w:lvl>
    <w:lvl w:ilvl="8">
      <w:start w:val="0"/>
      <w:numFmt w:val="bullet"/>
      <w:lvlText w:val="•"/>
      <w:lvlJc w:val="left"/>
      <w:pPr>
        <w:ind w:left="7498" w:hanging="245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61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ind w:left="461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480"/>
    </w:pPr>
  </w:style>
  <w:style w:type="paragraph" w:styleId="TableParagraph" w:customStyle="1">
    <w:name w:val="Table Paragraph"/>
    <w:basedOn w:val="Normal"/>
    <w:uiPriority w:val="1"/>
    <w:qFormat w:val="1"/>
    <w:pPr>
      <w:ind w:left="165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jp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5.png"/><Relationship Id="rId3" Type="http://schemas.openxmlformats.org/officeDocument/2006/relationships/image" Target="media/image3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kiCVuCxxfUu386ex1P6P5U3Ncg==">CgMxLjA4AGo3ChRzdWdnZXN0Lm10eWU0cXlza2cxYRIfTG9oYW5hIENhcmluZSBDb3JyZWEgRG9zIFNhbnRvc2o3ChRzdWdnZXN0LnBhNjNhbTY2dnBjbhIfTG9oYW5hIENhcmluZSBDb3JyZWEgRG9zIFNhbnRvc3IhMWRkeFFiWDlLcFI4dHNkZDlKWU9IMFM5bm9tODN1SDVI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2024-11-03T16:31:00Z</dcterms:created>
  <dc:creator>Conta da Microsoft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