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7CF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3BCA56A8" w14:textId="11BE156B" w:rsidR="00E5097D" w:rsidRPr="00CA1356" w:rsidRDefault="00E77CB2" w:rsidP="00E77CB2">
      <w:pPr>
        <w:jc w:val="center"/>
        <w:rPr>
          <w:b/>
          <w:sz w:val="28"/>
          <w:szCs w:val="28"/>
          <w:lang w:val="en-US"/>
        </w:rPr>
      </w:pPr>
      <w:r w:rsidRPr="00E77CB2">
        <w:rPr>
          <w:b/>
          <w:sz w:val="28"/>
          <w:szCs w:val="28"/>
          <w:lang w:val="en-US"/>
        </w:rPr>
        <w:t>Long</w:t>
      </w:r>
      <w:r w:rsidR="00376542">
        <w:rPr>
          <w:b/>
          <w:sz w:val="28"/>
          <w:szCs w:val="28"/>
          <w:lang w:val="en-US"/>
        </w:rPr>
        <w:t>-</w:t>
      </w:r>
      <w:r w:rsidRPr="00E77CB2">
        <w:rPr>
          <w:b/>
          <w:sz w:val="28"/>
          <w:szCs w:val="28"/>
          <w:lang w:val="en-US"/>
        </w:rPr>
        <w:t>term land use drives contrasting fungal and bacterial community structure and diversity in tropical systems</w:t>
      </w:r>
    </w:p>
    <w:p w14:paraId="5C6B4FA9" w14:textId="77777777" w:rsidR="00E5097D" w:rsidRPr="00D572CE" w:rsidRDefault="00E5097D">
      <w:pPr>
        <w:jc w:val="center"/>
        <w:rPr>
          <w:lang w:val="en-US"/>
        </w:rPr>
      </w:pPr>
    </w:p>
    <w:p w14:paraId="1BDBDE10" w14:textId="78FC0E75" w:rsidR="00E5097D" w:rsidRDefault="00B37F78" w:rsidP="00B112BE">
      <w:pPr>
        <w:ind w:left="360"/>
        <w:jc w:val="center"/>
        <w:rPr>
          <w:b/>
          <w:sz w:val="22"/>
          <w:szCs w:val="22"/>
          <w:vertAlign w:val="superscript"/>
          <w:lang w:val="pt-BR"/>
        </w:rPr>
      </w:pPr>
      <w:r w:rsidRPr="0039380A">
        <w:rPr>
          <w:b/>
          <w:sz w:val="22"/>
          <w:szCs w:val="22"/>
          <w:u w:val="single"/>
          <w:lang w:val="pt-BR"/>
        </w:rPr>
        <w:t>R.S. Mendonça</w:t>
      </w:r>
      <w:r w:rsidR="00EA3DE2" w:rsidRPr="0039380A">
        <w:rPr>
          <w:b/>
          <w:sz w:val="22"/>
          <w:szCs w:val="22"/>
          <w:u w:val="single"/>
          <w:vertAlign w:val="superscript"/>
          <w:lang w:val="pt-BR"/>
        </w:rPr>
        <w:t>1</w:t>
      </w:r>
      <w:r w:rsidR="00EA3DE2" w:rsidRPr="0039380A">
        <w:rPr>
          <w:b/>
          <w:sz w:val="22"/>
          <w:szCs w:val="22"/>
          <w:lang w:val="pt-BR"/>
        </w:rPr>
        <w:t xml:space="preserve">, </w:t>
      </w:r>
      <w:r w:rsidRPr="0039380A">
        <w:rPr>
          <w:b/>
          <w:sz w:val="22"/>
          <w:szCs w:val="22"/>
          <w:lang w:val="pt-BR"/>
        </w:rPr>
        <w:t>B.</w:t>
      </w:r>
      <w:r w:rsidR="0080349C" w:rsidRPr="0039380A">
        <w:rPr>
          <w:b/>
          <w:sz w:val="22"/>
          <w:szCs w:val="22"/>
          <w:lang w:val="pt-BR"/>
        </w:rPr>
        <w:t>A. Ribeiro</w:t>
      </w:r>
      <w:r w:rsidR="0080349C" w:rsidRPr="0039380A">
        <w:rPr>
          <w:b/>
          <w:sz w:val="22"/>
          <w:szCs w:val="22"/>
          <w:vertAlign w:val="superscript"/>
          <w:lang w:val="pt-BR"/>
        </w:rPr>
        <w:t>1</w:t>
      </w:r>
      <w:r w:rsidR="00EA3DE2" w:rsidRPr="0039380A">
        <w:rPr>
          <w:b/>
          <w:sz w:val="22"/>
          <w:szCs w:val="22"/>
          <w:lang w:val="pt-BR"/>
        </w:rPr>
        <w:t xml:space="preserve">, </w:t>
      </w:r>
      <w:r w:rsidR="0080349C" w:rsidRPr="0039380A">
        <w:rPr>
          <w:b/>
          <w:sz w:val="22"/>
          <w:szCs w:val="22"/>
          <w:lang w:val="pt-BR"/>
        </w:rPr>
        <w:t>P.</w:t>
      </w:r>
      <w:r w:rsidR="00597A74" w:rsidRPr="0039380A">
        <w:rPr>
          <w:b/>
          <w:sz w:val="22"/>
          <w:szCs w:val="22"/>
          <w:lang w:val="pt-BR"/>
        </w:rPr>
        <w:t>B. Dias</w:t>
      </w:r>
      <w:r w:rsidR="00B112BE" w:rsidRPr="0039380A">
        <w:rPr>
          <w:b/>
          <w:sz w:val="22"/>
          <w:szCs w:val="22"/>
          <w:vertAlign w:val="superscript"/>
          <w:lang w:val="pt-BR"/>
        </w:rPr>
        <w:t>1</w:t>
      </w:r>
      <w:r w:rsidR="00B112BE" w:rsidRPr="0039380A">
        <w:rPr>
          <w:b/>
          <w:sz w:val="22"/>
          <w:szCs w:val="22"/>
          <w:lang w:val="pt-BR"/>
        </w:rPr>
        <w:t>,</w:t>
      </w:r>
      <w:r w:rsidR="00450EF9">
        <w:rPr>
          <w:b/>
          <w:sz w:val="22"/>
          <w:szCs w:val="22"/>
          <w:lang w:val="pt-BR"/>
        </w:rPr>
        <w:t xml:space="preserve"> </w:t>
      </w:r>
      <w:r w:rsidR="00EA1394">
        <w:rPr>
          <w:b/>
          <w:sz w:val="22"/>
          <w:szCs w:val="22"/>
          <w:lang w:val="pt-BR"/>
        </w:rPr>
        <w:t xml:space="preserve">R.L. </w:t>
      </w:r>
      <w:r w:rsidR="00EA1394" w:rsidRPr="00EA1394">
        <w:rPr>
          <w:b/>
          <w:sz w:val="22"/>
          <w:szCs w:val="22"/>
          <w:lang w:val="pt-BR"/>
        </w:rPr>
        <w:t>Oliveira</w:t>
      </w:r>
      <w:r w:rsidR="00EA1394" w:rsidRPr="00876B58">
        <w:rPr>
          <w:b/>
          <w:sz w:val="22"/>
          <w:szCs w:val="22"/>
          <w:vertAlign w:val="superscript"/>
          <w:lang w:val="pt-BR"/>
        </w:rPr>
        <w:t>1</w:t>
      </w:r>
      <w:r w:rsidR="00EA1394">
        <w:rPr>
          <w:b/>
          <w:sz w:val="22"/>
          <w:szCs w:val="22"/>
          <w:lang w:val="pt-BR"/>
        </w:rPr>
        <w:t xml:space="preserve">, </w:t>
      </w:r>
      <w:r w:rsidR="00450EF9" w:rsidRPr="00EA1394">
        <w:rPr>
          <w:b/>
          <w:sz w:val="22"/>
          <w:szCs w:val="22"/>
          <w:lang w:val="pt-BR"/>
        </w:rPr>
        <w:t>N</w:t>
      </w:r>
      <w:r w:rsidR="00450EF9">
        <w:rPr>
          <w:b/>
          <w:sz w:val="22"/>
          <w:szCs w:val="22"/>
          <w:lang w:val="pt-BR"/>
        </w:rPr>
        <w:t>. Andrade</w:t>
      </w:r>
      <w:r w:rsidR="00EA1394" w:rsidRPr="0039380A">
        <w:rPr>
          <w:b/>
          <w:sz w:val="22"/>
          <w:szCs w:val="22"/>
          <w:vertAlign w:val="superscript"/>
          <w:lang w:val="pt-BR"/>
        </w:rPr>
        <w:t>1</w:t>
      </w:r>
      <w:r w:rsidR="003C0F0B">
        <w:rPr>
          <w:b/>
          <w:sz w:val="22"/>
          <w:szCs w:val="22"/>
          <w:lang w:val="pt-BR"/>
        </w:rPr>
        <w:t>,</w:t>
      </w:r>
      <w:r w:rsidR="00B112BE" w:rsidRPr="0039380A">
        <w:rPr>
          <w:b/>
          <w:sz w:val="22"/>
          <w:szCs w:val="22"/>
          <w:lang w:val="pt-BR"/>
        </w:rPr>
        <w:t xml:space="preserve"> F.D. Andreote</w:t>
      </w:r>
      <w:r w:rsidR="00B112BE" w:rsidRPr="0039380A">
        <w:rPr>
          <w:b/>
          <w:sz w:val="22"/>
          <w:szCs w:val="22"/>
          <w:vertAlign w:val="superscript"/>
          <w:lang w:val="pt-BR"/>
        </w:rPr>
        <w:t>1</w:t>
      </w:r>
      <w:r w:rsidR="0075445E">
        <w:rPr>
          <w:b/>
          <w:sz w:val="22"/>
          <w:szCs w:val="22"/>
          <w:vertAlign w:val="superscript"/>
          <w:lang w:val="pt-BR"/>
        </w:rPr>
        <w:t>*</w:t>
      </w:r>
    </w:p>
    <w:p w14:paraId="30CDFC82" w14:textId="77777777" w:rsidR="002958E3" w:rsidRPr="00653E67" w:rsidRDefault="002958E3" w:rsidP="00B112BE">
      <w:pPr>
        <w:ind w:left="360"/>
        <w:jc w:val="center"/>
        <w:rPr>
          <w:b/>
          <w:sz w:val="18"/>
          <w:szCs w:val="18"/>
          <w:lang w:val="pt-BR"/>
        </w:rPr>
      </w:pPr>
    </w:p>
    <w:p w14:paraId="04CDE928" w14:textId="40D23B63" w:rsidR="00E5097D" w:rsidRPr="00653E67" w:rsidRDefault="00EA3DE2" w:rsidP="0075445E">
      <w:pPr>
        <w:jc w:val="center"/>
        <w:rPr>
          <w:i/>
          <w:color w:val="C00000"/>
          <w:sz w:val="18"/>
          <w:szCs w:val="18"/>
          <w:lang w:val="pt-BR"/>
        </w:rPr>
      </w:pPr>
      <w:r w:rsidRPr="00653E67">
        <w:rPr>
          <w:i/>
          <w:sz w:val="18"/>
          <w:szCs w:val="18"/>
          <w:vertAlign w:val="superscript"/>
          <w:lang w:val="pt-BR"/>
        </w:rPr>
        <w:t>1</w:t>
      </w:r>
      <w:r w:rsidR="0075445E" w:rsidRPr="00653E67">
        <w:rPr>
          <w:i/>
          <w:sz w:val="18"/>
          <w:szCs w:val="18"/>
          <w:lang w:val="pt-BR"/>
        </w:rPr>
        <w:t xml:space="preserve">Department </w:t>
      </w:r>
      <w:proofErr w:type="spellStart"/>
      <w:r w:rsidR="0075445E" w:rsidRPr="00653E67">
        <w:rPr>
          <w:i/>
          <w:sz w:val="18"/>
          <w:szCs w:val="18"/>
          <w:lang w:val="pt-BR"/>
        </w:rPr>
        <w:t>of</w:t>
      </w:r>
      <w:proofErr w:type="spellEnd"/>
      <w:r w:rsidR="0075445E" w:rsidRPr="00653E67">
        <w:rPr>
          <w:i/>
          <w:sz w:val="18"/>
          <w:szCs w:val="18"/>
          <w:lang w:val="pt-BR"/>
        </w:rPr>
        <w:t xml:space="preserve"> Soil Science, University </w:t>
      </w:r>
      <w:proofErr w:type="spellStart"/>
      <w:r w:rsidR="0075445E" w:rsidRPr="00653E67">
        <w:rPr>
          <w:i/>
          <w:sz w:val="18"/>
          <w:szCs w:val="18"/>
          <w:lang w:val="pt-BR"/>
        </w:rPr>
        <w:t>of</w:t>
      </w:r>
      <w:proofErr w:type="spellEnd"/>
      <w:r w:rsidR="0075445E" w:rsidRPr="00653E67">
        <w:rPr>
          <w:i/>
          <w:sz w:val="18"/>
          <w:szCs w:val="18"/>
          <w:lang w:val="pt-BR"/>
        </w:rPr>
        <w:t xml:space="preserve"> São Paulo (USP) – Luiz de Queiroz </w:t>
      </w:r>
      <w:proofErr w:type="spellStart"/>
      <w:r w:rsidR="0075445E" w:rsidRPr="00653E67">
        <w:rPr>
          <w:i/>
          <w:sz w:val="18"/>
          <w:szCs w:val="18"/>
          <w:lang w:val="pt-BR"/>
        </w:rPr>
        <w:t>College</w:t>
      </w:r>
      <w:proofErr w:type="spellEnd"/>
      <w:r w:rsidR="0075445E" w:rsidRPr="00653E67">
        <w:rPr>
          <w:i/>
          <w:sz w:val="18"/>
          <w:szCs w:val="18"/>
          <w:lang w:val="pt-BR"/>
        </w:rPr>
        <w:t xml:space="preserve"> </w:t>
      </w:r>
      <w:proofErr w:type="spellStart"/>
      <w:r w:rsidR="0075445E" w:rsidRPr="00653E67">
        <w:rPr>
          <w:i/>
          <w:sz w:val="18"/>
          <w:szCs w:val="18"/>
          <w:lang w:val="pt-BR"/>
        </w:rPr>
        <w:t>of</w:t>
      </w:r>
      <w:proofErr w:type="spellEnd"/>
      <w:r w:rsidR="0075445E" w:rsidRPr="00653E67">
        <w:rPr>
          <w:i/>
          <w:sz w:val="18"/>
          <w:szCs w:val="18"/>
          <w:lang w:val="pt-BR"/>
        </w:rPr>
        <w:t xml:space="preserve"> </w:t>
      </w:r>
      <w:proofErr w:type="spellStart"/>
      <w:r w:rsidR="0075445E" w:rsidRPr="00653E67">
        <w:rPr>
          <w:i/>
          <w:sz w:val="18"/>
          <w:szCs w:val="18"/>
          <w:lang w:val="pt-BR"/>
        </w:rPr>
        <w:t>Agriculture</w:t>
      </w:r>
      <w:proofErr w:type="spellEnd"/>
      <w:r w:rsidR="0075445E" w:rsidRPr="00653E67">
        <w:rPr>
          <w:i/>
          <w:sz w:val="18"/>
          <w:szCs w:val="18"/>
          <w:lang w:val="pt-BR"/>
        </w:rPr>
        <w:t xml:space="preserve"> (ESALQ) (P.O BOX 9, 13418-900, Piracicaba – São Paulo State, Brazil</w:t>
      </w:r>
      <w:r w:rsidR="0050776A" w:rsidRPr="00653E67">
        <w:rPr>
          <w:i/>
          <w:iCs/>
          <w:sz w:val="18"/>
          <w:szCs w:val="18"/>
          <w:lang w:val="pt-BR"/>
        </w:rPr>
        <w:t>.</w:t>
      </w:r>
      <w:r w:rsidRPr="00653E67">
        <w:rPr>
          <w:i/>
          <w:color w:val="C00000"/>
          <w:sz w:val="18"/>
          <w:szCs w:val="18"/>
          <w:lang w:val="pt-BR"/>
        </w:rPr>
        <w:t xml:space="preserve"> </w:t>
      </w:r>
    </w:p>
    <w:p w14:paraId="26E34C83" w14:textId="77777777" w:rsidR="002958E3" w:rsidRPr="00653E67" w:rsidRDefault="002958E3" w:rsidP="0075445E">
      <w:pPr>
        <w:jc w:val="center"/>
        <w:rPr>
          <w:i/>
          <w:iCs/>
          <w:sz w:val="18"/>
          <w:szCs w:val="18"/>
          <w:lang w:val="pt-BR"/>
        </w:rPr>
      </w:pPr>
    </w:p>
    <w:p w14:paraId="6A7666E4" w14:textId="219670C9" w:rsidR="00E5097D" w:rsidRPr="00653E67" w:rsidRDefault="00EA3DE2">
      <w:pPr>
        <w:jc w:val="center"/>
        <w:rPr>
          <w:i/>
          <w:sz w:val="18"/>
          <w:szCs w:val="18"/>
          <w:lang w:val="en-US"/>
        </w:rPr>
      </w:pPr>
      <w:r w:rsidRPr="00653E67">
        <w:rPr>
          <w:i/>
          <w:sz w:val="18"/>
          <w:szCs w:val="18"/>
          <w:lang w:val="en-US"/>
        </w:rPr>
        <w:t>*</w:t>
      </w:r>
      <w:r w:rsidR="004929BF" w:rsidRPr="00653E67">
        <w:rPr>
          <w:i/>
          <w:sz w:val="18"/>
          <w:szCs w:val="18"/>
          <w:lang w:val="en-US"/>
        </w:rPr>
        <w:t xml:space="preserve"> </w:t>
      </w:r>
      <w:r w:rsidR="00653E67" w:rsidRPr="00586047">
        <w:rPr>
          <w:i/>
          <w:sz w:val="18"/>
          <w:szCs w:val="18"/>
          <w:lang w:val="en-US"/>
        </w:rPr>
        <w:t xml:space="preserve">Correspondent author: </w:t>
      </w:r>
      <w:r w:rsidR="0075445E" w:rsidRPr="00653E67">
        <w:rPr>
          <w:i/>
          <w:sz w:val="18"/>
          <w:szCs w:val="18"/>
          <w:lang w:val="en-US"/>
        </w:rPr>
        <w:t>fdandreo@usp.br</w:t>
      </w:r>
      <w:r w:rsidRPr="00653E67">
        <w:rPr>
          <w:i/>
          <w:color w:val="C00000"/>
          <w:sz w:val="18"/>
          <w:szCs w:val="18"/>
          <w:lang w:val="en-US"/>
        </w:rPr>
        <w:t xml:space="preserve"> </w:t>
      </w:r>
    </w:p>
    <w:p w14:paraId="684EE9A0" w14:textId="77777777" w:rsidR="00E5097D" w:rsidRPr="00B37F78" w:rsidRDefault="00E5097D">
      <w:pPr>
        <w:jc w:val="center"/>
        <w:rPr>
          <w:lang w:val="en-US"/>
        </w:rPr>
      </w:pPr>
    </w:p>
    <w:p w14:paraId="61E57E54" w14:textId="5D61A1C2" w:rsidR="000479E3" w:rsidRDefault="006D7BC9">
      <w:pPr>
        <w:ind w:firstLine="720"/>
        <w:rPr>
          <w:lang w:val="en-US"/>
        </w:rPr>
      </w:pPr>
      <w:r w:rsidRPr="006D7BC9">
        <w:rPr>
          <w:lang w:val="en-US"/>
        </w:rPr>
        <w:t xml:space="preserve">Land-use changes alter the quantity and quality of organic inputs to soil, reshaping microbial communities in tropical agroecosystems. </w:t>
      </w:r>
      <w:r w:rsidR="00FC267B">
        <w:rPr>
          <w:lang w:val="en-US"/>
        </w:rPr>
        <w:t>Yet</w:t>
      </w:r>
      <w:r w:rsidRPr="006D7BC9">
        <w:rPr>
          <w:lang w:val="en-US"/>
        </w:rPr>
        <w:t>, evaluating microbial responses under long-term land use is essential to distinguish persistent patterns from transient soil variability. This study evaluated fungal and bacterial community ecological attributes in a long-term experiment established in 2011 in Sinop</w:t>
      </w:r>
      <w:r w:rsidR="00873841">
        <w:rPr>
          <w:lang w:val="en-US"/>
        </w:rPr>
        <w:t xml:space="preserve">-MT, </w:t>
      </w:r>
      <w:r w:rsidRPr="006D7BC9">
        <w:rPr>
          <w:lang w:val="en-US"/>
        </w:rPr>
        <w:t xml:space="preserve">Brazil, including </w:t>
      </w:r>
      <w:proofErr w:type="gramStart"/>
      <w:r w:rsidRPr="00FC267B">
        <w:rPr>
          <w:i/>
          <w:iCs/>
          <w:lang w:val="en-US"/>
        </w:rPr>
        <w:t>Eucalyptus</w:t>
      </w:r>
      <w:r w:rsidRPr="006D7BC9">
        <w:rPr>
          <w:lang w:val="en-US"/>
        </w:rPr>
        <w:t xml:space="preserve"> forest</w:t>
      </w:r>
      <w:proofErr w:type="gramEnd"/>
      <w:r w:rsidRPr="006D7BC9">
        <w:rPr>
          <w:lang w:val="en-US"/>
        </w:rPr>
        <w:t>, cropland, pasture, crop-livestock integration (CLi), and crop-livestock-forest integration (</w:t>
      </w:r>
      <w:proofErr w:type="spellStart"/>
      <w:r w:rsidRPr="006D7BC9">
        <w:rPr>
          <w:lang w:val="en-US"/>
        </w:rPr>
        <w:t>CLFi</w:t>
      </w:r>
      <w:proofErr w:type="spellEnd"/>
      <w:r w:rsidRPr="006D7BC9">
        <w:rPr>
          <w:lang w:val="en-US"/>
        </w:rPr>
        <w:t>). Soil samples (0</w:t>
      </w:r>
      <w:r w:rsidR="00FC267B">
        <w:rPr>
          <w:lang w:val="en-US"/>
        </w:rPr>
        <w:t>-</w:t>
      </w:r>
      <w:r w:rsidRPr="006D7BC9">
        <w:rPr>
          <w:lang w:val="en-US"/>
        </w:rPr>
        <w:t>10 cm; n = 9) were analyzed by ITS and 16S rRNA</w:t>
      </w:r>
      <w:r w:rsidR="00B801AE">
        <w:rPr>
          <w:lang w:val="en-US"/>
        </w:rPr>
        <w:t xml:space="preserve"> genes</w:t>
      </w:r>
      <w:r w:rsidRPr="006D7BC9">
        <w:rPr>
          <w:lang w:val="en-US"/>
        </w:rPr>
        <w:t xml:space="preserve"> sequencing. Alpha diversity (Shannon and observed ASVs) and community structure (</w:t>
      </w:r>
      <w:proofErr w:type="spellStart"/>
      <w:r w:rsidRPr="006D7BC9">
        <w:rPr>
          <w:lang w:val="en-US"/>
        </w:rPr>
        <w:t>PCoA</w:t>
      </w:r>
      <w:proofErr w:type="spellEnd"/>
      <w:r w:rsidRPr="006D7BC9">
        <w:rPr>
          <w:lang w:val="en-US"/>
        </w:rPr>
        <w:t>, Bray</w:t>
      </w:r>
      <w:r w:rsidR="00DD26D6">
        <w:rPr>
          <w:lang w:val="en-US"/>
        </w:rPr>
        <w:t>-</w:t>
      </w:r>
      <w:r w:rsidRPr="006D7BC9">
        <w:rPr>
          <w:lang w:val="en-US"/>
        </w:rPr>
        <w:t>Curtis) were assessed, with differences tested by PERMANOVA and Tukey’s test (p &lt; 0.05).</w:t>
      </w:r>
      <w:r w:rsidR="00443302">
        <w:rPr>
          <w:lang w:val="en-US"/>
        </w:rPr>
        <w:t xml:space="preserve"> </w:t>
      </w:r>
      <w:r w:rsidRPr="006D7BC9">
        <w:rPr>
          <w:lang w:val="en-US"/>
        </w:rPr>
        <w:t>Fungal communities showed clear separation (R² = 0.362</w:t>
      </w:r>
      <w:r w:rsidR="00443302">
        <w:rPr>
          <w:lang w:val="en-US"/>
        </w:rPr>
        <w:t>;</w:t>
      </w:r>
      <w:r w:rsidR="00443302" w:rsidRPr="00443302">
        <w:rPr>
          <w:lang w:val="en-US"/>
        </w:rPr>
        <w:t xml:space="preserve"> </w:t>
      </w:r>
      <w:r w:rsidR="00443302" w:rsidRPr="006D7BC9">
        <w:rPr>
          <w:lang w:val="en-US"/>
        </w:rPr>
        <w:t>p &lt; 0.001</w:t>
      </w:r>
      <w:r w:rsidRPr="006D7BC9">
        <w:rPr>
          <w:lang w:val="en-US"/>
        </w:rPr>
        <w:t xml:space="preserve">), with cropland, pasture, and </w:t>
      </w:r>
      <w:r w:rsidR="00127C19">
        <w:rPr>
          <w:i/>
          <w:iCs/>
          <w:lang w:val="en-US"/>
        </w:rPr>
        <w:t>E</w:t>
      </w:r>
      <w:r w:rsidRPr="00127C19">
        <w:rPr>
          <w:i/>
          <w:iCs/>
          <w:lang w:val="en-US"/>
        </w:rPr>
        <w:t>ucalyptus</w:t>
      </w:r>
      <w:r w:rsidRPr="006D7BC9">
        <w:rPr>
          <w:lang w:val="en-US"/>
        </w:rPr>
        <w:t xml:space="preserve"> forming distinct clusters, while integrated systems showed intermediate positions with greater dispersion and overlap, particularly </w:t>
      </w:r>
      <w:proofErr w:type="spellStart"/>
      <w:r w:rsidRPr="006D7BC9">
        <w:rPr>
          <w:lang w:val="en-US"/>
        </w:rPr>
        <w:t>CLFi</w:t>
      </w:r>
      <w:proofErr w:type="spellEnd"/>
      <w:r w:rsidRPr="006D7BC9">
        <w:rPr>
          <w:lang w:val="en-US"/>
        </w:rPr>
        <w:t xml:space="preserve">. Fungal richness and diversity were highest in pasture (837 ASVs; 4.6) and lowest in </w:t>
      </w:r>
      <w:r w:rsidR="009D645C" w:rsidRPr="009D645C">
        <w:rPr>
          <w:i/>
          <w:iCs/>
          <w:lang w:val="en-US"/>
        </w:rPr>
        <w:t>E</w:t>
      </w:r>
      <w:r w:rsidRPr="009D645C">
        <w:rPr>
          <w:i/>
          <w:iCs/>
          <w:lang w:val="en-US"/>
        </w:rPr>
        <w:t>ucalyptus</w:t>
      </w:r>
      <w:r w:rsidRPr="006D7BC9">
        <w:rPr>
          <w:lang w:val="en-US"/>
        </w:rPr>
        <w:t xml:space="preserve"> (640 ASVs; 3.6), with intermediate values elsewhere. Bacterial communities also differed (R² = 0.327</w:t>
      </w:r>
      <w:r w:rsidR="00443302">
        <w:rPr>
          <w:lang w:val="en-US"/>
        </w:rPr>
        <w:t>;</w:t>
      </w:r>
      <w:r w:rsidR="00443302" w:rsidRPr="00443302">
        <w:rPr>
          <w:lang w:val="en-US"/>
        </w:rPr>
        <w:t xml:space="preserve"> </w:t>
      </w:r>
      <w:r w:rsidR="00443302" w:rsidRPr="006D7BC9">
        <w:rPr>
          <w:lang w:val="en-US"/>
        </w:rPr>
        <w:t>p &lt; 0.001</w:t>
      </w:r>
      <w:proofErr w:type="gramStart"/>
      <w:r w:rsidRPr="006D7BC9">
        <w:rPr>
          <w:lang w:val="en-US"/>
        </w:rPr>
        <w:t>), but</w:t>
      </w:r>
      <w:proofErr w:type="gramEnd"/>
      <w:r w:rsidRPr="006D7BC9">
        <w:rPr>
          <w:lang w:val="en-US"/>
        </w:rPr>
        <w:t xml:space="preserve"> followed a more gradual pattern. Cropland had the highest richness and diversity (3933 ASVs; 7.3), whereas </w:t>
      </w:r>
      <w:r w:rsidR="00127C19" w:rsidRPr="00127C19">
        <w:rPr>
          <w:i/>
          <w:iCs/>
          <w:lang w:val="en-US"/>
        </w:rPr>
        <w:t>E</w:t>
      </w:r>
      <w:r w:rsidRPr="00127C19">
        <w:rPr>
          <w:i/>
          <w:iCs/>
          <w:lang w:val="en-US"/>
        </w:rPr>
        <w:t>ucalyptus</w:t>
      </w:r>
      <w:r w:rsidRPr="006D7BC9">
        <w:rPr>
          <w:lang w:val="en-US"/>
        </w:rPr>
        <w:t xml:space="preserve"> had the lowest (2743 ASVs; 6.77), with intermediate values in integrated systems and pasture. Overlap and greater dispersion in integrated systems suggest multiple management components increase environmental heterogeneity, leading to more variable microbial assemblages. </w:t>
      </w:r>
      <w:r w:rsidR="000479E3" w:rsidRPr="000479E3">
        <w:rPr>
          <w:lang w:val="en-US"/>
        </w:rPr>
        <w:t>These results indicate long-term land use reshapes microbial diversity and community structure, with fungi showing stronger structural responses and integrated systems representing transitional and overlapping ecological states.</w:t>
      </w:r>
    </w:p>
    <w:p w14:paraId="06147F01" w14:textId="77777777" w:rsidR="00E5097D" w:rsidRPr="00B37F78" w:rsidRDefault="00E5097D">
      <w:pPr>
        <w:rPr>
          <w:sz w:val="22"/>
          <w:szCs w:val="22"/>
          <w:lang w:val="en-US"/>
        </w:rPr>
      </w:pPr>
    </w:p>
    <w:p w14:paraId="5B58F858" w14:textId="33B2AEEC" w:rsidR="00E5097D" w:rsidRPr="00B37F78" w:rsidRDefault="00EA3DE2">
      <w:pPr>
        <w:tabs>
          <w:tab w:val="left" w:pos="8300"/>
        </w:tabs>
        <w:rPr>
          <w:sz w:val="22"/>
          <w:szCs w:val="22"/>
          <w:lang w:val="en-US"/>
        </w:rPr>
        <w:sectPr w:rsidR="00E5097D" w:rsidRPr="00B37F78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 w:rsidRPr="00B37F78">
        <w:rPr>
          <w:b/>
          <w:smallCaps/>
          <w:sz w:val="22"/>
          <w:szCs w:val="22"/>
          <w:lang w:val="en-US"/>
        </w:rPr>
        <w:t>KEYWORDS</w:t>
      </w:r>
      <w:r w:rsidRPr="00B37F78">
        <w:rPr>
          <w:sz w:val="22"/>
          <w:szCs w:val="22"/>
          <w:lang w:val="en-US"/>
        </w:rPr>
        <w:t xml:space="preserve">: </w:t>
      </w:r>
      <w:r w:rsidR="002C7A5A" w:rsidRPr="002C7A5A">
        <w:rPr>
          <w:sz w:val="22"/>
          <w:szCs w:val="22"/>
          <w:lang w:val="en-US"/>
        </w:rPr>
        <w:t xml:space="preserve">soil </w:t>
      </w:r>
      <w:r w:rsidR="00DC71FF">
        <w:rPr>
          <w:sz w:val="22"/>
          <w:szCs w:val="22"/>
          <w:lang w:val="en-US"/>
        </w:rPr>
        <w:t>fungi and bacteria</w:t>
      </w:r>
      <w:r w:rsidR="00971293">
        <w:rPr>
          <w:sz w:val="22"/>
          <w:szCs w:val="22"/>
          <w:lang w:val="en-US"/>
        </w:rPr>
        <w:t>,</w:t>
      </w:r>
      <w:r w:rsidR="002C7A5A" w:rsidRPr="002C7A5A">
        <w:rPr>
          <w:sz w:val="22"/>
          <w:szCs w:val="22"/>
          <w:lang w:val="en-US"/>
        </w:rPr>
        <w:t xml:space="preserve"> </w:t>
      </w:r>
      <w:r w:rsidR="002C7A5A">
        <w:rPr>
          <w:sz w:val="22"/>
          <w:szCs w:val="22"/>
          <w:lang w:val="en-US"/>
        </w:rPr>
        <w:t>soil microbial ecology</w:t>
      </w:r>
      <w:r w:rsidR="00971293">
        <w:rPr>
          <w:sz w:val="22"/>
          <w:szCs w:val="22"/>
          <w:lang w:val="en-US"/>
        </w:rPr>
        <w:t>,</w:t>
      </w:r>
      <w:r w:rsidR="002C7A5A" w:rsidRPr="002C7A5A">
        <w:rPr>
          <w:sz w:val="22"/>
          <w:szCs w:val="22"/>
          <w:lang w:val="en-US"/>
        </w:rPr>
        <w:t xml:space="preserve"> integrated systems</w:t>
      </w:r>
      <w:r w:rsidR="00971293">
        <w:rPr>
          <w:sz w:val="22"/>
          <w:szCs w:val="22"/>
          <w:lang w:val="en-US"/>
        </w:rPr>
        <w:t>,</w:t>
      </w:r>
      <w:r w:rsidR="002C7A5A" w:rsidRPr="002C7A5A">
        <w:rPr>
          <w:sz w:val="22"/>
          <w:szCs w:val="22"/>
          <w:lang w:val="en-US"/>
        </w:rPr>
        <w:t xml:space="preserve"> </w:t>
      </w:r>
      <w:r w:rsidR="00026DEA">
        <w:rPr>
          <w:sz w:val="22"/>
          <w:szCs w:val="22"/>
          <w:lang w:val="en-US"/>
        </w:rPr>
        <w:t>amplicon</w:t>
      </w:r>
      <w:r w:rsidR="00CB555F">
        <w:rPr>
          <w:sz w:val="22"/>
          <w:szCs w:val="22"/>
          <w:lang w:val="en-US"/>
        </w:rPr>
        <w:t xml:space="preserve"> </w:t>
      </w:r>
      <w:r w:rsidR="00026DEA">
        <w:rPr>
          <w:sz w:val="22"/>
          <w:szCs w:val="22"/>
          <w:lang w:val="en-US"/>
        </w:rPr>
        <w:t>sequencin</w:t>
      </w:r>
      <w:r w:rsidR="00971293">
        <w:rPr>
          <w:sz w:val="22"/>
          <w:szCs w:val="22"/>
          <w:lang w:val="en-US"/>
        </w:rPr>
        <w:t>g</w:t>
      </w:r>
      <w:r w:rsidR="005F7211">
        <w:rPr>
          <w:sz w:val="22"/>
          <w:szCs w:val="22"/>
          <w:lang w:val="en-US"/>
        </w:rPr>
        <w:t>,</w:t>
      </w:r>
      <w:r w:rsidR="00CB555F">
        <w:rPr>
          <w:sz w:val="22"/>
          <w:szCs w:val="22"/>
          <w:lang w:val="en-US"/>
        </w:rPr>
        <w:t xml:space="preserve"> tropical agriculture.</w:t>
      </w:r>
    </w:p>
    <w:p w14:paraId="7F3C1D89" w14:textId="77777777" w:rsidR="00E5097D" w:rsidRPr="00B37F78" w:rsidRDefault="00E5097D">
      <w:pPr>
        <w:jc w:val="center"/>
        <w:rPr>
          <w:lang w:val="en-US"/>
        </w:rPr>
      </w:pPr>
    </w:p>
    <w:p w14:paraId="4045FB3E" w14:textId="683567E3" w:rsidR="00E5097D" w:rsidRPr="00971293" w:rsidRDefault="00E5097D" w:rsidP="00971293">
      <w:pPr>
        <w:rPr>
          <w:lang w:val="en-US"/>
        </w:rPr>
      </w:pPr>
    </w:p>
    <w:p w14:paraId="57C457B5" w14:textId="6F3F44DC" w:rsidR="00E5097D" w:rsidRPr="00CB555F" w:rsidRDefault="00EA3DE2">
      <w:pPr>
        <w:tabs>
          <w:tab w:val="left" w:pos="8300"/>
        </w:tabs>
        <w:rPr>
          <w:bCs/>
          <w:sz w:val="22"/>
          <w:szCs w:val="22"/>
          <w:lang w:val="pt-BR"/>
        </w:rPr>
        <w:sectPr w:rsidR="00E5097D" w:rsidRPr="00CB555F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 w:rsidRPr="00CB555F">
        <w:rPr>
          <w:b/>
          <w:smallCaps/>
          <w:sz w:val="22"/>
          <w:szCs w:val="22"/>
          <w:lang w:val="pt-BR"/>
        </w:rPr>
        <w:t>FUNDING</w:t>
      </w:r>
      <w:r w:rsidR="00CB555F" w:rsidRPr="00CB555F">
        <w:rPr>
          <w:b/>
          <w:smallCaps/>
          <w:sz w:val="22"/>
          <w:szCs w:val="22"/>
          <w:lang w:val="pt-BR"/>
        </w:rPr>
        <w:t>:</w:t>
      </w:r>
      <w:r w:rsidR="00CB555F">
        <w:rPr>
          <w:b/>
          <w:smallCaps/>
          <w:sz w:val="22"/>
          <w:szCs w:val="22"/>
          <w:lang w:val="pt-BR"/>
        </w:rPr>
        <w:t xml:space="preserve"> </w:t>
      </w:r>
      <w:r w:rsidR="00CB555F" w:rsidRPr="00CB555F">
        <w:rPr>
          <w:sz w:val="22"/>
          <w:szCs w:val="22"/>
          <w:lang w:val="pt-BR"/>
        </w:rPr>
        <w:t>Fapesp,</w:t>
      </w:r>
      <w:r w:rsidR="0023704E">
        <w:rPr>
          <w:sz w:val="22"/>
          <w:szCs w:val="22"/>
          <w:lang w:val="pt-BR"/>
        </w:rPr>
        <w:t xml:space="preserve"> </w:t>
      </w:r>
      <w:proofErr w:type="spellStart"/>
      <w:r w:rsidR="0023704E">
        <w:rPr>
          <w:sz w:val="22"/>
          <w:szCs w:val="22"/>
          <w:lang w:val="pt-BR"/>
        </w:rPr>
        <w:t>CCarbon</w:t>
      </w:r>
      <w:proofErr w:type="spellEnd"/>
      <w:r w:rsidR="0023704E">
        <w:rPr>
          <w:sz w:val="22"/>
          <w:szCs w:val="22"/>
          <w:lang w:val="pt-BR"/>
        </w:rPr>
        <w:t>,</w:t>
      </w:r>
      <w:r w:rsidR="00CB555F" w:rsidRPr="00CB555F">
        <w:rPr>
          <w:sz w:val="22"/>
          <w:szCs w:val="22"/>
          <w:lang w:val="pt-BR"/>
        </w:rPr>
        <w:t xml:space="preserve"> Embrapa Agrossilvipastori</w:t>
      </w:r>
      <w:r w:rsidR="00CB555F">
        <w:rPr>
          <w:sz w:val="22"/>
          <w:szCs w:val="22"/>
          <w:lang w:val="pt-BR"/>
        </w:rPr>
        <w:t>l.</w:t>
      </w:r>
    </w:p>
    <w:p w14:paraId="2265A0F5" w14:textId="31775BAE" w:rsidR="00E5097D" w:rsidRPr="00CB555F" w:rsidRDefault="00E5097D">
      <w:pPr>
        <w:rPr>
          <w:sz w:val="16"/>
          <w:szCs w:val="16"/>
          <w:lang w:val="pt-BR"/>
        </w:rPr>
      </w:pPr>
    </w:p>
    <w:sectPr w:rsidR="00E5097D" w:rsidRPr="00CB555F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2F979" w14:textId="77777777" w:rsidR="00AB3918" w:rsidRDefault="00AB3918">
      <w:r>
        <w:separator/>
      </w:r>
    </w:p>
  </w:endnote>
  <w:endnote w:type="continuationSeparator" w:id="0">
    <w:p w14:paraId="75A5B161" w14:textId="77777777" w:rsidR="00AB3918" w:rsidRDefault="00AB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D4042" w14:textId="77777777" w:rsidR="00AB3918" w:rsidRDefault="00AB3918">
      <w:r>
        <w:separator/>
      </w:r>
    </w:p>
  </w:footnote>
  <w:footnote w:type="continuationSeparator" w:id="0">
    <w:p w14:paraId="15BC764D" w14:textId="77777777" w:rsidR="00AB3918" w:rsidRDefault="00AB3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BA91" w14:textId="77777777" w:rsidR="00E5097D" w:rsidRDefault="00AB3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8239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38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5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837" w14:textId="77777777" w:rsidR="00E5097D" w:rsidRDefault="00AB3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09433" w14:textId="77777777" w:rsidR="00E5097D" w:rsidRDefault="00EA3D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5084416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26DEA"/>
    <w:rsid w:val="000479E3"/>
    <w:rsid w:val="00075689"/>
    <w:rsid w:val="000E11BD"/>
    <w:rsid w:val="00127C19"/>
    <w:rsid w:val="00201A50"/>
    <w:rsid w:val="0023704E"/>
    <w:rsid w:val="002648CD"/>
    <w:rsid w:val="002958E3"/>
    <w:rsid w:val="002C7A5A"/>
    <w:rsid w:val="0032598A"/>
    <w:rsid w:val="0037545F"/>
    <w:rsid w:val="00376542"/>
    <w:rsid w:val="0039380A"/>
    <w:rsid w:val="003C0F0B"/>
    <w:rsid w:val="00443302"/>
    <w:rsid w:val="00450EF9"/>
    <w:rsid w:val="004929BF"/>
    <w:rsid w:val="0049419C"/>
    <w:rsid w:val="004A5C41"/>
    <w:rsid w:val="004E4F2D"/>
    <w:rsid w:val="004F67D8"/>
    <w:rsid w:val="0050776A"/>
    <w:rsid w:val="0051569F"/>
    <w:rsid w:val="00586047"/>
    <w:rsid w:val="00587A41"/>
    <w:rsid w:val="00593A18"/>
    <w:rsid w:val="00597A74"/>
    <w:rsid w:val="005A1003"/>
    <w:rsid w:val="005B3BF1"/>
    <w:rsid w:val="005F7211"/>
    <w:rsid w:val="006442F1"/>
    <w:rsid w:val="00653E67"/>
    <w:rsid w:val="006C1DC7"/>
    <w:rsid w:val="006D7BC9"/>
    <w:rsid w:val="00750B66"/>
    <w:rsid w:val="0075445E"/>
    <w:rsid w:val="007A7424"/>
    <w:rsid w:val="0080349C"/>
    <w:rsid w:val="00815759"/>
    <w:rsid w:val="00873841"/>
    <w:rsid w:val="00876B58"/>
    <w:rsid w:val="008901FD"/>
    <w:rsid w:val="00957029"/>
    <w:rsid w:val="00971293"/>
    <w:rsid w:val="00986806"/>
    <w:rsid w:val="009D645C"/>
    <w:rsid w:val="009E3CAE"/>
    <w:rsid w:val="00A65A7A"/>
    <w:rsid w:val="00A660D9"/>
    <w:rsid w:val="00A81D1B"/>
    <w:rsid w:val="00AB3918"/>
    <w:rsid w:val="00AC3D11"/>
    <w:rsid w:val="00AC5D59"/>
    <w:rsid w:val="00B112BE"/>
    <w:rsid w:val="00B37F78"/>
    <w:rsid w:val="00B53433"/>
    <w:rsid w:val="00B801AE"/>
    <w:rsid w:val="00B93B84"/>
    <w:rsid w:val="00BA3333"/>
    <w:rsid w:val="00BA3D8A"/>
    <w:rsid w:val="00BB5D69"/>
    <w:rsid w:val="00C30309"/>
    <w:rsid w:val="00C6644F"/>
    <w:rsid w:val="00CA1356"/>
    <w:rsid w:val="00CA1C65"/>
    <w:rsid w:val="00CA34BF"/>
    <w:rsid w:val="00CB555F"/>
    <w:rsid w:val="00D022EB"/>
    <w:rsid w:val="00D572CE"/>
    <w:rsid w:val="00D91F19"/>
    <w:rsid w:val="00DC71FF"/>
    <w:rsid w:val="00DD26D6"/>
    <w:rsid w:val="00DF4DAA"/>
    <w:rsid w:val="00E07FE4"/>
    <w:rsid w:val="00E5097D"/>
    <w:rsid w:val="00E710F3"/>
    <w:rsid w:val="00E7208F"/>
    <w:rsid w:val="00E77CB2"/>
    <w:rsid w:val="00E81A50"/>
    <w:rsid w:val="00EA1394"/>
    <w:rsid w:val="00EA3DE2"/>
    <w:rsid w:val="00EB56BC"/>
    <w:rsid w:val="00EC623D"/>
    <w:rsid w:val="00F46BC9"/>
    <w:rsid w:val="00F504EE"/>
    <w:rsid w:val="00F80712"/>
    <w:rsid w:val="00F95350"/>
    <w:rsid w:val="00FC267B"/>
    <w:rsid w:val="00FD47FD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Rafael Mendonça</cp:lastModifiedBy>
  <cp:revision>72</cp:revision>
  <dcterms:created xsi:type="dcterms:W3CDTF">2024-01-25T19:38:00Z</dcterms:created>
  <dcterms:modified xsi:type="dcterms:W3CDTF">2026-04-15T01:03:00Z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