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CB" w:rsidRDefault="003152CB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revisão de literatura: </w:t>
      </w:r>
      <w:r w:rsidR="00D75D42">
        <w:rPr>
          <w:rFonts w:ascii="Arial" w:hAnsi="Arial" w:cs="Arial"/>
          <w:b/>
          <w:bCs/>
          <w:caps/>
          <w:sz w:val="22"/>
          <w:szCs w:val="22"/>
        </w:rPr>
        <w:t xml:space="preserve">AVALIAÇÃO </w:t>
      </w:r>
      <w:r w:rsidR="005B0A2C">
        <w:rPr>
          <w:rFonts w:ascii="Arial" w:hAnsi="Arial" w:cs="Arial"/>
          <w:b/>
          <w:bCs/>
          <w:caps/>
          <w:sz w:val="22"/>
          <w:szCs w:val="22"/>
        </w:rPr>
        <w:t xml:space="preserve">DOS EFEITOS ANALGÉSICOS DO TRAMADOL </w:t>
      </w:r>
    </w:p>
    <w:p w:rsidR="003D6782" w:rsidRPr="003D6782" w:rsidRDefault="005B0A2C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NO PÓS-OPERATÓRIO DE CÃES E GATOS</w:t>
      </w:r>
    </w:p>
    <w:p w:rsidR="00B94C38" w:rsidRPr="00430461" w:rsidRDefault="005B0A2C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Larissa Reis Braga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 Isabela Fernandes</w:t>
      </w:r>
      <w:r w:rsidR="00430461">
        <w:rPr>
          <w:rFonts w:ascii="Arial" w:hAnsi="Arial" w:cs="Arial"/>
          <w:b/>
          <w:bCs/>
          <w:color w:val="auto"/>
        </w:rPr>
        <w:t xml:space="preserve"> dos Santos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430461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="00430461">
        <w:rPr>
          <w:rFonts w:ascii="Arial" w:hAnsi="Arial" w:cs="Arial"/>
          <w:b/>
          <w:bCs/>
          <w:color w:val="auto"/>
        </w:rPr>
        <w:t>Brunna</w:t>
      </w:r>
      <w:proofErr w:type="spellEnd"/>
      <w:r w:rsidR="00430461">
        <w:rPr>
          <w:rFonts w:ascii="Arial" w:hAnsi="Arial" w:cs="Arial"/>
          <w:b/>
          <w:bCs/>
          <w:color w:val="auto"/>
        </w:rPr>
        <w:t xml:space="preserve"> Souza Santos</w:t>
      </w:r>
      <w:r w:rsidR="00430461">
        <w:rPr>
          <w:rFonts w:ascii="Arial" w:hAnsi="Arial" w:cs="Arial"/>
          <w:b/>
          <w:bCs/>
          <w:color w:val="auto"/>
          <w:vertAlign w:val="superscript"/>
        </w:rPr>
        <w:t>1</w:t>
      </w:r>
      <w:r w:rsidR="00430461">
        <w:rPr>
          <w:rFonts w:ascii="Arial" w:hAnsi="Arial" w:cs="Arial"/>
          <w:b/>
          <w:bCs/>
          <w:color w:val="auto"/>
        </w:rPr>
        <w:t>, Yasmin Emília Rodrigues da Luz</w:t>
      </w:r>
      <w:r w:rsidR="00430461">
        <w:rPr>
          <w:rFonts w:ascii="Arial" w:hAnsi="Arial" w:cs="Arial"/>
          <w:b/>
          <w:bCs/>
          <w:color w:val="auto"/>
          <w:vertAlign w:val="superscript"/>
        </w:rPr>
        <w:t>1</w:t>
      </w:r>
      <w:r w:rsidR="00430461">
        <w:rPr>
          <w:rFonts w:ascii="Arial" w:hAnsi="Arial" w:cs="Arial"/>
          <w:b/>
          <w:bCs/>
          <w:color w:val="auto"/>
        </w:rPr>
        <w:t>, Caroline Munhoz</w:t>
      </w:r>
      <w:r w:rsidR="00430461">
        <w:rPr>
          <w:rFonts w:ascii="Arial" w:hAnsi="Arial" w:cs="Arial"/>
          <w:b/>
          <w:bCs/>
          <w:color w:val="auto"/>
          <w:vertAlign w:val="superscript"/>
        </w:rPr>
        <w:t>2</w:t>
      </w:r>
      <w:r w:rsidR="00430461">
        <w:rPr>
          <w:rFonts w:ascii="Arial" w:hAnsi="Arial" w:cs="Arial"/>
          <w:b/>
          <w:bCs/>
          <w:color w:val="auto"/>
        </w:rPr>
        <w:t>, Suzane Lilian Beier</w:t>
      </w:r>
      <w:r w:rsidR="00430461">
        <w:rPr>
          <w:rFonts w:ascii="Arial" w:hAnsi="Arial" w:cs="Arial"/>
          <w:b/>
          <w:bCs/>
          <w:color w:val="auto"/>
          <w:vertAlign w:val="superscript"/>
        </w:rPr>
        <w:t>3</w:t>
      </w:r>
      <w:r w:rsidR="00430461">
        <w:rPr>
          <w:rFonts w:ascii="Arial" w:hAnsi="Arial" w:cs="Arial"/>
          <w:b/>
          <w:bCs/>
          <w:color w:val="auto"/>
        </w:rPr>
        <w:t>.</w:t>
      </w:r>
    </w:p>
    <w:p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F11C1C">
        <w:rPr>
          <w:rFonts w:ascii="Arial" w:hAnsi="Arial" w:cs="Arial"/>
          <w:i/>
          <w:iCs/>
          <w:color w:val="auto"/>
          <w:sz w:val="14"/>
          <w:szCs w:val="18"/>
        </w:rPr>
        <w:t>Graduanda</w:t>
      </w:r>
      <w:r w:rsidR="00430461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</w:t>
      </w:r>
      <w:r w:rsidR="00430461">
        <w:rPr>
          <w:rFonts w:ascii="Arial" w:hAnsi="Arial" w:cs="Arial"/>
          <w:i/>
          <w:iCs/>
          <w:color w:val="auto"/>
          <w:sz w:val="14"/>
          <w:szCs w:val="18"/>
        </w:rPr>
        <w:t>te/MG – Brasil – *Contato: larissarbragaufmg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430461">
        <w:rPr>
          <w:rFonts w:ascii="Arial" w:hAnsi="Arial" w:cs="Arial"/>
          <w:i/>
          <w:iCs/>
          <w:color w:val="auto"/>
          <w:sz w:val="14"/>
          <w:szCs w:val="18"/>
        </w:rPr>
        <w:t>Médica Veterinária residente</w:t>
      </w:r>
      <w:r w:rsidR="006B51B0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proofErr w:type="spellStart"/>
      <w:r w:rsidR="006B51B0">
        <w:rPr>
          <w:rFonts w:ascii="Arial" w:hAnsi="Arial" w:cs="Arial"/>
          <w:i/>
          <w:iCs/>
          <w:color w:val="auto"/>
          <w:sz w:val="14"/>
          <w:szCs w:val="18"/>
        </w:rPr>
        <w:t>níve</w:t>
      </w:r>
      <w:proofErr w:type="spellEnd"/>
      <w:r w:rsidR="006B51B0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proofErr w:type="spellStart"/>
      <w:r w:rsidR="006B51B0">
        <w:rPr>
          <w:rFonts w:ascii="Arial" w:hAnsi="Arial" w:cs="Arial"/>
          <w:i/>
          <w:iCs/>
          <w:color w:val="auto"/>
          <w:sz w:val="14"/>
          <w:szCs w:val="18"/>
        </w:rPr>
        <w:t>lI</w:t>
      </w:r>
      <w:proofErr w:type="spellEnd"/>
      <w:r w:rsidR="006B51B0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proofErr w:type="spellStart"/>
      <w:r w:rsidR="006B51B0">
        <w:rPr>
          <w:rFonts w:ascii="Arial" w:hAnsi="Arial" w:cs="Arial"/>
          <w:i/>
          <w:iCs/>
          <w:color w:val="auto"/>
          <w:sz w:val="14"/>
          <w:szCs w:val="18"/>
        </w:rPr>
        <w:t>Anestesiologia</w:t>
      </w:r>
      <w:proofErr w:type="spellEnd"/>
      <w:r w:rsidR="006B51B0">
        <w:rPr>
          <w:rFonts w:ascii="Arial" w:hAnsi="Arial" w:cs="Arial"/>
          <w:i/>
          <w:iCs/>
          <w:color w:val="auto"/>
          <w:sz w:val="14"/>
          <w:szCs w:val="18"/>
        </w:rPr>
        <w:t xml:space="preserve"> de animais de companhia</w:t>
      </w:r>
      <w:r w:rsidR="00430461">
        <w:rPr>
          <w:rFonts w:ascii="Arial" w:hAnsi="Arial" w:cs="Arial"/>
          <w:i/>
          <w:iCs/>
          <w:color w:val="auto"/>
          <w:sz w:val="14"/>
          <w:szCs w:val="18"/>
        </w:rPr>
        <w:t xml:space="preserve"> – Hospital Veterinário da UFMG – Belo Horizonte/MG – Brasil </w:t>
      </w:r>
    </w:p>
    <w:p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430461">
        <w:rPr>
          <w:rFonts w:ascii="Arial" w:hAnsi="Arial" w:cs="Arial"/>
          <w:i/>
          <w:iCs/>
          <w:color w:val="auto"/>
          <w:sz w:val="14"/>
          <w:szCs w:val="18"/>
        </w:rPr>
        <w:t xml:space="preserve">a </w:t>
      </w:r>
      <w:r w:rsidR="006B51B0">
        <w:rPr>
          <w:rFonts w:ascii="Arial" w:hAnsi="Arial" w:cs="Arial"/>
          <w:i/>
          <w:iCs/>
          <w:color w:val="auto"/>
          <w:sz w:val="14"/>
          <w:szCs w:val="18"/>
        </w:rPr>
        <w:t xml:space="preserve">Adjunta III de </w:t>
      </w:r>
      <w:proofErr w:type="spellStart"/>
      <w:r w:rsidR="006B51B0">
        <w:rPr>
          <w:rFonts w:ascii="Arial" w:hAnsi="Arial" w:cs="Arial"/>
          <w:i/>
          <w:iCs/>
          <w:color w:val="auto"/>
          <w:sz w:val="14"/>
          <w:szCs w:val="18"/>
        </w:rPr>
        <w:t>Anestesiologia</w:t>
      </w:r>
      <w:proofErr w:type="spellEnd"/>
      <w:r w:rsidR="006B51B0">
        <w:rPr>
          <w:rFonts w:ascii="Arial" w:hAnsi="Arial" w:cs="Arial"/>
          <w:i/>
          <w:iCs/>
          <w:color w:val="auto"/>
          <w:sz w:val="14"/>
          <w:szCs w:val="18"/>
        </w:rPr>
        <w:t xml:space="preserve"> Veterinária </w:t>
      </w:r>
      <w:r w:rsidR="00430461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6B51B0">
        <w:rPr>
          <w:rFonts w:ascii="Arial" w:hAnsi="Arial" w:cs="Arial"/>
          <w:i/>
          <w:iCs/>
          <w:color w:val="auto"/>
          <w:sz w:val="14"/>
          <w:szCs w:val="18"/>
        </w:rPr>
        <w:t xml:space="preserve">Departamento de Clínica e Cirurgia Veterinária da Escola de Veterinária da </w:t>
      </w:r>
      <w:r w:rsidR="00430461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F11C1C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DE2E49" w:rsidRDefault="00DE2E49" w:rsidP="00DE5135">
      <w:pPr>
        <w:pStyle w:val="Corpodetexto2"/>
        <w:spacing w:before="40" w:after="40"/>
        <w:jc w:val="both"/>
        <w:rPr>
          <w:bCs/>
        </w:rPr>
      </w:pPr>
      <w:r>
        <w:rPr>
          <w:bCs/>
        </w:rPr>
        <w:t xml:space="preserve">O </w:t>
      </w:r>
      <w:proofErr w:type="spellStart"/>
      <w:r>
        <w:rPr>
          <w:bCs/>
        </w:rPr>
        <w:t>Tramadol</w:t>
      </w:r>
      <w:proofErr w:type="spellEnd"/>
      <w:r>
        <w:rPr>
          <w:bCs/>
        </w:rPr>
        <w:t xml:space="preserve"> é </w:t>
      </w:r>
      <w:r w:rsidR="005876D2">
        <w:rPr>
          <w:bCs/>
        </w:rPr>
        <w:t>um</w:t>
      </w:r>
      <w:r w:rsidR="009D1B37">
        <w:rPr>
          <w:bCs/>
        </w:rPr>
        <w:t xml:space="preserve"> fármaco classificado como</w:t>
      </w:r>
      <w:r w:rsidR="005876D2">
        <w:rPr>
          <w:bCs/>
        </w:rPr>
        <w:t xml:space="preserve"> </w:t>
      </w:r>
      <w:proofErr w:type="spellStart"/>
      <w:r w:rsidR="005876D2">
        <w:rPr>
          <w:bCs/>
        </w:rPr>
        <w:t>opioide</w:t>
      </w:r>
      <w:proofErr w:type="spellEnd"/>
      <w:r w:rsidR="00D75D42">
        <w:rPr>
          <w:bCs/>
        </w:rPr>
        <w:t xml:space="preserve"> fraco</w:t>
      </w:r>
      <w:r w:rsidR="000C1F22">
        <w:rPr>
          <w:bCs/>
        </w:rPr>
        <w:t>,</w:t>
      </w:r>
      <w:r w:rsidR="00914775">
        <w:rPr>
          <w:bCs/>
        </w:rPr>
        <w:t xml:space="preserve"> agonista </w:t>
      </w:r>
      <w:r w:rsidR="00413D92">
        <w:rPr>
          <w:bCs/>
        </w:rPr>
        <w:t>parcial</w:t>
      </w:r>
      <w:r w:rsidR="009D1B37">
        <w:rPr>
          <w:bCs/>
        </w:rPr>
        <w:t xml:space="preserve"> </w:t>
      </w:r>
      <w:r w:rsidR="00914775">
        <w:rPr>
          <w:bCs/>
        </w:rPr>
        <w:t>de</w:t>
      </w:r>
      <w:r w:rsidR="003F5CF0">
        <w:rPr>
          <w:bCs/>
        </w:rPr>
        <w:t xml:space="preserve"> receptores µ</w:t>
      </w:r>
      <w:r w:rsidR="005876D2">
        <w:rPr>
          <w:bCs/>
        </w:rPr>
        <w:t>.</w:t>
      </w:r>
      <w:r w:rsidR="003F5CF0">
        <w:rPr>
          <w:bCs/>
        </w:rPr>
        <w:t xml:space="preserve"> Além de possuir ação em receptor </w:t>
      </w:r>
      <w:proofErr w:type="spellStart"/>
      <w:r w:rsidR="003F5CF0">
        <w:rPr>
          <w:bCs/>
        </w:rPr>
        <w:t>opioide</w:t>
      </w:r>
      <w:proofErr w:type="spellEnd"/>
      <w:r w:rsidR="003F5CF0">
        <w:rPr>
          <w:bCs/>
        </w:rPr>
        <w:t xml:space="preserve">, ele também age inibindo a </w:t>
      </w:r>
      <w:proofErr w:type="spellStart"/>
      <w:r w:rsidR="003F5CF0">
        <w:rPr>
          <w:bCs/>
        </w:rPr>
        <w:t>rec</w:t>
      </w:r>
      <w:r w:rsidR="009D1B37">
        <w:rPr>
          <w:bCs/>
        </w:rPr>
        <w:t>a</w:t>
      </w:r>
      <w:r w:rsidR="003F5CF0">
        <w:rPr>
          <w:bCs/>
        </w:rPr>
        <w:t>ptação</w:t>
      </w:r>
      <w:proofErr w:type="spellEnd"/>
      <w:r w:rsidR="003F5CF0">
        <w:rPr>
          <w:bCs/>
        </w:rPr>
        <w:t xml:space="preserve"> </w:t>
      </w:r>
      <w:r w:rsidR="00914775">
        <w:rPr>
          <w:bCs/>
        </w:rPr>
        <w:t xml:space="preserve">de </w:t>
      </w:r>
      <w:r w:rsidR="009D1B37">
        <w:rPr>
          <w:bCs/>
        </w:rPr>
        <w:t>s</w:t>
      </w:r>
      <w:r w:rsidR="00914775">
        <w:rPr>
          <w:bCs/>
        </w:rPr>
        <w:t>erotonina</w:t>
      </w:r>
      <w:r w:rsidR="003F5CF0">
        <w:rPr>
          <w:bCs/>
        </w:rPr>
        <w:t xml:space="preserve"> e</w:t>
      </w:r>
      <w:r w:rsidR="00914775">
        <w:rPr>
          <w:bCs/>
        </w:rPr>
        <w:t xml:space="preserve"> </w:t>
      </w:r>
      <w:proofErr w:type="spellStart"/>
      <w:r w:rsidR="009D1B37">
        <w:rPr>
          <w:bCs/>
        </w:rPr>
        <w:t>n</w:t>
      </w:r>
      <w:r w:rsidR="00914775">
        <w:rPr>
          <w:bCs/>
        </w:rPr>
        <w:t>orepinefrina</w:t>
      </w:r>
      <w:proofErr w:type="spellEnd"/>
      <w:r w:rsidR="009D1B37">
        <w:rPr>
          <w:bCs/>
        </w:rPr>
        <w:t xml:space="preserve"> em sistema nervoso central</w:t>
      </w:r>
      <w:r w:rsidR="003F5CF0">
        <w:rPr>
          <w:bCs/>
        </w:rPr>
        <w:t>, sendo assim</w:t>
      </w:r>
      <w:r w:rsidR="003509C3">
        <w:rPr>
          <w:bCs/>
        </w:rPr>
        <w:t>, um analgésico de ação central</w:t>
      </w:r>
      <w:r w:rsidR="00ED330D">
        <w:rPr>
          <w:bCs/>
          <w:vertAlign w:val="superscript"/>
        </w:rPr>
        <w:t>4</w:t>
      </w:r>
      <w:r w:rsidR="003509C3">
        <w:rPr>
          <w:bCs/>
        </w:rPr>
        <w:t>.</w:t>
      </w:r>
      <w:r w:rsidR="005876D2">
        <w:rPr>
          <w:bCs/>
        </w:rPr>
        <w:t xml:space="preserve"> </w:t>
      </w:r>
      <w:r w:rsidR="003F5CF0">
        <w:rPr>
          <w:bCs/>
        </w:rPr>
        <w:t xml:space="preserve">Esse fármaco é </w:t>
      </w:r>
      <w:r w:rsidR="009D1B37">
        <w:rPr>
          <w:bCs/>
        </w:rPr>
        <w:t xml:space="preserve">muito </w:t>
      </w:r>
      <w:r w:rsidR="003F5CF0">
        <w:rPr>
          <w:bCs/>
        </w:rPr>
        <w:t xml:space="preserve">empregado em Medicina Veterinária, tanto no tratamento de dores agudas como crônicas em cães e gatos. </w:t>
      </w:r>
      <w:r w:rsidR="005876D2">
        <w:rPr>
          <w:bCs/>
        </w:rPr>
        <w:t>Esse fato se deve a praticidade de sua utilização, já que pode ser receitado por via oral para os animais em casa, evitando a necessidade de</w:t>
      </w:r>
      <w:r w:rsidR="003F5CF0">
        <w:rPr>
          <w:bCs/>
        </w:rPr>
        <w:t xml:space="preserve"> internação ou retorno</w:t>
      </w:r>
      <w:r w:rsidR="005876D2">
        <w:rPr>
          <w:bCs/>
        </w:rPr>
        <w:t xml:space="preserve"> para medicação</w:t>
      </w:r>
      <w:r w:rsidR="009D1B37">
        <w:rPr>
          <w:bCs/>
        </w:rPr>
        <w:t xml:space="preserve"> no consultório médico</w:t>
      </w:r>
      <w:r w:rsidR="005876D2">
        <w:rPr>
          <w:bCs/>
        </w:rPr>
        <w:t>.</w:t>
      </w:r>
      <w:r w:rsidR="003F5CF0">
        <w:rPr>
          <w:bCs/>
        </w:rPr>
        <w:t xml:space="preserve"> </w:t>
      </w:r>
    </w:p>
    <w:p w:rsidR="003F5CF0" w:rsidRPr="00DE2E49" w:rsidRDefault="003F5CF0" w:rsidP="003152CB">
      <w:pPr>
        <w:pStyle w:val="Corpodetexto2"/>
        <w:spacing w:before="40" w:after="40"/>
        <w:jc w:val="both"/>
        <w:rPr>
          <w:bCs/>
        </w:rPr>
      </w:pPr>
      <w:r>
        <w:rPr>
          <w:bCs/>
        </w:rPr>
        <w:t>Entretanto, estudos recentes</w:t>
      </w:r>
      <w:r w:rsidR="009D1B37">
        <w:rPr>
          <w:bCs/>
        </w:rPr>
        <w:t>,</w:t>
      </w:r>
      <w:r>
        <w:rPr>
          <w:bCs/>
        </w:rPr>
        <w:t xml:space="preserve"> têm demonstrado que a metabolização desse fármaco em cães gera a formação de metabólitos que </w:t>
      </w:r>
      <w:r w:rsidR="00914775">
        <w:rPr>
          <w:bCs/>
        </w:rPr>
        <w:t>não possuem ação analgésica em receptores opioides</w:t>
      </w:r>
      <w:r w:rsidR="00F40696">
        <w:rPr>
          <w:bCs/>
          <w:vertAlign w:val="superscript"/>
        </w:rPr>
        <w:t>6</w:t>
      </w:r>
      <w:r w:rsidR="003509C3">
        <w:rPr>
          <w:bCs/>
        </w:rPr>
        <w:t>.</w:t>
      </w:r>
      <w:r>
        <w:rPr>
          <w:bCs/>
        </w:rPr>
        <w:t xml:space="preserve"> Dessa forma, seu uso nes</w:t>
      </w:r>
      <w:r w:rsidR="002311B8">
        <w:rPr>
          <w:bCs/>
        </w:rPr>
        <w:t>sa espécie não seria eficiente</w:t>
      </w:r>
      <w:r>
        <w:rPr>
          <w:bCs/>
        </w:rPr>
        <w:t>. Com isso, a revisão de liter</w:t>
      </w:r>
      <w:r w:rsidR="00D75D42">
        <w:rPr>
          <w:bCs/>
        </w:rPr>
        <w:t>atura a seguir busca compreender se o uso desse fármaco gera analgesia suficiente</w:t>
      </w:r>
      <w:r w:rsidR="009D1B37">
        <w:rPr>
          <w:bCs/>
        </w:rPr>
        <w:t>, em especial no paciente</w:t>
      </w:r>
      <w:r w:rsidR="00D75D42">
        <w:rPr>
          <w:bCs/>
        </w:rPr>
        <w:t xml:space="preserve"> no pós</w:t>
      </w:r>
      <w:r w:rsidR="00DF7BA4">
        <w:rPr>
          <w:bCs/>
        </w:rPr>
        <w:t>-</w:t>
      </w:r>
      <w:r w:rsidR="009D1B37">
        <w:rPr>
          <w:bCs/>
        </w:rPr>
        <w:t>operatório</w:t>
      </w:r>
      <w:r w:rsidR="00D75D42">
        <w:rPr>
          <w:bCs/>
        </w:rPr>
        <w:t>, assim como entender o</w:t>
      </w:r>
      <w:r w:rsidR="00C338C8">
        <w:rPr>
          <w:bCs/>
        </w:rPr>
        <w:t xml:space="preserve"> metab</w:t>
      </w:r>
      <w:r w:rsidR="00597A35">
        <w:rPr>
          <w:bCs/>
        </w:rPr>
        <w:t>olismo desse fármaco nos cães e gatos</w:t>
      </w:r>
      <w:r w:rsidR="00D75D42">
        <w:rPr>
          <w:bCs/>
        </w:rPr>
        <w:t>.</w:t>
      </w:r>
    </w:p>
    <w:p w:rsidR="00DE2E49" w:rsidRPr="003D6782" w:rsidRDefault="00DE2E49" w:rsidP="003D6782">
      <w:pPr>
        <w:pStyle w:val="Corpodetexto2"/>
        <w:jc w:val="both"/>
        <w:rPr>
          <w:b/>
          <w:bCs/>
        </w:rPr>
      </w:pP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5B0A2C" w:rsidRDefault="005B0A2C" w:rsidP="003152C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Esse trabalho científico foi realizado</w:t>
      </w:r>
      <w:r w:rsidR="001C7D74">
        <w:rPr>
          <w:rFonts w:ascii="Arial" w:eastAsia="Arial" w:hAnsi="Arial" w:cs="Arial"/>
          <w:color w:val="000000"/>
          <w:sz w:val="18"/>
          <w:szCs w:val="18"/>
        </w:rPr>
        <w:t xml:space="preserve"> no formato de revisão de literatura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Foram utilizados artigos </w:t>
      </w:r>
      <w:r w:rsidR="00DE2E49">
        <w:rPr>
          <w:rFonts w:ascii="Arial" w:eastAsia="Arial" w:hAnsi="Arial" w:cs="Arial"/>
          <w:color w:val="000000"/>
          <w:sz w:val="18"/>
          <w:szCs w:val="18"/>
        </w:rPr>
        <w:t>que avaliaram o metabolismo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Tramadol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seus efeitos analgésicos em cães e gatos. As plataformas uti</w:t>
      </w:r>
      <w:r w:rsidR="000C1F22">
        <w:rPr>
          <w:rFonts w:ascii="Arial" w:eastAsia="Arial" w:hAnsi="Arial" w:cs="Arial"/>
          <w:color w:val="000000"/>
          <w:sz w:val="18"/>
          <w:szCs w:val="18"/>
        </w:rPr>
        <w:t>lizadas para pesquisa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foram o Portal Capes e o Pub Med.</w:t>
      </w:r>
    </w:p>
    <w:p w:rsidR="001B4CE9" w:rsidRDefault="001B4CE9" w:rsidP="003D6782">
      <w:pPr>
        <w:jc w:val="both"/>
        <w:rPr>
          <w:rFonts w:ascii="Arial" w:hAnsi="Arial" w:cs="Arial"/>
          <w:sz w:val="18"/>
        </w:rPr>
      </w:pP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7B5B32" w:rsidRPr="003509C3" w:rsidRDefault="00E82117" w:rsidP="003152CB">
      <w:pPr>
        <w:pBdr>
          <w:left w:val="nil"/>
        </w:pBdr>
        <w:spacing w:before="40" w:after="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="Arial" w:hAnsi="Arial" w:cs="Arial"/>
          <w:sz w:val="18"/>
        </w:rPr>
        <w:t xml:space="preserve">O </w:t>
      </w:r>
      <w:proofErr w:type="spellStart"/>
      <w:r>
        <w:rPr>
          <w:rFonts w:ascii="Arial" w:eastAsia="Arial" w:hAnsi="Arial" w:cs="Arial"/>
          <w:sz w:val="18"/>
        </w:rPr>
        <w:t>Tramadol</w:t>
      </w:r>
      <w:proofErr w:type="spellEnd"/>
      <w:r>
        <w:rPr>
          <w:rFonts w:ascii="Arial" w:eastAsia="Arial" w:hAnsi="Arial" w:cs="Arial"/>
          <w:sz w:val="18"/>
        </w:rPr>
        <w:t xml:space="preserve"> é conhecido por </w:t>
      </w:r>
      <w:r w:rsidR="003509C3">
        <w:rPr>
          <w:rFonts w:ascii="Arial" w:eastAsia="Arial" w:hAnsi="Arial" w:cs="Arial"/>
          <w:sz w:val="18"/>
        </w:rPr>
        <w:t>ser um fármaco com ação opioide</w:t>
      </w:r>
      <w:r w:rsidR="003509C3">
        <w:rPr>
          <w:rFonts w:ascii="Arial" w:eastAsia="Arial" w:hAnsi="Arial" w:cs="Arial"/>
          <w:sz w:val="18"/>
          <w:vertAlign w:val="superscript"/>
        </w:rPr>
        <w:t>4</w:t>
      </w:r>
      <w:r w:rsidR="003509C3">
        <w:rPr>
          <w:rFonts w:ascii="Arial" w:eastAsia="Arial" w:hAnsi="Arial" w:cs="Arial"/>
          <w:sz w:val="18"/>
        </w:rPr>
        <w:t>.</w:t>
      </w:r>
      <w:r w:rsidR="002311B8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Contudo, sua ação em cães tem-se mostrado controversa, o que levou a estudos sobre a metabolização desse fármaco ne</w:t>
      </w:r>
      <w:r w:rsidR="003509C3">
        <w:rPr>
          <w:rFonts w:ascii="Arial" w:eastAsia="Arial" w:hAnsi="Arial" w:cs="Arial"/>
          <w:sz w:val="18"/>
        </w:rPr>
        <w:t>ssa espécie</w:t>
      </w:r>
      <w:r w:rsidR="001C7D74">
        <w:rPr>
          <w:rFonts w:ascii="Arial" w:eastAsia="Arial" w:hAnsi="Arial" w:cs="Arial"/>
          <w:sz w:val="18"/>
          <w:vertAlign w:val="superscript"/>
        </w:rPr>
        <w:t>6</w:t>
      </w:r>
      <w:r w:rsidR="003509C3">
        <w:rPr>
          <w:rFonts w:ascii="Arial" w:eastAsia="Arial" w:hAnsi="Arial" w:cs="Arial"/>
          <w:sz w:val="18"/>
        </w:rPr>
        <w:t>.</w:t>
      </w:r>
      <w:r w:rsidR="000C1F22">
        <w:rPr>
          <w:rFonts w:ascii="Arial" w:eastAsia="Arial" w:hAnsi="Arial" w:cs="Arial"/>
          <w:sz w:val="18"/>
        </w:rPr>
        <w:t xml:space="preserve"> P</w:t>
      </w:r>
      <w:r w:rsidR="009D1B37">
        <w:rPr>
          <w:rFonts w:ascii="Arial" w:eastAsia="Arial" w:hAnsi="Arial" w:cs="Arial"/>
          <w:sz w:val="18"/>
        </w:rPr>
        <w:t>erez</w:t>
      </w:r>
      <w:r w:rsidR="005C0EEC">
        <w:rPr>
          <w:rFonts w:ascii="Arial" w:eastAsia="Arial" w:hAnsi="Arial" w:cs="Arial"/>
          <w:sz w:val="18"/>
        </w:rPr>
        <w:t xml:space="preserve"> et al. (2016)</w:t>
      </w:r>
      <w:r w:rsidR="00A35D88">
        <w:rPr>
          <w:rFonts w:ascii="Arial" w:eastAsia="Arial" w:hAnsi="Arial" w:cs="Arial"/>
          <w:sz w:val="18"/>
        </w:rPr>
        <w:t xml:space="preserve"> pesquisaram</w:t>
      </w:r>
      <w:r w:rsidR="005C0EEC">
        <w:rPr>
          <w:rFonts w:ascii="Arial" w:eastAsia="Arial" w:hAnsi="Arial" w:cs="Arial"/>
          <w:sz w:val="18"/>
        </w:rPr>
        <w:t xml:space="preserve"> a metabolização desse fármaco em cães, gatos e </w:t>
      </w:r>
      <w:r w:rsidR="005C0EEC" w:rsidRPr="00351D3F">
        <w:rPr>
          <w:rFonts w:ascii="Arial" w:eastAsia="Arial" w:hAnsi="Arial" w:cs="Arial"/>
          <w:sz w:val="18"/>
        </w:rPr>
        <w:t>humanos in vitro</w:t>
      </w:r>
      <w:r w:rsidR="005C0EEC">
        <w:rPr>
          <w:rFonts w:ascii="Arial" w:eastAsia="Arial" w:hAnsi="Arial" w:cs="Arial"/>
          <w:sz w:val="18"/>
        </w:rPr>
        <w:t xml:space="preserve"> e a consequente formação dos metabólitos O-</w:t>
      </w:r>
      <w:proofErr w:type="spellStart"/>
      <w:r w:rsidR="005C0EEC">
        <w:rPr>
          <w:rFonts w:ascii="Arial" w:eastAsia="Arial" w:hAnsi="Arial" w:cs="Arial"/>
          <w:sz w:val="18"/>
        </w:rPr>
        <w:t>desmetiltramadol</w:t>
      </w:r>
      <w:proofErr w:type="spellEnd"/>
      <w:r w:rsidR="005C0EEC">
        <w:rPr>
          <w:rFonts w:ascii="Arial" w:eastAsia="Arial" w:hAnsi="Arial" w:cs="Arial"/>
          <w:sz w:val="18"/>
        </w:rPr>
        <w:t xml:space="preserve"> (M1) e N-</w:t>
      </w:r>
      <w:proofErr w:type="spellStart"/>
      <w:r w:rsidR="005C0EEC">
        <w:rPr>
          <w:rFonts w:ascii="Arial" w:eastAsia="Arial" w:hAnsi="Arial" w:cs="Arial"/>
          <w:sz w:val="18"/>
        </w:rPr>
        <w:t>desmetiltramadol</w:t>
      </w:r>
      <w:proofErr w:type="spellEnd"/>
      <w:r w:rsidR="005C0EEC">
        <w:rPr>
          <w:rFonts w:ascii="Arial" w:eastAsia="Arial" w:hAnsi="Arial" w:cs="Arial"/>
          <w:sz w:val="18"/>
        </w:rPr>
        <w:t xml:space="preserve"> (M2). Nos cães, as enzimas responsáveis por esses processos foram</w:t>
      </w:r>
      <w:r w:rsidR="00F45612">
        <w:rPr>
          <w:rFonts w:ascii="Arial" w:eastAsia="Arial" w:hAnsi="Arial" w:cs="Arial"/>
          <w:sz w:val="18"/>
        </w:rPr>
        <w:t xml:space="preserve"> </w:t>
      </w:r>
      <w:r w:rsidR="00F45612" w:rsidRPr="00F45612">
        <w:rPr>
          <w:rFonts w:ascii="Arial" w:eastAsiaTheme="minorHAnsi" w:hAnsi="Arial" w:cs="Arial"/>
          <w:sz w:val="18"/>
          <w:szCs w:val="18"/>
          <w:lang w:eastAsia="en-US"/>
        </w:rPr>
        <w:t>CYP2D15</w:t>
      </w:r>
      <w:r w:rsidR="00F45612">
        <w:rPr>
          <w:rFonts w:ascii="Arial" w:eastAsiaTheme="minorHAnsi" w:hAnsi="Arial" w:cs="Arial"/>
          <w:sz w:val="18"/>
          <w:szCs w:val="18"/>
          <w:lang w:eastAsia="en-US"/>
        </w:rPr>
        <w:t xml:space="preserve"> para conversão do </w:t>
      </w:r>
      <w:proofErr w:type="spellStart"/>
      <w:r w:rsidR="00F45612">
        <w:rPr>
          <w:rFonts w:ascii="Arial" w:eastAsiaTheme="minorHAnsi" w:hAnsi="Arial" w:cs="Arial"/>
          <w:sz w:val="18"/>
          <w:szCs w:val="18"/>
          <w:lang w:eastAsia="en-US"/>
        </w:rPr>
        <w:t>Tramadol</w:t>
      </w:r>
      <w:proofErr w:type="spellEnd"/>
      <w:r w:rsidR="00F45612">
        <w:rPr>
          <w:rFonts w:ascii="Arial" w:eastAsiaTheme="minorHAnsi" w:hAnsi="Arial" w:cs="Arial"/>
          <w:sz w:val="18"/>
          <w:szCs w:val="18"/>
          <w:lang w:eastAsia="en-US"/>
        </w:rPr>
        <w:t xml:space="preserve"> em M1 e principalmente, as enzimas </w:t>
      </w:r>
      <w:r w:rsidR="00F45612" w:rsidRPr="00F45612">
        <w:rPr>
          <w:rFonts w:ascii="Arial" w:eastAsiaTheme="minorHAnsi" w:hAnsi="Arial" w:cs="Arial"/>
          <w:sz w:val="18"/>
          <w:szCs w:val="18"/>
          <w:lang w:eastAsia="en-US"/>
        </w:rPr>
        <w:t>CYP2B11 e CYP3A12</w:t>
      </w:r>
      <w:r w:rsidR="00F45612">
        <w:rPr>
          <w:rFonts w:ascii="Arial" w:eastAsiaTheme="minorHAnsi" w:hAnsi="Arial" w:cs="Arial"/>
          <w:sz w:val="18"/>
          <w:szCs w:val="18"/>
          <w:lang w:eastAsia="en-US"/>
        </w:rPr>
        <w:t xml:space="preserve"> para a formação do M2. Em comparação aos gatos, os cães </w:t>
      </w:r>
      <w:r w:rsidR="008900F9">
        <w:rPr>
          <w:rFonts w:ascii="Arial" w:eastAsiaTheme="minorHAnsi" w:hAnsi="Arial" w:cs="Arial"/>
          <w:sz w:val="18"/>
          <w:szCs w:val="18"/>
          <w:lang w:eastAsia="en-US"/>
        </w:rPr>
        <w:t>formaram 3,9 vezes menos</w:t>
      </w:r>
      <w:r w:rsidR="00F45612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3A746C">
        <w:rPr>
          <w:rFonts w:ascii="Arial" w:eastAsiaTheme="minorHAnsi" w:hAnsi="Arial" w:cs="Arial"/>
          <w:sz w:val="18"/>
          <w:szCs w:val="18"/>
          <w:lang w:eastAsia="en-US"/>
        </w:rPr>
        <w:t>M1</w:t>
      </w:r>
      <w:r w:rsidR="008900F9">
        <w:rPr>
          <w:rFonts w:ascii="Arial" w:eastAsiaTheme="minorHAnsi" w:hAnsi="Arial" w:cs="Arial"/>
          <w:sz w:val="18"/>
          <w:szCs w:val="18"/>
          <w:lang w:eastAsia="en-US"/>
        </w:rPr>
        <w:t xml:space="preserve"> e cerca de 4,8 vez</w:t>
      </w:r>
      <w:r w:rsidR="002311B8">
        <w:rPr>
          <w:rFonts w:ascii="Arial" w:eastAsiaTheme="minorHAnsi" w:hAnsi="Arial" w:cs="Arial"/>
          <w:sz w:val="18"/>
          <w:szCs w:val="18"/>
          <w:lang w:eastAsia="en-US"/>
        </w:rPr>
        <w:t>es mais</w:t>
      </w:r>
      <w:r w:rsidR="008900F9">
        <w:rPr>
          <w:rFonts w:ascii="Arial" w:eastAsiaTheme="minorHAnsi" w:hAnsi="Arial" w:cs="Arial"/>
          <w:sz w:val="18"/>
          <w:szCs w:val="18"/>
          <w:lang w:eastAsia="en-US"/>
        </w:rPr>
        <w:t xml:space="preserve"> M2</w:t>
      </w:r>
      <w:r w:rsidR="003A746C">
        <w:rPr>
          <w:rFonts w:ascii="Arial" w:eastAsiaTheme="minorHAnsi" w:hAnsi="Arial" w:cs="Arial"/>
          <w:sz w:val="18"/>
          <w:szCs w:val="18"/>
          <w:lang w:eastAsia="en-US"/>
        </w:rPr>
        <w:t xml:space="preserve"> e a relação M1/M2 seria 19 vezes superior nos gatos</w:t>
      </w:r>
      <w:r w:rsidR="001C7D74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8900F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2311B8">
        <w:rPr>
          <w:rFonts w:ascii="Arial" w:eastAsiaTheme="minorHAnsi" w:hAnsi="Arial" w:cs="Arial"/>
          <w:sz w:val="18"/>
          <w:szCs w:val="18"/>
          <w:lang w:eastAsia="en-US"/>
        </w:rPr>
        <w:t>O metabólito M1 é</w:t>
      </w:r>
      <w:r w:rsidR="00A35D88">
        <w:rPr>
          <w:rFonts w:ascii="Arial" w:eastAsiaTheme="minorHAnsi" w:hAnsi="Arial" w:cs="Arial"/>
          <w:sz w:val="18"/>
          <w:szCs w:val="18"/>
          <w:lang w:eastAsia="en-US"/>
        </w:rPr>
        <w:t xml:space="preserve"> associado a ação agonista em receptores µ, enquan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to M2 não apresenta esse efeito</w:t>
      </w:r>
      <w:r w:rsidR="001C7D74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A35D88">
        <w:rPr>
          <w:rFonts w:ascii="Arial" w:eastAsiaTheme="minorHAnsi" w:hAnsi="Arial" w:cs="Arial"/>
          <w:sz w:val="18"/>
          <w:szCs w:val="18"/>
          <w:lang w:eastAsia="en-US"/>
        </w:rPr>
        <w:t xml:space="preserve"> Esse f</w:t>
      </w:r>
      <w:r w:rsidR="006B51B0">
        <w:rPr>
          <w:rFonts w:ascii="Arial" w:eastAsiaTheme="minorHAnsi" w:hAnsi="Arial" w:cs="Arial"/>
          <w:sz w:val="18"/>
          <w:szCs w:val="18"/>
          <w:lang w:eastAsia="en-US"/>
        </w:rPr>
        <w:t>ato demonstra que os cães foram</w:t>
      </w:r>
      <w:r w:rsidR="00A35D88">
        <w:rPr>
          <w:rFonts w:ascii="Arial" w:eastAsiaTheme="minorHAnsi" w:hAnsi="Arial" w:cs="Arial"/>
          <w:sz w:val="18"/>
          <w:szCs w:val="18"/>
          <w:lang w:eastAsia="en-US"/>
        </w:rPr>
        <w:t xml:space="preserve"> menos eficientes para </w:t>
      </w:r>
      <w:r w:rsidR="008A0F3B">
        <w:rPr>
          <w:rFonts w:ascii="Arial" w:eastAsiaTheme="minorHAnsi" w:hAnsi="Arial" w:cs="Arial"/>
          <w:sz w:val="18"/>
          <w:szCs w:val="18"/>
          <w:lang w:eastAsia="en-US"/>
        </w:rPr>
        <w:t>a formação de metabólitos ativos</w:t>
      </w:r>
      <w:r w:rsidR="00A35D88">
        <w:rPr>
          <w:rFonts w:ascii="Arial" w:eastAsiaTheme="minorHAnsi" w:hAnsi="Arial" w:cs="Arial"/>
          <w:sz w:val="18"/>
          <w:szCs w:val="18"/>
          <w:lang w:eastAsia="en-US"/>
        </w:rPr>
        <w:t xml:space="preserve"> nos receptores µ que os gatos</w:t>
      </w:r>
      <w:r w:rsidR="001C7D74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7B5B32" w:rsidRDefault="007B5B32" w:rsidP="00E82117">
      <w:pPr>
        <w:pBdr>
          <w:left w:val="nil"/>
        </w:pBdr>
        <w:spacing w:after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noProof/>
          <w:sz w:val="18"/>
          <w:szCs w:val="18"/>
        </w:rPr>
        <w:drawing>
          <wp:inline distT="0" distB="0" distL="0" distR="0">
            <wp:extent cx="1489124" cy="1179951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92" cy="120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noProof/>
          <w:sz w:val="18"/>
          <w:szCs w:val="18"/>
        </w:rPr>
        <w:drawing>
          <wp:inline distT="0" distB="0" distL="0" distR="0">
            <wp:extent cx="1473230" cy="120552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1" cy="124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82" w:rsidRDefault="007B5B32" w:rsidP="00E82117">
      <w:pPr>
        <w:pBdr>
          <w:left w:val="nil"/>
        </w:pBdr>
        <w:spacing w:after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noProof/>
          <w:sz w:val="18"/>
          <w:szCs w:val="18"/>
        </w:rPr>
        <w:drawing>
          <wp:inline distT="0" distB="0" distL="0" distR="0">
            <wp:extent cx="1374824" cy="112293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1-M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349" cy="121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2CB" w:rsidRDefault="003152CB" w:rsidP="00E82117">
      <w:pPr>
        <w:pBdr>
          <w:left w:val="nil"/>
        </w:pBdr>
        <w:spacing w:after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A25889" w:rsidRDefault="00A25889" w:rsidP="003152CB">
      <w:pPr>
        <w:pBdr>
          <w:left w:val="nil"/>
        </w:pBdr>
        <w:spacing w:after="40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A25889">
        <w:rPr>
          <w:rFonts w:ascii="Arial" w:eastAsiaTheme="minorHAnsi" w:hAnsi="Arial" w:cs="Arial"/>
          <w:b/>
          <w:sz w:val="18"/>
          <w:szCs w:val="18"/>
          <w:lang w:eastAsia="en-US"/>
        </w:rPr>
        <w:t>Figura 1: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Comparação dos valores de</w:t>
      </w:r>
      <w:r w:rsidR="00956603">
        <w:rPr>
          <w:rFonts w:ascii="Arial" w:eastAsiaTheme="minorHAnsi" w:hAnsi="Arial" w:cs="Arial"/>
          <w:sz w:val="18"/>
          <w:szCs w:val="18"/>
          <w:lang w:eastAsia="en-US"/>
        </w:rPr>
        <w:t xml:space="preserve"> formação de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2311B8">
        <w:rPr>
          <w:rFonts w:ascii="Arial" w:eastAsiaTheme="minorHAnsi" w:hAnsi="Arial" w:cs="Arial"/>
          <w:sz w:val="18"/>
          <w:szCs w:val="18"/>
          <w:lang w:eastAsia="en-US"/>
        </w:rPr>
        <w:t xml:space="preserve">(A)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M1, </w:t>
      </w:r>
      <w:r w:rsidR="002311B8">
        <w:rPr>
          <w:rFonts w:ascii="Arial" w:eastAsiaTheme="minorHAnsi" w:hAnsi="Arial" w:cs="Arial"/>
          <w:sz w:val="18"/>
          <w:szCs w:val="18"/>
          <w:lang w:eastAsia="en-US"/>
        </w:rPr>
        <w:t xml:space="preserve">(B)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M2 e </w:t>
      </w:r>
      <w:r w:rsidR="002311B8">
        <w:rPr>
          <w:rFonts w:ascii="Arial" w:eastAsiaTheme="minorHAnsi" w:hAnsi="Arial" w:cs="Arial"/>
          <w:sz w:val="18"/>
          <w:szCs w:val="18"/>
          <w:lang w:eastAsia="en-US"/>
        </w:rPr>
        <w:t xml:space="preserve">(C) 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M1/M2 em cães, gatos e humanos</w:t>
      </w:r>
      <w:r w:rsidR="001C7D74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3152CB" w:rsidRPr="003509C3" w:rsidRDefault="003152CB" w:rsidP="003152CB">
      <w:pPr>
        <w:pBdr>
          <w:left w:val="nil"/>
        </w:pBdr>
        <w:spacing w:after="40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:rsidR="00653ABA" w:rsidRDefault="007D3837" w:rsidP="003152CB">
      <w:pPr>
        <w:pBdr>
          <w:left w:val="nil"/>
        </w:pBdr>
        <w:spacing w:before="40" w:after="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Trabalhos envolvendo o uso do </w:t>
      </w:r>
      <w:proofErr w:type="spellStart"/>
      <w:r>
        <w:rPr>
          <w:rFonts w:ascii="Arial" w:eastAsiaTheme="minorHAnsi" w:hAnsi="Arial" w:cs="Arial"/>
          <w:sz w:val="18"/>
          <w:szCs w:val="18"/>
          <w:lang w:eastAsia="en-US"/>
        </w:rPr>
        <w:t>Tramadol</w:t>
      </w:r>
      <w:proofErr w:type="spellEnd"/>
      <w:r>
        <w:rPr>
          <w:rFonts w:ascii="Arial" w:eastAsiaTheme="minorHAnsi" w:hAnsi="Arial" w:cs="Arial"/>
          <w:sz w:val="18"/>
          <w:szCs w:val="18"/>
          <w:lang w:eastAsia="en-US"/>
        </w:rPr>
        <w:t xml:space="preserve"> no pós-operatório de diversas cirurgias apresentaram 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resultados controversos em cães</w:t>
      </w:r>
      <w:r w:rsidR="00ED330D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2</w:t>
      </w:r>
      <w:r w:rsidR="00C338C8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,</w:t>
      </w:r>
      <w:r w:rsidR="001C7D74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5,7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Alguns comprovam a hipótese de uma analgesia insuficiente nessa espécie</w:t>
      </w:r>
      <w:r w:rsidR="00046E80">
        <w:rPr>
          <w:rFonts w:ascii="Arial" w:eastAsiaTheme="minorHAnsi" w:hAnsi="Arial" w:cs="Arial"/>
          <w:sz w:val="18"/>
          <w:szCs w:val="18"/>
          <w:lang w:eastAsia="en-US"/>
        </w:rPr>
        <w:t xml:space="preserve">, como em cirurgias de </w:t>
      </w:r>
      <w:proofErr w:type="spellStart"/>
      <w:r w:rsidR="00046E80">
        <w:rPr>
          <w:rFonts w:ascii="Arial" w:eastAsiaTheme="minorHAnsi" w:hAnsi="Arial" w:cs="Arial"/>
          <w:sz w:val="18"/>
          <w:szCs w:val="18"/>
          <w:lang w:eastAsia="en-US"/>
        </w:rPr>
        <w:t>enucleação</w:t>
      </w:r>
      <w:proofErr w:type="spellEnd"/>
      <w:r w:rsidR="00046E80">
        <w:rPr>
          <w:rFonts w:ascii="Arial" w:eastAsiaTheme="minorHAnsi" w:hAnsi="Arial" w:cs="Arial"/>
          <w:sz w:val="18"/>
          <w:szCs w:val="18"/>
          <w:lang w:eastAsia="en-US"/>
        </w:rPr>
        <w:t xml:space="preserve"> (5mg/kg</w:t>
      </w:r>
      <w:r w:rsidR="00413D92">
        <w:rPr>
          <w:rFonts w:ascii="Arial" w:eastAsiaTheme="minorHAnsi" w:hAnsi="Arial" w:cs="Arial"/>
          <w:sz w:val="18"/>
          <w:szCs w:val="18"/>
          <w:lang w:eastAsia="en-US"/>
        </w:rPr>
        <w:t xml:space="preserve"> por via o</w:t>
      </w:r>
      <w:r w:rsidR="00966164">
        <w:rPr>
          <w:rFonts w:ascii="Arial" w:eastAsiaTheme="minorHAnsi" w:hAnsi="Arial" w:cs="Arial"/>
          <w:sz w:val="18"/>
          <w:szCs w:val="18"/>
          <w:lang w:eastAsia="en-US"/>
        </w:rPr>
        <w:t>ral</w:t>
      </w:r>
      <w:r w:rsidR="00046E80">
        <w:rPr>
          <w:rFonts w:ascii="Arial" w:eastAsiaTheme="minorHAnsi" w:hAnsi="Arial" w:cs="Arial"/>
          <w:sz w:val="18"/>
          <w:szCs w:val="18"/>
          <w:lang w:eastAsia="en-US"/>
        </w:rPr>
        <w:t xml:space="preserve">), necessitando de mais resgates analgésicos quando comparado ao </w:t>
      </w:r>
      <w:proofErr w:type="spellStart"/>
      <w:r w:rsidR="00046E80">
        <w:rPr>
          <w:rFonts w:ascii="Arial" w:eastAsiaTheme="minorHAnsi" w:hAnsi="Arial" w:cs="Arial"/>
          <w:sz w:val="18"/>
          <w:szCs w:val="18"/>
          <w:lang w:eastAsia="en-US"/>
        </w:rPr>
        <w:t>Ca</w:t>
      </w:r>
      <w:r w:rsidR="00A25889">
        <w:rPr>
          <w:rFonts w:ascii="Arial" w:eastAsiaTheme="minorHAnsi" w:hAnsi="Arial" w:cs="Arial"/>
          <w:sz w:val="18"/>
          <w:szCs w:val="18"/>
          <w:lang w:eastAsia="en-US"/>
        </w:rPr>
        <w:t>rprofen</w:t>
      </w:r>
      <w:proofErr w:type="spellEnd"/>
      <w:r w:rsidR="00A25889">
        <w:rPr>
          <w:rFonts w:ascii="Arial" w:eastAsiaTheme="minorHAnsi" w:hAnsi="Arial" w:cs="Arial"/>
          <w:sz w:val="18"/>
          <w:szCs w:val="18"/>
          <w:lang w:eastAsia="en-US"/>
        </w:rPr>
        <w:t xml:space="preserve"> (2,2mg/kg</w:t>
      </w:r>
      <w:r w:rsidR="0096616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4F4DCF">
        <w:rPr>
          <w:rFonts w:ascii="Arial" w:eastAsiaTheme="minorHAnsi" w:hAnsi="Arial" w:cs="Arial"/>
          <w:sz w:val="18"/>
          <w:szCs w:val="18"/>
          <w:lang w:eastAsia="en-US"/>
        </w:rPr>
        <w:t>por via oral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)</w:t>
      </w:r>
      <w:r w:rsidR="00ED330D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2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7D3837" w:rsidRDefault="007D3837" w:rsidP="00A25889">
      <w:pPr>
        <w:pBdr>
          <w:left w:val="nil"/>
        </w:pBd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Entretanto, diversos estudos demonstram analgesia 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suficiente no pós-cirúrgico</w:t>
      </w:r>
      <w:r w:rsidR="001C7D74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5,7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653ABA">
        <w:rPr>
          <w:rFonts w:ascii="Arial" w:eastAsiaTheme="minorHAnsi" w:hAnsi="Arial" w:cs="Arial"/>
          <w:sz w:val="18"/>
          <w:szCs w:val="18"/>
          <w:lang w:eastAsia="en-US"/>
        </w:rPr>
        <w:t xml:space="preserve"> E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m </w:t>
      </w:r>
      <w:r w:rsidR="00046E80">
        <w:rPr>
          <w:rFonts w:ascii="Arial" w:eastAsiaTheme="minorHAnsi" w:hAnsi="Arial" w:cs="Arial"/>
          <w:sz w:val="18"/>
          <w:szCs w:val="18"/>
          <w:lang w:eastAsia="en-US"/>
        </w:rPr>
        <w:t>ciru</w:t>
      </w:r>
      <w:r w:rsidR="00C338C8">
        <w:rPr>
          <w:rFonts w:ascii="Arial" w:eastAsiaTheme="minorHAnsi" w:hAnsi="Arial" w:cs="Arial"/>
          <w:sz w:val="18"/>
          <w:szCs w:val="18"/>
          <w:lang w:eastAsia="en-US"/>
        </w:rPr>
        <w:t>r</w:t>
      </w:r>
      <w:r w:rsidR="00046E80">
        <w:rPr>
          <w:rFonts w:ascii="Arial" w:eastAsiaTheme="minorHAnsi" w:hAnsi="Arial" w:cs="Arial"/>
          <w:sz w:val="18"/>
          <w:szCs w:val="18"/>
          <w:lang w:eastAsia="en-US"/>
        </w:rPr>
        <w:t xml:space="preserve">gias de </w:t>
      </w:r>
      <w:proofErr w:type="spellStart"/>
      <w:r w:rsidR="00046E80">
        <w:rPr>
          <w:rFonts w:ascii="Arial" w:eastAsiaTheme="minorHAnsi" w:hAnsi="Arial" w:cs="Arial"/>
          <w:sz w:val="18"/>
          <w:szCs w:val="18"/>
          <w:lang w:eastAsia="en-US"/>
        </w:rPr>
        <w:t>mastectomia</w:t>
      </w:r>
      <w:proofErr w:type="spellEnd"/>
      <w:r w:rsidR="00C338C8">
        <w:rPr>
          <w:rFonts w:ascii="Arial" w:eastAsiaTheme="minorHAnsi" w:hAnsi="Arial" w:cs="Arial"/>
          <w:sz w:val="18"/>
          <w:szCs w:val="18"/>
          <w:lang w:eastAsia="en-US"/>
        </w:rPr>
        <w:t xml:space="preserve"> (associada ou não a </w:t>
      </w:r>
      <w:proofErr w:type="spellStart"/>
      <w:r w:rsidR="00C338C8">
        <w:rPr>
          <w:rFonts w:ascii="Arial" w:eastAsiaTheme="minorHAnsi" w:hAnsi="Arial" w:cs="Arial"/>
          <w:sz w:val="18"/>
          <w:szCs w:val="18"/>
          <w:lang w:eastAsia="en-US"/>
        </w:rPr>
        <w:t>ovariohisterectomia</w:t>
      </w:r>
      <w:proofErr w:type="spellEnd"/>
      <w:r w:rsidR="00C338C8">
        <w:rPr>
          <w:rFonts w:ascii="Arial" w:eastAsiaTheme="minorHAnsi" w:hAnsi="Arial" w:cs="Arial"/>
          <w:sz w:val="18"/>
          <w:szCs w:val="18"/>
          <w:lang w:eastAsia="en-US"/>
        </w:rPr>
        <w:t>)</w:t>
      </w:r>
      <w:r w:rsidR="00653ABA">
        <w:rPr>
          <w:rFonts w:ascii="Arial" w:eastAsiaTheme="minorHAnsi" w:hAnsi="Arial" w:cs="Arial"/>
          <w:sz w:val="18"/>
          <w:szCs w:val="18"/>
          <w:lang w:eastAsia="en-US"/>
        </w:rPr>
        <w:t xml:space="preserve">, com doses de 2mg/kg por via Intravenosa (IV) foram alcançados níveis de analgesia suficientes e estatisticamente similares a associações de </w:t>
      </w:r>
      <w:proofErr w:type="spellStart"/>
      <w:r w:rsidR="00653ABA">
        <w:rPr>
          <w:rFonts w:ascii="Arial" w:eastAsiaTheme="minorHAnsi" w:hAnsi="Arial" w:cs="Arial"/>
          <w:sz w:val="18"/>
          <w:szCs w:val="18"/>
          <w:lang w:eastAsia="en-US"/>
        </w:rPr>
        <w:t>Tramadol</w:t>
      </w:r>
      <w:proofErr w:type="spellEnd"/>
      <w:r w:rsidR="00653ABA">
        <w:rPr>
          <w:rFonts w:ascii="Arial" w:eastAsiaTheme="minorHAnsi" w:hAnsi="Arial" w:cs="Arial"/>
          <w:sz w:val="18"/>
          <w:szCs w:val="18"/>
          <w:lang w:eastAsia="en-US"/>
        </w:rPr>
        <w:t xml:space="preserve"> com Dipirona (30mg/kg</w:t>
      </w:r>
      <w:r w:rsidR="0040761A">
        <w:rPr>
          <w:rFonts w:ascii="Arial" w:eastAsiaTheme="minorHAnsi" w:hAnsi="Arial" w:cs="Arial"/>
          <w:sz w:val="18"/>
          <w:szCs w:val="18"/>
          <w:lang w:eastAsia="en-US"/>
        </w:rPr>
        <w:t xml:space="preserve"> IV</w:t>
      </w:r>
      <w:r w:rsidR="00653ABA">
        <w:rPr>
          <w:rFonts w:ascii="Arial" w:eastAsiaTheme="minorHAnsi" w:hAnsi="Arial" w:cs="Arial"/>
          <w:sz w:val="18"/>
          <w:szCs w:val="18"/>
          <w:lang w:eastAsia="en-US"/>
        </w:rPr>
        <w:t>)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653ABA">
        <w:rPr>
          <w:rFonts w:ascii="Arial" w:eastAsiaTheme="minorHAnsi" w:hAnsi="Arial" w:cs="Arial"/>
          <w:sz w:val="18"/>
          <w:szCs w:val="18"/>
          <w:lang w:eastAsia="en-US"/>
        </w:rPr>
        <w:t xml:space="preserve">e com </w:t>
      </w:r>
      <w:proofErr w:type="spellStart"/>
      <w:r w:rsidR="00653ABA">
        <w:rPr>
          <w:rFonts w:ascii="Arial" w:eastAsiaTheme="minorHAnsi" w:hAnsi="Arial" w:cs="Arial"/>
          <w:sz w:val="18"/>
          <w:szCs w:val="18"/>
          <w:lang w:eastAsia="en-US"/>
        </w:rPr>
        <w:t>Meloxicam</w:t>
      </w:r>
      <w:proofErr w:type="spellEnd"/>
      <w:r w:rsidR="00653ABA">
        <w:rPr>
          <w:rFonts w:ascii="Arial" w:eastAsiaTheme="minorHAnsi" w:hAnsi="Arial" w:cs="Arial"/>
          <w:sz w:val="18"/>
          <w:szCs w:val="18"/>
          <w:lang w:eastAsia="en-US"/>
        </w:rPr>
        <w:t xml:space="preserve"> (</w:t>
      </w:r>
      <w:r w:rsidR="00046E80">
        <w:rPr>
          <w:rFonts w:ascii="Arial" w:eastAsiaTheme="minorHAnsi" w:hAnsi="Arial" w:cs="Arial"/>
          <w:sz w:val="18"/>
          <w:szCs w:val="18"/>
          <w:lang w:eastAsia="en-US"/>
        </w:rPr>
        <w:t>0,</w:t>
      </w:r>
      <w:r w:rsidR="00653ABA">
        <w:rPr>
          <w:rFonts w:ascii="Arial" w:eastAsiaTheme="minorHAnsi" w:hAnsi="Arial" w:cs="Arial"/>
          <w:sz w:val="18"/>
          <w:szCs w:val="18"/>
          <w:lang w:eastAsia="en-US"/>
        </w:rPr>
        <w:t>2mg/kg</w:t>
      </w:r>
      <w:r w:rsidR="0040761A">
        <w:rPr>
          <w:rFonts w:ascii="Arial" w:eastAsiaTheme="minorHAnsi" w:hAnsi="Arial" w:cs="Arial"/>
          <w:sz w:val="18"/>
          <w:szCs w:val="18"/>
          <w:lang w:eastAsia="en-US"/>
        </w:rPr>
        <w:t xml:space="preserve"> IV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)</w:t>
      </w:r>
      <w:r w:rsidR="00ED330D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7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653ABA">
        <w:rPr>
          <w:rFonts w:ascii="Arial" w:eastAsiaTheme="minorHAnsi" w:hAnsi="Arial" w:cs="Arial"/>
          <w:sz w:val="18"/>
          <w:szCs w:val="18"/>
          <w:lang w:eastAsia="en-US"/>
        </w:rPr>
        <w:t xml:space="preserve"> Entretanto, percebe-se o benefício da associação desse fármaco com outras classes, co</w:t>
      </w:r>
      <w:bookmarkStart w:id="0" w:name="_GoBack"/>
      <w:bookmarkEnd w:id="0"/>
      <w:r w:rsidR="00653ABA">
        <w:rPr>
          <w:rFonts w:ascii="Arial" w:eastAsiaTheme="minorHAnsi" w:hAnsi="Arial" w:cs="Arial"/>
          <w:sz w:val="18"/>
          <w:szCs w:val="18"/>
          <w:lang w:eastAsia="en-US"/>
        </w:rPr>
        <w:t>mo os anti-inflamatórios</w:t>
      </w:r>
      <w:r w:rsidR="004F4DCF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="00653ABA">
        <w:rPr>
          <w:rFonts w:ascii="Arial" w:eastAsiaTheme="minorHAnsi" w:hAnsi="Arial" w:cs="Arial"/>
          <w:sz w:val="18"/>
          <w:szCs w:val="18"/>
          <w:lang w:eastAsia="en-US"/>
        </w:rPr>
        <w:t xml:space="preserve"> pela redução na nece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ssidade de resgates analgésicos</w:t>
      </w:r>
      <w:r w:rsidR="00ED330D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7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046E80">
        <w:rPr>
          <w:rFonts w:ascii="Arial" w:eastAsiaTheme="minorHAnsi" w:hAnsi="Arial" w:cs="Arial"/>
          <w:sz w:val="18"/>
          <w:szCs w:val="18"/>
          <w:lang w:eastAsia="en-US"/>
        </w:rPr>
        <w:t xml:space="preserve"> Em procedimentos de </w:t>
      </w:r>
      <w:proofErr w:type="spellStart"/>
      <w:r w:rsidR="00046E80">
        <w:rPr>
          <w:rFonts w:ascii="Arial" w:eastAsiaTheme="minorHAnsi" w:hAnsi="Arial" w:cs="Arial"/>
          <w:sz w:val="18"/>
          <w:szCs w:val="18"/>
          <w:lang w:eastAsia="en-US"/>
        </w:rPr>
        <w:t>ovariohisterectomia</w:t>
      </w:r>
      <w:proofErr w:type="spellEnd"/>
      <w:r w:rsidR="00653ABA">
        <w:rPr>
          <w:rFonts w:ascii="Arial" w:eastAsiaTheme="minorHAnsi" w:hAnsi="Arial" w:cs="Arial"/>
          <w:sz w:val="18"/>
          <w:szCs w:val="18"/>
          <w:lang w:eastAsia="en-US"/>
        </w:rPr>
        <w:t>, com doses de 3mg/kg</w:t>
      </w:r>
      <w:r w:rsidR="00966164">
        <w:rPr>
          <w:rFonts w:ascii="Arial" w:eastAsiaTheme="minorHAnsi" w:hAnsi="Arial" w:cs="Arial"/>
          <w:sz w:val="18"/>
          <w:szCs w:val="18"/>
          <w:lang w:eastAsia="en-US"/>
        </w:rPr>
        <w:t xml:space="preserve"> IV</w:t>
      </w:r>
      <w:r w:rsidR="00046E80">
        <w:rPr>
          <w:rFonts w:ascii="Arial" w:eastAsiaTheme="minorHAnsi" w:hAnsi="Arial" w:cs="Arial"/>
          <w:sz w:val="18"/>
          <w:szCs w:val="18"/>
          <w:lang w:eastAsia="en-US"/>
        </w:rPr>
        <w:t xml:space="preserve">, também houve boa analgesia no pós-cirúrgico, sendo essa similar a fornecida pelo </w:t>
      </w:r>
      <w:proofErr w:type="spellStart"/>
      <w:r w:rsidR="00046E80">
        <w:rPr>
          <w:rFonts w:ascii="Arial" w:eastAsiaTheme="minorHAnsi" w:hAnsi="Arial" w:cs="Arial"/>
          <w:sz w:val="18"/>
          <w:szCs w:val="18"/>
          <w:lang w:eastAsia="en-US"/>
        </w:rPr>
        <w:t>Dexketoprofen</w:t>
      </w:r>
      <w:proofErr w:type="spellEnd"/>
      <w:r w:rsidR="00BE353D">
        <w:rPr>
          <w:rFonts w:ascii="Arial" w:eastAsiaTheme="minorHAnsi" w:hAnsi="Arial" w:cs="Arial"/>
          <w:sz w:val="18"/>
          <w:szCs w:val="18"/>
          <w:lang w:eastAsia="en-US"/>
        </w:rPr>
        <w:t xml:space="preserve"> (1mg/kg IV)</w:t>
      </w:r>
      <w:r w:rsidR="00046E80">
        <w:rPr>
          <w:rFonts w:ascii="Arial" w:eastAsiaTheme="minorHAnsi" w:hAnsi="Arial" w:cs="Arial"/>
          <w:sz w:val="18"/>
          <w:szCs w:val="18"/>
          <w:lang w:eastAsia="en-US"/>
        </w:rPr>
        <w:t xml:space="preserve"> e superior a analgesia f</w:t>
      </w:r>
      <w:r w:rsidR="008A0F3B">
        <w:rPr>
          <w:rFonts w:ascii="Arial" w:eastAsiaTheme="minorHAnsi" w:hAnsi="Arial" w:cs="Arial"/>
          <w:sz w:val="18"/>
          <w:szCs w:val="18"/>
          <w:lang w:eastAsia="en-US"/>
        </w:rPr>
        <w:t xml:space="preserve">ornecida pela </w:t>
      </w:r>
      <w:proofErr w:type="spellStart"/>
      <w:r w:rsidR="008A0F3B">
        <w:rPr>
          <w:rFonts w:ascii="Arial" w:eastAsiaTheme="minorHAnsi" w:hAnsi="Arial" w:cs="Arial"/>
          <w:sz w:val="18"/>
          <w:szCs w:val="18"/>
          <w:lang w:eastAsia="en-US"/>
        </w:rPr>
        <w:t>Buprenorfina</w:t>
      </w:r>
      <w:proofErr w:type="spellEnd"/>
      <w:r w:rsidR="00BE353D">
        <w:rPr>
          <w:rFonts w:ascii="Arial" w:eastAsiaTheme="minorHAnsi" w:hAnsi="Arial" w:cs="Arial"/>
          <w:sz w:val="18"/>
          <w:szCs w:val="18"/>
          <w:lang w:eastAsia="en-US"/>
        </w:rPr>
        <w:t xml:space="preserve"> (0,02mg/kg IV)</w:t>
      </w:r>
      <w:r w:rsidR="00C338C8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5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7D3837" w:rsidRPr="00DE5135" w:rsidRDefault="007D3837" w:rsidP="003152CB">
      <w:pPr>
        <w:pBdr>
          <w:left w:val="nil"/>
        </w:pBdr>
        <w:spacing w:before="40" w:after="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Já em re</w:t>
      </w:r>
      <w:r w:rsidR="008A0F3B">
        <w:rPr>
          <w:rFonts w:ascii="Arial" w:eastAsiaTheme="minorHAnsi" w:hAnsi="Arial" w:cs="Arial"/>
          <w:sz w:val="18"/>
          <w:szCs w:val="18"/>
          <w:lang w:eastAsia="en-US"/>
        </w:rPr>
        <w:t xml:space="preserve">lação aos gatos,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o </w:t>
      </w:r>
      <w:proofErr w:type="spellStart"/>
      <w:r>
        <w:rPr>
          <w:rFonts w:ascii="Arial" w:eastAsiaTheme="minorHAnsi" w:hAnsi="Arial" w:cs="Arial"/>
          <w:sz w:val="18"/>
          <w:szCs w:val="18"/>
          <w:lang w:eastAsia="en-US"/>
        </w:rPr>
        <w:t>Tramadol</w:t>
      </w:r>
      <w:proofErr w:type="spellEnd"/>
      <w:r>
        <w:rPr>
          <w:rFonts w:ascii="Arial" w:eastAsiaTheme="minorHAnsi" w:hAnsi="Arial" w:cs="Arial"/>
          <w:sz w:val="18"/>
          <w:szCs w:val="18"/>
          <w:lang w:eastAsia="en-US"/>
        </w:rPr>
        <w:t xml:space="preserve"> fornece uma boa analgesi</w:t>
      </w:r>
      <w:r w:rsidR="008A0F3B">
        <w:rPr>
          <w:rFonts w:ascii="Arial" w:eastAsiaTheme="minorHAnsi" w:hAnsi="Arial" w:cs="Arial"/>
          <w:sz w:val="18"/>
          <w:szCs w:val="18"/>
          <w:lang w:eastAsia="en-US"/>
        </w:rPr>
        <w:t>a, como esperado</w:t>
      </w:r>
      <w:r w:rsidR="001C7D74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6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966164">
        <w:rPr>
          <w:rFonts w:ascii="Arial" w:eastAsiaTheme="minorHAnsi" w:hAnsi="Arial" w:cs="Arial"/>
          <w:sz w:val="18"/>
          <w:szCs w:val="18"/>
          <w:lang w:eastAsia="en-US"/>
        </w:rPr>
        <w:t xml:space="preserve"> Em um estudo</w:t>
      </w:r>
      <w:r w:rsidR="00A25889">
        <w:rPr>
          <w:rFonts w:ascii="Arial" w:eastAsiaTheme="minorHAnsi" w:hAnsi="Arial" w:cs="Arial"/>
          <w:sz w:val="18"/>
          <w:szCs w:val="18"/>
          <w:lang w:eastAsia="en-US"/>
        </w:rPr>
        <w:t xml:space="preserve"> com gatos submetidos a castração (machos e fêmeas), 2mg/kg</w:t>
      </w:r>
      <w:r w:rsidR="00966164">
        <w:rPr>
          <w:rFonts w:ascii="Arial" w:eastAsiaTheme="minorHAnsi" w:hAnsi="Arial" w:cs="Arial"/>
          <w:sz w:val="18"/>
          <w:szCs w:val="18"/>
          <w:lang w:eastAsia="en-US"/>
        </w:rPr>
        <w:t xml:space="preserve"> IV</w:t>
      </w:r>
      <w:r w:rsidR="00BE353D">
        <w:rPr>
          <w:rFonts w:ascii="Arial" w:eastAsiaTheme="minorHAnsi" w:hAnsi="Arial" w:cs="Arial"/>
          <w:sz w:val="18"/>
          <w:szCs w:val="18"/>
          <w:lang w:eastAsia="en-US"/>
        </w:rPr>
        <w:t xml:space="preserve"> foi suficiente</w:t>
      </w:r>
      <w:r w:rsidR="00A25889">
        <w:rPr>
          <w:rFonts w:ascii="Arial" w:eastAsiaTheme="minorHAnsi" w:hAnsi="Arial" w:cs="Arial"/>
          <w:sz w:val="18"/>
          <w:szCs w:val="18"/>
          <w:lang w:eastAsia="en-US"/>
        </w:rPr>
        <w:t xml:space="preserve"> para fo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rnecer analgesia pós-operatória</w:t>
      </w:r>
      <w:r w:rsidR="00ED330D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1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96616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BE353D">
        <w:rPr>
          <w:rFonts w:ascii="Arial" w:eastAsiaTheme="minorHAnsi" w:hAnsi="Arial" w:cs="Arial"/>
          <w:sz w:val="18"/>
          <w:szCs w:val="18"/>
          <w:lang w:eastAsia="en-US"/>
        </w:rPr>
        <w:t>Já de acordo com E</w:t>
      </w:r>
      <w:r w:rsidR="004F4DCF">
        <w:rPr>
          <w:rFonts w:ascii="Arial" w:eastAsiaTheme="minorHAnsi" w:hAnsi="Arial" w:cs="Arial"/>
          <w:sz w:val="18"/>
          <w:szCs w:val="18"/>
          <w:lang w:eastAsia="en-US"/>
        </w:rPr>
        <w:t>vangelista</w:t>
      </w:r>
      <w:r w:rsidR="00BE353D">
        <w:rPr>
          <w:rFonts w:ascii="Arial" w:eastAsiaTheme="minorHAnsi" w:hAnsi="Arial" w:cs="Arial"/>
          <w:sz w:val="18"/>
          <w:szCs w:val="18"/>
          <w:lang w:eastAsia="en-US"/>
        </w:rPr>
        <w:t>, et al.</w:t>
      </w:r>
      <w:r w:rsidR="006B51B0">
        <w:rPr>
          <w:rFonts w:ascii="Arial" w:eastAsiaTheme="minorHAnsi" w:hAnsi="Arial" w:cs="Arial"/>
          <w:sz w:val="18"/>
          <w:szCs w:val="18"/>
          <w:lang w:eastAsia="en-US"/>
        </w:rPr>
        <w:t xml:space="preserve"> (2014)</w:t>
      </w:r>
      <w:r w:rsidR="00BE353D">
        <w:rPr>
          <w:rFonts w:ascii="Arial" w:eastAsiaTheme="minorHAnsi" w:hAnsi="Arial" w:cs="Arial"/>
          <w:sz w:val="18"/>
          <w:szCs w:val="18"/>
          <w:lang w:eastAsia="en-US"/>
        </w:rPr>
        <w:t>, f</w:t>
      </w:r>
      <w:r w:rsidR="00E26694">
        <w:rPr>
          <w:rFonts w:ascii="Arial" w:eastAsiaTheme="minorHAnsi" w:hAnsi="Arial" w:cs="Arial"/>
          <w:sz w:val="18"/>
          <w:szCs w:val="18"/>
          <w:lang w:eastAsia="en-US"/>
        </w:rPr>
        <w:t xml:space="preserve">êmeas submetidas a </w:t>
      </w:r>
      <w:proofErr w:type="spellStart"/>
      <w:r w:rsidR="00E26694">
        <w:rPr>
          <w:rFonts w:ascii="Arial" w:eastAsiaTheme="minorHAnsi" w:hAnsi="Arial" w:cs="Arial"/>
          <w:sz w:val="18"/>
          <w:szCs w:val="18"/>
          <w:lang w:eastAsia="en-US"/>
        </w:rPr>
        <w:t>o</w:t>
      </w:r>
      <w:r w:rsidR="00966164">
        <w:rPr>
          <w:rFonts w:ascii="Arial" w:eastAsiaTheme="minorHAnsi" w:hAnsi="Arial" w:cs="Arial"/>
          <w:sz w:val="18"/>
          <w:szCs w:val="18"/>
          <w:lang w:eastAsia="en-US"/>
        </w:rPr>
        <w:t>variohisterectomia</w:t>
      </w:r>
      <w:proofErr w:type="spellEnd"/>
      <w:r w:rsidR="00966164">
        <w:rPr>
          <w:rFonts w:ascii="Arial" w:eastAsiaTheme="minorHAnsi" w:hAnsi="Arial" w:cs="Arial"/>
          <w:sz w:val="18"/>
          <w:szCs w:val="18"/>
          <w:lang w:eastAsia="en-US"/>
        </w:rPr>
        <w:t xml:space="preserve"> com 4mg/kg por via Intramuscular (IM) não necessitaram de resgate analgésico</w:t>
      </w:r>
      <w:r w:rsidR="00BE353D">
        <w:rPr>
          <w:rFonts w:ascii="Arial" w:eastAsiaTheme="minorHAnsi" w:hAnsi="Arial" w:cs="Arial"/>
          <w:sz w:val="18"/>
          <w:szCs w:val="18"/>
          <w:lang w:eastAsia="en-US"/>
        </w:rPr>
        <w:t xml:space="preserve"> por pelo menos seis horas, contudo,</w:t>
      </w:r>
      <w:r w:rsidR="003509C3">
        <w:rPr>
          <w:rFonts w:ascii="Arial" w:eastAsiaTheme="minorHAnsi" w:hAnsi="Arial" w:cs="Arial"/>
          <w:sz w:val="18"/>
          <w:szCs w:val="18"/>
          <w:lang w:eastAsia="en-US"/>
        </w:rPr>
        <w:t xml:space="preserve"> apresentaram sinais de euforia</w:t>
      </w:r>
      <w:r w:rsidR="00ED330D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3</w:t>
      </w:r>
      <w:r w:rsidR="00DE5135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A25889" w:rsidRDefault="00A25889" w:rsidP="00A25889">
      <w:pPr>
        <w:pBdr>
          <w:left w:val="nil"/>
        </w:pBd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D6782" w:rsidRPr="003509C3" w:rsidRDefault="00A25889" w:rsidP="003152CB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Ao avaliar os resultados encontrados e a metabolização nas espécies, percebe-se que o </w:t>
      </w:r>
      <w:proofErr w:type="spellStart"/>
      <w:r>
        <w:rPr>
          <w:rFonts w:ascii="Arial" w:hAnsi="Arial" w:cs="Arial"/>
          <w:sz w:val="18"/>
        </w:rPr>
        <w:t>Tramadol</w:t>
      </w:r>
      <w:proofErr w:type="spellEnd"/>
      <w:r>
        <w:rPr>
          <w:rFonts w:ascii="Arial" w:hAnsi="Arial" w:cs="Arial"/>
          <w:sz w:val="18"/>
        </w:rPr>
        <w:t xml:space="preserve"> fornece analgesia suficiente</w:t>
      </w:r>
      <w:r w:rsidR="00E933BA">
        <w:rPr>
          <w:rFonts w:ascii="Arial" w:hAnsi="Arial" w:cs="Arial"/>
          <w:sz w:val="18"/>
        </w:rPr>
        <w:t xml:space="preserve"> em procedimentos de dor moderada a severa</w:t>
      </w:r>
      <w:r>
        <w:rPr>
          <w:rFonts w:ascii="Arial" w:hAnsi="Arial" w:cs="Arial"/>
          <w:sz w:val="18"/>
        </w:rPr>
        <w:t xml:space="preserve"> em gatos</w:t>
      </w:r>
      <w:r w:rsidR="0040761A">
        <w:rPr>
          <w:rFonts w:ascii="Arial" w:hAnsi="Arial" w:cs="Arial"/>
          <w:sz w:val="18"/>
        </w:rPr>
        <w:t xml:space="preserve">, como na </w:t>
      </w:r>
      <w:proofErr w:type="spellStart"/>
      <w:r w:rsidR="00BE353D">
        <w:rPr>
          <w:rFonts w:ascii="Arial" w:hAnsi="Arial" w:cs="Arial"/>
          <w:sz w:val="18"/>
        </w:rPr>
        <w:t>ovariohisterectomia</w:t>
      </w:r>
      <w:proofErr w:type="spellEnd"/>
      <w:r>
        <w:rPr>
          <w:rFonts w:ascii="Arial" w:hAnsi="Arial" w:cs="Arial"/>
          <w:sz w:val="18"/>
        </w:rPr>
        <w:t>. Entretanto, em cães</w:t>
      </w:r>
      <w:r w:rsidR="0040761A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tendo em vista a metabolização desse fármaco, indica-se o uso de fo</w:t>
      </w:r>
      <w:r w:rsidR="008A0F3B">
        <w:rPr>
          <w:rFonts w:ascii="Arial" w:hAnsi="Arial" w:cs="Arial"/>
          <w:sz w:val="18"/>
        </w:rPr>
        <w:t xml:space="preserve">rma associada a </w:t>
      </w:r>
      <w:r>
        <w:rPr>
          <w:rFonts w:ascii="Arial" w:hAnsi="Arial" w:cs="Arial"/>
          <w:sz w:val="18"/>
        </w:rPr>
        <w:t>analgésic</w:t>
      </w:r>
      <w:r w:rsidR="000C1F22">
        <w:rPr>
          <w:rFonts w:ascii="Arial" w:hAnsi="Arial" w:cs="Arial"/>
          <w:sz w:val="18"/>
        </w:rPr>
        <w:t>os ou anti-inflamatórios</w:t>
      </w:r>
      <w:r w:rsidR="0040761A">
        <w:rPr>
          <w:rFonts w:ascii="Arial" w:hAnsi="Arial" w:cs="Arial"/>
          <w:sz w:val="18"/>
        </w:rPr>
        <w:t xml:space="preserve"> em cirurgia</w:t>
      </w:r>
      <w:r w:rsidR="00E26694">
        <w:rPr>
          <w:rFonts w:ascii="Arial" w:hAnsi="Arial" w:cs="Arial"/>
          <w:sz w:val="18"/>
        </w:rPr>
        <w:t>s com estímulo álgico similar</w:t>
      </w:r>
      <w:r>
        <w:rPr>
          <w:rFonts w:ascii="Arial" w:hAnsi="Arial" w:cs="Arial"/>
          <w:sz w:val="18"/>
        </w:rPr>
        <w:t>. Não se deve, contudo, excluir esse fármaco da rotina, já qu</w:t>
      </w:r>
      <w:r w:rsidR="000C1F22">
        <w:rPr>
          <w:rFonts w:ascii="Arial" w:hAnsi="Arial" w:cs="Arial"/>
          <w:sz w:val="18"/>
        </w:rPr>
        <w:t>e esse fornece certo nível de analgesia</w:t>
      </w:r>
      <w:r w:rsidR="00E933BA">
        <w:rPr>
          <w:rFonts w:ascii="Arial" w:hAnsi="Arial" w:cs="Arial"/>
          <w:sz w:val="18"/>
        </w:rPr>
        <w:t>, podendo complementar um protocolo em decorrência de sua ação em outras vias, como por exemplo ao inibir a</w:t>
      </w:r>
      <w:r w:rsidR="006B51B0">
        <w:rPr>
          <w:rFonts w:ascii="Arial" w:hAnsi="Arial" w:cs="Arial"/>
          <w:sz w:val="18"/>
        </w:rPr>
        <w:t xml:space="preserve"> </w:t>
      </w:r>
      <w:proofErr w:type="spellStart"/>
      <w:r w:rsidR="006B51B0">
        <w:rPr>
          <w:rFonts w:ascii="Arial" w:hAnsi="Arial" w:cs="Arial"/>
          <w:sz w:val="18"/>
        </w:rPr>
        <w:t>reca</w:t>
      </w:r>
      <w:r w:rsidR="00413D92">
        <w:rPr>
          <w:rFonts w:ascii="Arial" w:hAnsi="Arial" w:cs="Arial"/>
          <w:sz w:val="18"/>
        </w:rPr>
        <w:t>ptação</w:t>
      </w:r>
      <w:proofErr w:type="spellEnd"/>
      <w:r w:rsidR="00413D92">
        <w:rPr>
          <w:rFonts w:ascii="Arial" w:hAnsi="Arial" w:cs="Arial"/>
          <w:sz w:val="18"/>
        </w:rPr>
        <w:t xml:space="preserve"> de serotonina e n</w:t>
      </w:r>
      <w:r>
        <w:rPr>
          <w:rFonts w:ascii="Arial" w:hAnsi="Arial" w:cs="Arial"/>
          <w:sz w:val="18"/>
        </w:rPr>
        <w:t>oradrenalina</w:t>
      </w:r>
      <w:r w:rsidR="004F4DCF">
        <w:rPr>
          <w:rFonts w:ascii="Arial" w:hAnsi="Arial" w:cs="Arial"/>
          <w:sz w:val="18"/>
        </w:rPr>
        <w:t xml:space="preserve"> em sistema nervoso central</w:t>
      </w:r>
      <w:r>
        <w:rPr>
          <w:rFonts w:ascii="Arial" w:hAnsi="Arial" w:cs="Arial"/>
          <w:sz w:val="18"/>
        </w:rPr>
        <w:t>.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4D4CD4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f041cfc8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626EC3" w:rsidRDefault="004D4CD4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312420</wp:posOffset>
            </wp:positionV>
            <wp:extent cx="719455" cy="719455"/>
            <wp:effectExtent l="0" t="0" r="0" b="0"/>
            <wp:wrapTight wrapText="bothSides">
              <wp:wrapPolygon edited="0">
                <wp:start x="3432" y="2288"/>
                <wp:lineTo x="572" y="5147"/>
                <wp:lineTo x="0" y="6863"/>
                <wp:lineTo x="0" y="15442"/>
                <wp:lineTo x="1716" y="17730"/>
                <wp:lineTo x="4004" y="18874"/>
                <wp:lineTo x="17158" y="18874"/>
                <wp:lineTo x="19446" y="17730"/>
                <wp:lineTo x="21162" y="15442"/>
                <wp:lineTo x="21162" y="8579"/>
                <wp:lineTo x="17730" y="6291"/>
                <wp:lineTo x="8579" y="2288"/>
                <wp:lineTo x="3432" y="2288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GEAA Vet Jr sem fund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1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331470</wp:posOffset>
            </wp:positionV>
            <wp:extent cx="716915" cy="719455"/>
            <wp:effectExtent l="0" t="0" r="0" b="0"/>
            <wp:wrapTight wrapText="bothSides">
              <wp:wrapPolygon edited="0">
                <wp:start x="0" y="0"/>
                <wp:lineTo x="0" y="20018"/>
                <wp:lineTo x="15497" y="21162"/>
                <wp:lineTo x="21236" y="21162"/>
                <wp:lineTo x="21236" y="11439"/>
                <wp:lineTo x="19515" y="9151"/>
                <wp:lineTo x="1434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arca_escola_de_veterinaria_-_colorid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EDE">
        <w:rPr>
          <w:rFonts w:ascii="Arial" w:hAnsi="Arial" w:cs="Arial"/>
          <w:b/>
          <w:sz w:val="14"/>
        </w:rPr>
        <w:t xml:space="preserve">APOIO: </w:t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8E" w:rsidRDefault="00CE138E" w:rsidP="00522953">
      <w:r>
        <w:separator/>
      </w:r>
    </w:p>
  </w:endnote>
  <w:endnote w:type="continuationSeparator" w:id="0">
    <w:p w:rsidR="00CE138E" w:rsidRDefault="00CE138E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8E" w:rsidRDefault="00CE138E" w:rsidP="00522953">
      <w:r>
        <w:separator/>
      </w:r>
    </w:p>
  </w:footnote>
  <w:footnote w:type="continuationSeparator" w:id="0">
    <w:p w:rsidR="00CE138E" w:rsidRDefault="00CE138E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37" w:rsidRPr="00130AD3" w:rsidRDefault="009D1B3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6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9D1B37" w:rsidRPr="00130AD3" w:rsidRDefault="009D1B3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46E80"/>
    <w:rsid w:val="0007204F"/>
    <w:rsid w:val="00073A0F"/>
    <w:rsid w:val="000B50B8"/>
    <w:rsid w:val="000C1F22"/>
    <w:rsid w:val="000D2072"/>
    <w:rsid w:val="00130AD3"/>
    <w:rsid w:val="00134721"/>
    <w:rsid w:val="00136BA6"/>
    <w:rsid w:val="001A5193"/>
    <w:rsid w:val="001A5C84"/>
    <w:rsid w:val="001B4CE9"/>
    <w:rsid w:val="001C7D74"/>
    <w:rsid w:val="001D1C3F"/>
    <w:rsid w:val="002311B8"/>
    <w:rsid w:val="00242601"/>
    <w:rsid w:val="0024512E"/>
    <w:rsid w:val="00285B52"/>
    <w:rsid w:val="00295A0F"/>
    <w:rsid w:val="002E5DFD"/>
    <w:rsid w:val="002F1618"/>
    <w:rsid w:val="00305F4B"/>
    <w:rsid w:val="003152CB"/>
    <w:rsid w:val="00343752"/>
    <w:rsid w:val="003509C3"/>
    <w:rsid w:val="00351D3F"/>
    <w:rsid w:val="00371AD9"/>
    <w:rsid w:val="003A746C"/>
    <w:rsid w:val="003D6782"/>
    <w:rsid w:val="003F132E"/>
    <w:rsid w:val="003F5CF0"/>
    <w:rsid w:val="0040761A"/>
    <w:rsid w:val="00411A99"/>
    <w:rsid w:val="00413D92"/>
    <w:rsid w:val="00426503"/>
    <w:rsid w:val="00430461"/>
    <w:rsid w:val="004D4CD4"/>
    <w:rsid w:val="004F4DCF"/>
    <w:rsid w:val="00522953"/>
    <w:rsid w:val="005864D4"/>
    <w:rsid w:val="005876D2"/>
    <w:rsid w:val="00597A35"/>
    <w:rsid w:val="005B0A2C"/>
    <w:rsid w:val="005C0EEC"/>
    <w:rsid w:val="00615BEE"/>
    <w:rsid w:val="00616238"/>
    <w:rsid w:val="00626EC3"/>
    <w:rsid w:val="00653ABA"/>
    <w:rsid w:val="006712EC"/>
    <w:rsid w:val="0067418F"/>
    <w:rsid w:val="00684FE4"/>
    <w:rsid w:val="006A7E7C"/>
    <w:rsid w:val="006B51B0"/>
    <w:rsid w:val="00716350"/>
    <w:rsid w:val="00717CB1"/>
    <w:rsid w:val="0076689F"/>
    <w:rsid w:val="007A1EE5"/>
    <w:rsid w:val="007A6765"/>
    <w:rsid w:val="007B5B32"/>
    <w:rsid w:val="007C3386"/>
    <w:rsid w:val="007D3837"/>
    <w:rsid w:val="007F4630"/>
    <w:rsid w:val="00842425"/>
    <w:rsid w:val="00852F8E"/>
    <w:rsid w:val="008900F9"/>
    <w:rsid w:val="008A0F3B"/>
    <w:rsid w:val="00907773"/>
    <w:rsid w:val="00914775"/>
    <w:rsid w:val="00956603"/>
    <w:rsid w:val="00966164"/>
    <w:rsid w:val="009D1B37"/>
    <w:rsid w:val="009E4FC5"/>
    <w:rsid w:val="00A25889"/>
    <w:rsid w:val="00A33AFF"/>
    <w:rsid w:val="00A35D88"/>
    <w:rsid w:val="00A63DA2"/>
    <w:rsid w:val="00A650D4"/>
    <w:rsid w:val="00A95EDE"/>
    <w:rsid w:val="00AA68C8"/>
    <w:rsid w:val="00B94C38"/>
    <w:rsid w:val="00BA3D5D"/>
    <w:rsid w:val="00BE353D"/>
    <w:rsid w:val="00C15B7B"/>
    <w:rsid w:val="00C338C8"/>
    <w:rsid w:val="00C362F6"/>
    <w:rsid w:val="00C50A89"/>
    <w:rsid w:val="00C52E0A"/>
    <w:rsid w:val="00C81831"/>
    <w:rsid w:val="00C92D43"/>
    <w:rsid w:val="00CD3E24"/>
    <w:rsid w:val="00CD6E9E"/>
    <w:rsid w:val="00CE138E"/>
    <w:rsid w:val="00D22B30"/>
    <w:rsid w:val="00D26400"/>
    <w:rsid w:val="00D7185C"/>
    <w:rsid w:val="00D75D42"/>
    <w:rsid w:val="00DE2E49"/>
    <w:rsid w:val="00DE5135"/>
    <w:rsid w:val="00DF7BA4"/>
    <w:rsid w:val="00E26694"/>
    <w:rsid w:val="00E82117"/>
    <w:rsid w:val="00E933BA"/>
    <w:rsid w:val="00ED330D"/>
    <w:rsid w:val="00EE1D93"/>
    <w:rsid w:val="00F1155C"/>
    <w:rsid w:val="00F11C1C"/>
    <w:rsid w:val="00F13307"/>
    <w:rsid w:val="00F20514"/>
    <w:rsid w:val="00F40696"/>
    <w:rsid w:val="00F45612"/>
    <w:rsid w:val="00F47AFA"/>
    <w:rsid w:val="00F95082"/>
    <w:rsid w:val="00FE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23388A-68C7-43EE-B8DB-452C5DB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0CC9-52CD-4C0A-9BDA-09100F8E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836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Arthur Filipe</cp:lastModifiedBy>
  <cp:revision>7</cp:revision>
  <dcterms:created xsi:type="dcterms:W3CDTF">2020-09-25T02:43:00Z</dcterms:created>
  <dcterms:modified xsi:type="dcterms:W3CDTF">2020-09-27T17:23:00Z</dcterms:modified>
</cp:coreProperties>
</file>