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TOXOPLASMOSE HUMANA: PERSPECTIVAS CLÍNICAS E DE CONTROLE DE UMA ZOONOSE GLOBAL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SILVA, Gabrielly Maria Moreira da¹*; BHERING, Carolina Rodrigues¹;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SANTOS, Gabriela Natalia Bueno¹; SANTANA, Hayslla Guerra ¹; MORAES, Laura Goston¹; VALADÃO, Marisa Caixeta².</w:t>
      </w:r>
    </w:p>
    <w:p w:rsidR="00000000" w:rsidDel="00000000" w:rsidP="00000000" w:rsidRDefault="00000000" w:rsidRPr="00000000" w14:paraId="00000003">
      <w:pPr>
        <w:tabs>
          <w:tab w:val="left" w:leader="none" w:pos="469"/>
        </w:tabs>
        <w:ind w:right="11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Graduandas em Medicina Veterinária. ²Docente do curso de Medicina Veterinária.  Unipac – Conselheiro Lafaiete, MG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rtl w:val="0"/>
        </w:rPr>
        <w:t xml:space="preserve">*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20"/>
            <w:szCs w:val="20"/>
            <w:u w:val="single"/>
            <w:rtl w:val="0"/>
          </w:rPr>
          <w:t xml:space="preserve">221-000391@aluno.unipac.br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toxoplasmose é uma doença infecciosa causada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Toxoplasma gondii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que representa ameaça no contexto da Saúde Única, visto que impacta a saúde de diversos animais, humanos e ambiente. A infecção ocorre principalmente pela ingestão de formas infectantes, todavia, outras formas de infecção já foram reportadas. Embora a infecção pós-natal geralmente seja assintomática em humanos, pode adquirir um caráter mais grave em imunossuprimidos e, sobretudo, em gestantes, ocasionando abortos e malformações congênitas. Esta revisão aborda os principais aspectos da toxoplasmose, ressaltando a importância da prevenção para mitigar seus impactos.</w:t>
      </w:r>
    </w:p>
    <w:p w:rsidR="00000000" w:rsidDel="00000000" w:rsidP="00000000" w:rsidRDefault="00000000" w:rsidRPr="00000000" w14:paraId="00000006">
      <w:pPr>
        <w:spacing w:after="200" w:before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doença infectocontagiosa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Toxoplasma gondii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zoonose</w:t>
      </w:r>
    </w:p>
    <w:p w:rsidR="00000000" w:rsidDel="00000000" w:rsidP="00000000" w:rsidRDefault="00000000" w:rsidRPr="00000000" w14:paraId="00000007">
      <w:pPr>
        <w:spacing w:after="200" w:before="20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08">
      <w:pPr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toxoplasmose é uma zoonose de ampla distribuição global, causada pelo protozoário intracelular obrigatório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Toxoplasma gondii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que infecta uma grande variedade de hospedeiros, incluindo humanos e animais domésticos. Sua importância reside na possibilidade de provocar desde infecções assintomáticas até quadros clínicos severos, sobretudo em gestantes e indivíduos imunocomprometidos. Os felinos são os hospedeiros definitivos, sendo responsáveis pela eliminação de oocistos nas fezes, que tornam-se infectantes após esporulação no ambiente. Apesar de seu papel central na disseminação do agente, os felinos não são os únicos responsáveis pela infecção em humanos, uma vez que 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T. gondii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possui um ciclo biológico heteroxeno facultativo, permitindo a transmissão por outras vias, com participação de alguns animais de produção como hospedeiros intermediários (Weiss &amp; Kim, 2004; Dubey et al., 2005).</w:t>
      </w:r>
    </w:p>
    <w:p w:rsidR="00000000" w:rsidDel="00000000" w:rsidP="00000000" w:rsidRDefault="00000000" w:rsidRPr="00000000" w14:paraId="00000009">
      <w:pPr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indivíduos e animais imunocompetentes, a infecção pode permanecer em estado latente por longos períodos, sem manifestações clínicas aparentes. No entanto, na produção animal, especialmente nas criações de caprinos, ovinos e suínos, a toxoplasmose representa um desafio sanitário importante, estando associada a perdas econômicas consideráveis devido a abortos e distúrbios reprodutivos (Weiss &amp; Kim, 2004). Esta revisão tem como objetivo explanar os principais aspectos da infecção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T. gondii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em humanos, abordando os principais fatores de risco e medidas profiláticas para controle dessa zoonose.</w:t>
      </w:r>
    </w:p>
    <w:p w:rsidR="00000000" w:rsidDel="00000000" w:rsidP="00000000" w:rsidRDefault="00000000" w:rsidRPr="00000000" w14:paraId="0000000A">
      <w:pPr>
        <w:spacing w:after="200" w:before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infecções humanas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T. gondii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podem ser adquiridas de três formas principais: ingestão de oocistos esporulados presentes em água ou alimentos contaminados, ingestão de cistos teciduais contendo bradizoítos em carne crua ou insuficientemente cozida e através da transmissão transplacentária de taquizoítos (Arruda et al., 2025).</w:t>
      </w:r>
    </w:p>
    <w:p w:rsidR="00000000" w:rsidDel="00000000" w:rsidP="00000000" w:rsidRDefault="00000000" w:rsidRPr="00000000" w14:paraId="0000000C">
      <w:pPr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ambiente, os oocistos esporulados, ou seja, já em sua forma infecciosa, podem contaminar alimentos, água ou solos. A ingestão de carne crua ou mal cozida contendo cistos teciduais é outra via importante de transmissão. Além disso, a transmissão pode ocorrer verticalmente durante uma primo-infecção em mulheres gestantes. Transfusões sanguíneas e transplantes de órgãos também são formas de transmissão já reportadas em humanos, embora com menor frequência (Dubey et al., 2005).</w:t>
      </w:r>
    </w:p>
    <w:p w:rsidR="00000000" w:rsidDel="00000000" w:rsidP="00000000" w:rsidRDefault="00000000" w:rsidRPr="00000000" w14:paraId="0000000D">
      <w:pPr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prevalência da toxoplasmose varia de acordo com fatores climáticos e hábitos alimentares das populações. Regiões com clima quente e úmido favorecem a sobrevivência dos oocistos no ambiente, aumentando o risco de infecção. Grupos mais vulneráveis incluem gestantes e imunossuprimidos, como pacientes em uso prolongado de fármacos imunossupressores.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Toxoplasma gondii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apresenta três formas infectantes: taquizoítos, bradizoítos e oocistos. Os taquizoítos predominam na fase aguda, disseminando-se rapidamente via sangue e sistema linfático, atingindo tecidos como cérebro, olhos e músculos. Os bradizoítos, presentes em cistos teciduais, correspondem à fase crônica e latente da infecção. Já os oocistos, eliminados nas fezes dos felinos, tornam-se infectantes após esporulação ambiental, podendo contaminar água, alimentos e solo. A ingestão de carne crua contendo bradizoítos ou a transmissão vertical também representam vias importantes de infecção (Dubey et al., 2005).</w:t>
      </w:r>
    </w:p>
    <w:p w:rsidR="00000000" w:rsidDel="00000000" w:rsidP="00000000" w:rsidRDefault="00000000" w:rsidRPr="00000000" w14:paraId="0000000E">
      <w:pPr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ponto de vista clínico, a toxoplasmose pode ser subclínica ou pouco sintomática em indivíduos imunocompetentes, manifestando-se geralmente com febre, linfadenopatia e fadiga, de forma autolimitante. Em imunossuprimidos, há risco de acometimento do sistema nervoso central, com encefalite, convulsões e alterações neurológicas. A forma congênita pode resultar em abortos, partos prematuros ou malformações, como hidrocefalia e coriorretinite (Leal &amp; Coelho, 2014).  </w:t>
      </w:r>
    </w:p>
    <w:p w:rsidR="00000000" w:rsidDel="00000000" w:rsidP="00000000" w:rsidRDefault="00000000" w:rsidRPr="00000000" w14:paraId="0000000F">
      <w:pPr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diagnóstico da toxoplasmose humana baseia-se principalmente na sorologia, com a detecção de anticorpos IgM (infecção recente) e IgG (infecção crônica). O teste de avidez para IgG auxilia na diferenciação entre infecção aguda e pregressa, especialmente em gestantes. A PCR é útil na detecção do DNA do parasito em amostras como sangue ou líquido amniótico, sendo altamente sensível. Em alguns casos, o diagnóstico histopatológico permite a visualização de cistos teciduais em biópsias (Monteiro, 2010). Todavia, alguns diagnósticos diferenciais podem ser incluídos como  mononucleose infecciosa, causada pelo vírus Epstein-Barr, e infecções por citomegalovírus. Outras doenças infecciosas que acometem o SNC, como meningites e encefalites bacterianas ou fúngicas, também devem ser consideradas. Em pacientes imunocomprometidos, a toxoplasmose pode ainda ser confundida com criptococose ou leishmaniose visceral, exigindo exames específicos para confirmação diagnóstica (Fréalle, et al., 2020).</w:t>
      </w:r>
    </w:p>
    <w:p w:rsidR="00000000" w:rsidDel="00000000" w:rsidP="00000000" w:rsidRDefault="00000000" w:rsidRPr="00000000" w14:paraId="00000010">
      <w:pPr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profilaxia da toxoplasmose envolve práticas de higiene alimentar, como o cozimento adequado da carne e a higienização de frutas e verduras. Em gestantes, testes sorológicos regulares são recomendados para monitoramento e prevenção da forma congênita. Quanto ao manejo de felinos, recomenda-se restringir o acesso a ambientes externos e à caça de presas. A limpeza frequente de gatis, o controle de vetores e o fornecimento exclusivo de água tratada são medidas fundamentais. Deve-se evitar o acesso de gatos a reservatórios de água, laticínios e frigoríficos, minimizando o risco de contaminação (Dubey et al., 2005; Monteiro, 2010).</w:t>
      </w:r>
    </w:p>
    <w:p w:rsidR="00000000" w:rsidDel="00000000" w:rsidP="00000000" w:rsidRDefault="00000000" w:rsidRPr="00000000" w14:paraId="00000011">
      <w:pPr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 a perspectiva da Saúde Única, a toxoplasmose demanda ações integradas entre profissionais da saúde humana, veterinária e ambiental. O ciclo do parasito, que inclui felinos como hospedeiros definitivos e diversos intermediários, exige vigilância epidemiológica multidisciplinar. As estratégias de controle vão além do manejo de felinos, abrangendo a educação da população, segurança alimentar e gerenciamento adequado de resíduos, especialmente em regiões rurais com alta prevalência (Dubey et al., 2005).</w:t>
      </w:r>
    </w:p>
    <w:p w:rsidR="00000000" w:rsidDel="00000000" w:rsidP="00000000" w:rsidRDefault="00000000" w:rsidRPr="00000000" w14:paraId="00000012">
      <w:pPr>
        <w:spacing w:after="200" w:before="20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</w:t>
      </w:r>
    </w:p>
    <w:p w:rsidR="00000000" w:rsidDel="00000000" w:rsidP="00000000" w:rsidRDefault="00000000" w:rsidRPr="00000000" w14:paraId="00000013">
      <w:pPr>
        <w:ind w:firstLine="4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toxoplasmose é uma doença de grande relevância para a saúde pública e veterinária. Embora a toxoplasmose seja amplamente controlável com medidas preventivas, novas perspectivas no manejo dessa zoonose são promissoras. Avanços em pesquisas voltadas para o desenvolvimento de vacinas contra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Toxoplasma gondii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além de estudos sobre tratamentos mais eficazes para casos graves em humanos e animais, oferecem um horizonte positivo. Além disso, a implementação de programas educacionais globais pode ajudar a reduzir os impactos da doença, especialmente em regiões mais afetadas. A integração entre saúde humana e veterinária, por meio da abordagem One Health, será cada vez mais essencial para a prevenção e controle da toxoplasmose no futuro.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200" w:lineRule="auto"/>
        <w:jc w:val="both"/>
        <w:rPr>
          <w:rFonts w:ascii="Times New Roman" w:cs="Times New Roman" w:eastAsia="Times New Roman" w:hAnsi="Times New Roman"/>
          <w:shd w:fill="d5a6bd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ARRUDA, I. F. et al.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Seroepidemiology, molecular detection, and isolation attempts of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Toxoplasma gondii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dairy goats from Rio de Janeiro, Brazil.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Veterinary Research Communications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49: 69, 2025. Doi: 10.1007/s11259-024-10623-6 </w:t>
      </w:r>
    </w:p>
    <w:p w:rsidR="00000000" w:rsidDel="00000000" w:rsidP="00000000" w:rsidRDefault="00000000" w:rsidRPr="00000000" w14:paraId="00000016">
      <w:pPr>
        <w:spacing w:after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DUBEY, J. P. Outbreaks of clinical toxoplasmosis in humans: five decades of personal experience, perspectives and lessons learned.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Parasites &amp; Vectors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14: 236, 2021. Doi: 10.1186/s13071-021-04769-4</w:t>
      </w:r>
    </w:p>
    <w:p w:rsidR="00000000" w:rsidDel="00000000" w:rsidP="00000000" w:rsidRDefault="00000000" w:rsidRPr="00000000" w14:paraId="00000017">
      <w:pPr>
        <w:spacing w:after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7"/>
          <w:rtl w:val="0"/>
        </w:rPr>
        <w:t xml:space="preserve">DUBEY, J. P.; HILL, D. E.; CHIRUKANDOTH, S. Biology and epidemiology of Toxoplasma gondii in man and animals.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81817"/>
          <w:rtl w:val="0"/>
        </w:rPr>
        <w:t xml:space="preserve">Animal Health Research Reviews</w:t>
      </w:r>
      <w:r w:rsidDel="00000000" w:rsidR="00000000" w:rsidRPr="00000000">
        <w:rPr>
          <w:rFonts w:ascii="Times New Roman" w:cs="Times New Roman" w:eastAsia="Times New Roman" w:hAnsi="Times New Roman"/>
          <w:color w:val="181817"/>
          <w:rtl w:val="0"/>
        </w:rPr>
        <w:t xml:space="preserve">. 2005; 6(1):41-61. doi:10.1079/AHR2005100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FRÉALLE, E. et al. Update on the diagnosis of parasitic and fungal infections.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Annales de Biologie Clinique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78, n.3, p.  299-313, 2020. Doi:10.1684/abc.2020.1554</w:t>
      </w:r>
    </w:p>
    <w:p w:rsidR="00000000" w:rsidDel="00000000" w:rsidP="00000000" w:rsidRDefault="00000000" w:rsidRPr="00000000" w14:paraId="00000019">
      <w:pPr>
        <w:spacing w:after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LEAL, P. D. S.; COELHO, C. D. Toxoplasmose em cães: uma breve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Coccidia: Laboratório de Coccídios e Coccidioses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UFRJ, 2014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ISSN 2318-9673 r1.ufrrj.br/lcc/Coccidia </w:t>
      </w:r>
    </w:p>
    <w:p w:rsidR="00000000" w:rsidDel="00000000" w:rsidP="00000000" w:rsidRDefault="00000000" w:rsidRPr="00000000" w14:paraId="0000001A">
      <w:pPr>
        <w:spacing w:after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MINEO T. W. P. et al.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Toxoplasma gondii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Neospora caninum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serological status of different canine populations from Uberlândia, Minas Gerais.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Arquivo Brasileiro de Medicina Veterinária e Zootecnia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v. 56, n. 3, p. 414-417, 2004.</w:t>
      </w:r>
    </w:p>
    <w:p w:rsidR="00000000" w:rsidDel="00000000" w:rsidP="00000000" w:rsidRDefault="00000000" w:rsidRPr="00000000" w14:paraId="0000001B">
      <w:pPr>
        <w:spacing w:after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MONTEIRO, S. G.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Parasitologia em medicina veterinária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São Paulo: Roca, 2010.</w:t>
      </w:r>
    </w:p>
    <w:p w:rsidR="00000000" w:rsidDel="00000000" w:rsidP="00000000" w:rsidRDefault="00000000" w:rsidRPr="00000000" w14:paraId="0000001C">
      <w:pPr>
        <w:spacing w:after="200" w:lineRule="auto"/>
        <w:jc w:val="both"/>
        <w:rPr>
          <w:rFonts w:ascii="Times New Roman" w:cs="Times New Roman" w:eastAsia="Times New Roman" w:hAnsi="Times New Roman"/>
          <w:shd w:fill="c27ba0" w:val="clear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RODRIGUES, N. J. L. et al. Atualizações e padrões da toxoplasmose humana e animal: revisão de literatura.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Veterinária e Zootecnia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29, p. 1-15,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WEISS, L. M.; KIM, K.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Toxoplasma gondii: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model apicomplexan - perspectives and methods.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International Journal for Parasitology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v.34, n.3, p. 423-432, 2004. Doi: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10.1016/j.ijpara.2003.12.009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701" w:right="1701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-340994</wp:posOffset>
          </wp:positionH>
          <wp:positionV relativeFrom="paragraph">
            <wp:posOffset>-22859</wp:posOffset>
          </wp:positionV>
          <wp:extent cx="6388735" cy="1280160"/>
          <wp:effectExtent b="0" l="0" r="0" t="0"/>
          <wp:wrapSquare wrapText="bothSides" distB="0" distT="0" distL="114300" distR="114300"/>
          <wp:docPr descr="Uma imagem contendo Forma&#10;&#10;O conteúdo gerado por IA pode estar incorreto." id="1" name="image1.png"/>
          <a:graphic>
            <a:graphicData uri="http://schemas.openxmlformats.org/drawingml/2006/picture">
              <pic:pic>
                <pic:nvPicPr>
                  <pic:cNvPr descr="Uma imagem contendo Forma&#10;&#10;O conteúdo gerado por IA pode estar incorreto." id="0" name="image1.png"/>
                  <pic:cNvPicPr preferRelativeResize="0"/>
                </pic:nvPicPr>
                <pic:blipFill>
                  <a:blip r:embed="rId1"/>
                  <a:srcRect b="19850" l="0" r="0" t="0"/>
                  <a:stretch>
                    <a:fillRect/>
                  </a:stretch>
                </pic:blipFill>
                <pic:spPr>
                  <a:xfrm>
                    <a:off x="0" y="0"/>
                    <a:ext cx="6388735" cy="1280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221-000391@aluno.unipac.br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