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5" w:before="25" w:line="240" w:lineRule="auto"/>
        <w:ind w:left="720" w:right="7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5" w:before="25" w:line="360" w:lineRule="auto"/>
        <w:ind w:left="720" w:right="720" w:firstLine="0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BARREIRAS DE ACESSO ÀS AÇÕES E SERVIÇOS DE SAÚDE MENTAL NA ATENÇÃO PRIMÁRIA: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REVISÃO DE LITERATURA</w:t>
      </w:r>
    </w:p>
    <w:p w:rsidR="00000000" w:rsidDel="00000000" w:rsidP="00000000" w:rsidRDefault="00000000" w:rsidRPr="00000000" w14:paraId="00000003">
      <w:pPr>
        <w:spacing w:after="25" w:before="25" w:line="240" w:lineRule="auto"/>
        <w:ind w:left="720" w:righ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6" w:before="26" w:line="360" w:lineRule="auto"/>
        <w:ind w:left="720" w:right="720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Juliana Rabe Gonçalves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Taís Rabe Gonçalves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Nicole Cleidiane Kinupp de Oliveira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Deison Alencar Lucietto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6" w:before="26" w:line="360" w:lineRule="auto"/>
        <w:ind w:left="720" w:right="7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0"/>
          <w:szCs w:val="1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Odontologia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Fluminense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UFF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Niterói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RJ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6" w:before="26" w:line="360" w:lineRule="auto"/>
        <w:ind w:left="720" w:right="7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0"/>
          <w:szCs w:val="10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Residente em Saúde Mental Infantojuvenil, Escola Superior de Ciências da Saúde (ESCS), Brasília, DF. </w:t>
      </w:r>
    </w:p>
    <w:p w:rsidR="00000000" w:rsidDel="00000000" w:rsidP="00000000" w:rsidRDefault="00000000" w:rsidRPr="00000000" w14:paraId="00000007">
      <w:pPr>
        <w:spacing w:after="26" w:before="26" w:line="360" w:lineRule="auto"/>
        <w:ind w:right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0"/>
          <w:szCs w:val="1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10"/>
          <w:szCs w:val="1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Mestranda em Saúde da Família, Universidade Federal Fluminense (UFF), Niterói, RJ. </w:t>
      </w:r>
    </w:p>
    <w:p w:rsidR="00000000" w:rsidDel="00000000" w:rsidP="00000000" w:rsidRDefault="00000000" w:rsidRPr="00000000" w14:paraId="00000008">
      <w:pPr>
        <w:spacing w:after="26" w:before="26" w:line="360" w:lineRule="auto"/>
        <w:ind w:right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0"/>
          <w:szCs w:val="1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Adjunto, Universidade Federal Fluminense (UFF), Niterói, RJ.</w:t>
      </w:r>
    </w:p>
    <w:p w:rsidR="00000000" w:rsidDel="00000000" w:rsidP="00000000" w:rsidRDefault="00000000" w:rsidRPr="00000000" w14:paraId="00000009">
      <w:pPr>
        <w:spacing w:after="26" w:before="26" w:line="360" w:lineRule="auto"/>
        <w:ind w:left="720" w:right="720" w:firstLine="0"/>
        <w:jc w:val="righ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6" w:before="26" w:line="360" w:lineRule="auto"/>
        <w:ind w:left="720" w:right="720" w:firstLine="0"/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julianarabee@gmail.com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6" w:before="26" w:line="278.00000000000006" w:lineRule="auto"/>
        <w:ind w:left="440" w:right="720" w:hanging="22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6" w:before="26" w:line="278.00000000000006" w:lineRule="auto"/>
        <w:ind w:left="440" w:right="720" w:hanging="22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RESUMO</w:t>
      </w:r>
    </w:p>
    <w:p w:rsidR="00000000" w:rsidDel="00000000" w:rsidP="00000000" w:rsidRDefault="00000000" w:rsidRPr="00000000" w14:paraId="0000000D">
      <w:pPr>
        <w:spacing w:after="26" w:before="26" w:line="360" w:lineRule="auto"/>
        <w:ind w:left="220" w:right="720" w:hanging="2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revisão de literatura teve como objetivo identificar as barreiras de acesso às ações e serviços de saúde mental na Atenção Primária. A busca foi realizada na Biblioteca Virtual em Saúde entre agosto e setembro de 2023 a partir dos termos (e sinônimos): Atenção primária à saúde, Saúde Mental, Barreiras de Acesso, Percepções dos Profissionais da Saúde. Foram incluídos estudos publicados a partir de 2019 e com texto completo disponível. Das 267 publicações localizadas, após aplicação de critérios e leitura dos títulos/resumos, 20 textos foram analisados. As principais barreiras presentes foram a falta de capacitação profissional, o estigma do transtorno mental, o subfinanciamento, a medicalização do tratamento, a falta de integração e de matriciamento. É preciso ampliar e qualificar o acesso às ações de saúde mental na atenção primária, de modo a garantir os princípios do SUS. </w:t>
      </w:r>
    </w:p>
    <w:p w:rsidR="00000000" w:rsidDel="00000000" w:rsidP="00000000" w:rsidRDefault="00000000" w:rsidRPr="00000000" w14:paraId="0000000F">
      <w:pPr>
        <w:tabs>
          <w:tab w:val="left" w:leader="none" w:pos="904"/>
          <w:tab w:val="left" w:leader="none" w:pos="1656"/>
          <w:tab w:val="left" w:leader="none" w:pos="2160"/>
          <w:tab w:val="left" w:leader="none" w:pos="2984"/>
          <w:tab w:val="left" w:leader="none" w:pos="3954"/>
          <w:tab w:val="left" w:leader="none" w:pos="4418"/>
          <w:tab w:val="left" w:leader="none" w:pos="5574"/>
          <w:tab w:val="left" w:leader="none" w:pos="6534"/>
        </w:tabs>
        <w:spacing w:after="26" w:before="26" w:line="360" w:lineRule="auto"/>
        <w:ind w:right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5" w:before="25" w:line="360" w:lineRule="auto"/>
        <w:ind w:left="720" w:right="720" w:firstLine="0"/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INTRODUÇÃO </w:t>
      </w:r>
    </w:p>
    <w:p w:rsidR="00000000" w:rsidDel="00000000" w:rsidP="00000000" w:rsidRDefault="00000000" w:rsidRPr="00000000" w14:paraId="00000011">
      <w:pPr>
        <w:spacing w:after="25" w:before="25" w:line="360" w:lineRule="auto"/>
        <w:ind w:left="720" w:right="72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Atenção Primária à Saúde (APS) é considerada o primeiro nível de atenção em saúde, sendo caracterizada por diferentes ações de saúde, individuais e coletivas, que envolvem promoção e proteção da saúde, prevenção de doenças, diagnóstico, tratamento, reabilitação, redução de danos e cuidados paliativos, com o objetivo de desenvolver atenção integral à saúde da população (Brasil, 2017). Como forma de aprimorar a atenção à saúde no SUS, foi criado, em 1994, o Programa de Saúde da Família, hoje conhecido como a Estratégia Saúde da Família (ESF). Espera-se que este modelo fomente a reorganização e o fortalecimento da APS enquanto nível preferencial de acesso ao sistema (Brasil, 2017). Neste processo, os profissionais que atuam nas equipes da ESF, bem como nos Núcleos de Apoio à Saúde da Família (NASF) devem estar atentos às “necessidades de saúde”, visando à atenção qualificada das famílias acompanhadas (Cecílio, 2001).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complexidade das necessidades de saúde sob responsabilidade das ESF ficou bastante evidenciada no período mais crítico da pandemia de covid-19, quando o gerenciamento da crise sanitária no país provocou a descontinuidade do cuidado das doenças crônicas, acrescido de alterações em saúde mental (SM) (Noal; Passos; Freitas, 2020). A situação vivenciada neste momento demonstrou a necessidade de reavaliar a assistência prestada (OPAS, 2021), chamando a atenção para a importância do acesso ao cuidado em SM.   </w:t>
      </w:r>
    </w:p>
    <w:p w:rsidR="00000000" w:rsidDel="00000000" w:rsidP="00000000" w:rsidRDefault="00000000" w:rsidRPr="00000000" w14:paraId="0000001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Aspectos geográficos, arquitetônicos, de transporte, financeiros, funcionais, culturais e outros podem influenciar no acesso aos serviços de saúde (Damaceno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2016; Oliveira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2019). Estes fatores podem se tornar barreiras de acesso, inclusive para a SM, impossibilitando que os serviços atendam adequadamente as necessidades de saúde. Considerando o exposto, este estudo tem como objetivo identificar as barreiras de acesso às ações e serviços de SM na APS descritas na literatura científica.</w:t>
      </w:r>
    </w:p>
    <w:p w:rsidR="00000000" w:rsidDel="00000000" w:rsidP="00000000" w:rsidRDefault="00000000" w:rsidRPr="00000000" w14:paraId="0000001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5" w:before="25" w:line="360" w:lineRule="auto"/>
        <w:ind w:left="720" w:right="720" w:firstLine="0"/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METODOLOGIA </w:t>
      </w:r>
    </w:p>
    <w:p w:rsidR="00000000" w:rsidDel="00000000" w:rsidP="00000000" w:rsidRDefault="00000000" w:rsidRPr="00000000" w14:paraId="00000017">
      <w:pPr>
        <w:spacing w:after="25" w:before="25" w:line="360" w:lineRule="auto"/>
        <w:ind w:left="720" w:right="72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47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Tratou-se de revisão de literatura realizada entre os meses de agosto e setembro de 2023 na Biblioteca Virtual em Saúde (BVS). Após identificação descritores e seus sinônimos foi utilizada a seguinte estratégia de busca para a recuperação de informações: “Atenção Primária à Saúde” AND “Saúde Mental”; “Atenção Primária à Saúde” AND “Barreiras de Acesso” AND “Saúde Mental”; “Atenção Primária” AND “Percepções dos Profissionais” AND “Saúde Mental”; “Barreiras de Acesso” AND “Saúde Mental”; “Atenção Primária à Saúde” AND “Saúde Mental”. Foram incluídos estudos publicados a partir de 2019 e com texto completo disponível. Publicações repetidas na mesma base ou em bases distintas foram excluídas.</w:t>
      </w:r>
    </w:p>
    <w:p w:rsidR="00000000" w:rsidDel="00000000" w:rsidP="00000000" w:rsidRDefault="00000000" w:rsidRPr="00000000" w14:paraId="00000019">
      <w:pPr>
        <w:spacing w:after="25" w:before="25" w:line="360" w:lineRule="auto"/>
        <w:ind w:righ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5" w:before="25" w:line="360" w:lineRule="auto"/>
        <w:ind w:left="720" w:right="720" w:firstLine="0"/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1B">
      <w:pPr>
        <w:spacing w:after="25" w:before="25" w:line="360" w:lineRule="auto"/>
        <w:ind w:left="720" w:right="72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Das 267 publicações localizadas, 168 foram excluídas após aplicação dos critérios de inclusão/exclusão. Das 99 publicações, após a leitura dos títulos e resumos, 20 tiveram seu texto analisado na íntegra. Identificou-se, na literatura mapeada, limitado acesso a serviços de SM na APS, com destaque para as barreiras funcionais e culturais. Os principais achados apontam para o seguinte sentido: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estudo de Cardoso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(2021) mostrou que poucos profissionais tinham pós-graduação em SM. Outros estudos relacionam esta falta de capacitação profissional tanto como empecilho para os atendimentos quanto para a insegurança dos profissionais (Botega, 2020; Calheiros et al., 2022; Cardoso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2021; Coelho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2021; Gama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2021; Harmuch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2022; Kuse; Taschetto; Cembranel, 2022; Maia Gusmão et al., 2022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Esta situação influencia na prática corriqueira de encaminhar os pacientes para especialistas. A presença de estigmas acerca do transtorno mental mostrou-se frequente entre os estudos, o que pode estar relacionado com a falta de entendimento do assunto (Cardoso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2021; Harmuch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2022; Lima, 2021a; Lima, 2021b; Rosa; Lima; Peres, 2021; Santos; Bosi, 2021).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47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Em relação ao tratamento dos pacientes, Harmuch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(2022) mostrou que o uso de medicamentos controlados foi o principal recurso utilizado e pareceu existir baixo conhecimento sobre outras alternativas, uma vez que o modelo biomédico ainda está fortemente presente. Contudo, alguns estudos combatem esse modelo e buscam formas de atendimento mais humanizado, como o desenvolvimento do espaço “Bem Viver”, que contava com rodas de conversa, músicas e acolhimento (Cangussu; Guedes, 2022). 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47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falta de suporte na gestão e a comunicação ineficaz entre os serviços de saúde também prejudica o acesso às ações e serviços de SM, como o processo de referência e contrarreferência burocratizado entre as equipes das UBS e o serviço especializado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Cardoso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., 2021)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 que prejudica a continuidade do cuidado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Coelho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., 2021; Gama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., 2021). 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47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 xml:space="preserve">Botega (2020) citou diversas barreiras de acesso no município de Porto Alegre/RS, como a localização da ESF no terceiro andar e o edifício não possuir elevadores, situação de violência que impedia a circulação de pessoas, instabilidade do sistema e-SUS, o que impede acesso ao prontuário eletrônico e atendimento por demanda espontânea e horário limitado para distribuição das fichas. </w:t>
      </w:r>
    </w:p>
    <w:p w:rsidR="00000000" w:rsidDel="00000000" w:rsidP="00000000" w:rsidRDefault="00000000" w:rsidRPr="00000000" w14:paraId="00000021">
      <w:pPr>
        <w:spacing w:after="25" w:before="25" w:line="360" w:lineRule="auto"/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5" w:before="25" w:line="360" w:lineRule="auto"/>
        <w:ind w:left="720" w:right="720" w:firstLine="0"/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CONSIDERAÇÕES FINAIS </w:t>
      </w:r>
    </w:p>
    <w:p w:rsidR="00000000" w:rsidDel="00000000" w:rsidP="00000000" w:rsidRDefault="00000000" w:rsidRPr="00000000" w14:paraId="00000023">
      <w:pPr>
        <w:spacing w:after="25" w:before="25" w:line="360" w:lineRule="auto"/>
        <w:ind w:left="720" w:right="72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360" w:lineRule="auto"/>
        <w:ind w:firstLine="47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Esta revisão identificou limitado acesso a ações e serviços de SM na APS. Barreiras funcionais, econômicas, geográficas e culturais dificultam o atendimento de pessoas em sofrimento psíquico. Essa população encontra-se vulnerável e torna-se necessário ampliar e qualificar o acesso às ações de SM, atuando frente à falta de capacitação profissional, ao estigma do transtorno mental, ao subfinanciamento do SUS, à medicalização do tratamento e à falta de integração e de matriciamento na rede de saúde. </w:t>
      </w:r>
    </w:p>
    <w:p w:rsidR="00000000" w:rsidDel="00000000" w:rsidP="00000000" w:rsidRDefault="00000000" w:rsidRPr="00000000" w14:paraId="00000025">
      <w:pPr>
        <w:spacing w:after="25" w:before="25" w:line="360" w:lineRule="auto"/>
        <w:ind w:right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5" w:before="25" w:line="360" w:lineRule="auto"/>
        <w:ind w:left="720" w:righ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PRINCIPAIS REFERÊNCIAS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5" w:before="25" w:line="360" w:lineRule="auto"/>
        <w:ind w:left="72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BEZERRA, G. P.; MORENO NETO, J. L. Tecituras do cuidado: a Saúde Mental cartografada na Atenção Primária.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Interface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(Botucatu),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25,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e200544, 2021.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BOTEGA, M. 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Vulnerabilidade programática: avaliação participativa do cuidado em saúde mental em uma estratégia de saúde da família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2020. 271 f. Dissertação (Mestrado em Enfermagem) - Escola de Enfermagem, Universidade Federal do Rio Grande do Sul, Porto Alegre, 2020. 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BRASIL, M. S. Portaria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2.436, de 21de setembro de 2017. Aprova a Política Nacional de Atenção Básica.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Diário Oficial da União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Seção 1, Brasília/DF, v. 183, n. 2436, p. 68–76, 2017. Disponível em: https://bvsms.saude.gov.br/bvs/saudelegis/gm/2017/prt2436_22_09_2017.html. Acesso em: 5 fev. 2024.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CANGUSSU, Y. E. S.; GUEDES, L. Alcances Terapêuticos e Matriciais: Uma Experiência de Grupo de Saúde Mental na Atenção Básica.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Psicol., Divers.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n. 1, e4046, 2022. </w:t>
      </w:r>
    </w:p>
    <w:sectPr>
      <w:footerReference r:id="rId7" w:type="default"/>
      <w:pgSz w:h="16838" w:w="11904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Pr>
      <w:lang w:val="pt-B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0" w:before="480"/>
      <w:outlineLvl w:val="0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1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2"/>
    </w:pPr>
    <w:rPr>
      <w:rFonts w:ascii="Calibri" w:cs="Calibri" w:eastAsia="Calibri" w:hAnsi="Calibri"/>
      <w:b w:val="1"/>
      <w:color w:val="4f81bd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3"/>
    </w:pPr>
    <w:rPr>
      <w:rFonts w:ascii="Calibri" w:cs="Calibri" w:eastAsia="Calibri" w:hAnsi="Calibri"/>
      <w:b w:val="1"/>
      <w:i w:val="1"/>
      <w:color w:val="4f81bd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4"/>
    </w:pPr>
    <w:rPr>
      <w:rFonts w:ascii="Calibri" w:cs="Calibri" w:eastAsia="Calibri" w:hAnsi="Calibri"/>
      <w:color w:val="243f6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5"/>
    </w:pPr>
    <w:rPr>
      <w:rFonts w:ascii="Calibri" w:cs="Calibri" w:eastAsia="Calibri" w:hAnsi="Calibri"/>
      <w:i w:val="1"/>
      <w:color w:val="243f6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rPr>
      <w:rFonts w:ascii="Calibri" w:cs="Calibri" w:eastAsia="Calibri" w:hAnsi="Calibri"/>
      <w:i w:val="1"/>
      <w:color w:val="4f81bd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A308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A308B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A308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308B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308B1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BHJceJr5rXw1LGtaeoMGHnQSkA==">CgMxLjA4AHIhMTFreWx2bnprS2h3eXdObl9XNWJoSlJaWnUxRENraXdV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2024-02-29T11:19:00Z</dcterms:created>
</cp:coreProperties>
</file>