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E4AA" w14:textId="77777777" w:rsidR="00063E09" w:rsidRDefault="00063E09"/>
    <w:p w14:paraId="3F481E3B" w14:textId="77777777" w:rsidR="00063E09" w:rsidRDefault="00063E09"/>
    <w:p w14:paraId="7A7CE4AB" w14:textId="6BE2F0D6" w:rsidR="00063E09" w:rsidRDefault="00437876">
      <w:r>
        <w:pict w14:anchorId="1DBB5104">
          <v:rect id="_x0000_i1025" style="width:0;height:1.5pt" o:hralign="center" o:hrstd="t" o:hr="t" fillcolor="#a0a0a0" stroked="f"/>
        </w:pict>
      </w:r>
    </w:p>
    <w:p w14:paraId="2D42088F" w14:textId="215C22D5" w:rsidR="00063E09" w:rsidRPr="00AC7B6C" w:rsidRDefault="009E47A8" w:rsidP="00AC7B6C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MONSTRINHOS DA DIVISÃO</w:t>
      </w:r>
      <w:r w:rsidR="00146D28">
        <w:t xml:space="preserve"> </w:t>
      </w:r>
    </w:p>
    <w:bookmarkEnd w:id="0"/>
    <w:p w14:paraId="594F2E37" w14:textId="3F5D7545" w:rsidR="00063E09" w:rsidRDefault="009E47A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Maria Caroline Silveira</w:t>
      </w:r>
    </w:p>
    <w:p w14:paraId="4DACCCC5" w14:textId="22E65002" w:rsidR="00063E09" w:rsidRDefault="008B09A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do Estado de Santa Catarina</w:t>
      </w:r>
    </w:p>
    <w:p w14:paraId="793884C5" w14:textId="112FD3FB" w:rsidR="00063E09" w:rsidRDefault="008B09AC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profmariacaroline@gmail.com</w:t>
      </w:r>
    </w:p>
    <w:p w14:paraId="084A664B" w14:textId="77777777" w:rsidR="00063E09" w:rsidRDefault="00063E09">
      <w:pPr>
        <w:spacing w:line="240" w:lineRule="auto"/>
        <w:jc w:val="right"/>
        <w:rPr>
          <w:sz w:val="24"/>
          <w:szCs w:val="24"/>
        </w:rPr>
      </w:pPr>
    </w:p>
    <w:p w14:paraId="2942EDF1" w14:textId="07D5585B" w:rsidR="00063E09" w:rsidRDefault="009E47A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Luciane Mulazani dos Santos</w:t>
      </w:r>
    </w:p>
    <w:p w14:paraId="7F530E4C" w14:textId="39368F32" w:rsidR="008B09AC" w:rsidRDefault="008B09AC" w:rsidP="008B09A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do Estado de Santa Catarina</w:t>
      </w:r>
    </w:p>
    <w:p w14:paraId="5B579F08" w14:textId="77777777" w:rsidR="008B09AC" w:rsidRPr="008B09AC" w:rsidRDefault="008B09AC" w:rsidP="008B09AC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B09AC">
        <w:rPr>
          <w:rStyle w:val="go"/>
          <w:rFonts w:ascii="Arial" w:hAnsi="Arial" w:cs="Arial"/>
          <w:sz w:val="24"/>
          <w:szCs w:val="24"/>
        </w:rPr>
        <w:t>luciane.mulazani@udesc.br</w:t>
      </w:r>
    </w:p>
    <w:p w14:paraId="17CC544A" w14:textId="77777777" w:rsidR="009E47A8" w:rsidRPr="009E47A8" w:rsidRDefault="009E47A8" w:rsidP="008B09AC">
      <w:pPr>
        <w:spacing w:after="60" w:line="240" w:lineRule="auto"/>
        <w:rPr>
          <w:sz w:val="24"/>
          <w:szCs w:val="24"/>
        </w:rPr>
      </w:pPr>
    </w:p>
    <w:p w14:paraId="2F222912" w14:textId="0BD55A23" w:rsidR="009E47A8" w:rsidRDefault="009E47A8" w:rsidP="009E47A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trabalho apresenta uma experiência pedagógica de </w:t>
      </w:r>
      <w:r w:rsidR="00655F47">
        <w:rPr>
          <w:sz w:val="24"/>
          <w:szCs w:val="24"/>
        </w:rPr>
        <w:t xml:space="preserve">criação </w:t>
      </w:r>
      <w:r>
        <w:rPr>
          <w:sz w:val="24"/>
          <w:szCs w:val="24"/>
        </w:rPr>
        <w:t xml:space="preserve">e </w:t>
      </w:r>
      <w:r w:rsidR="00655F47">
        <w:rPr>
          <w:sz w:val="24"/>
          <w:szCs w:val="24"/>
        </w:rPr>
        <w:t>implementação de um recurso didático</w:t>
      </w:r>
      <w:r w:rsidR="00D65C27">
        <w:rPr>
          <w:sz w:val="24"/>
          <w:szCs w:val="24"/>
        </w:rPr>
        <w:t xml:space="preserve"> nos Anos Iniciais do Ensino Fundamental, junto a</w:t>
      </w:r>
      <w:r w:rsidR="00655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 turma de alfabetização, para </w:t>
      </w:r>
      <w:r w:rsidR="00D65C27">
        <w:rPr>
          <w:sz w:val="24"/>
          <w:szCs w:val="24"/>
        </w:rPr>
        <w:t>o ensino d</w:t>
      </w:r>
      <w:r>
        <w:rPr>
          <w:sz w:val="24"/>
          <w:szCs w:val="24"/>
        </w:rPr>
        <w:t>as primeiras noções sobre as quatro operações</w:t>
      </w:r>
      <w:r w:rsidR="00D65C27">
        <w:rPr>
          <w:sz w:val="24"/>
          <w:szCs w:val="24"/>
        </w:rPr>
        <w:t xml:space="preserve"> matemáticas</w:t>
      </w:r>
      <w:r>
        <w:rPr>
          <w:sz w:val="24"/>
          <w:szCs w:val="24"/>
        </w:rPr>
        <w:t xml:space="preserve">, a partir da Metodologia de Resolução de Problemas.  A ideia de criar esse recurso didático surgiu </w:t>
      </w:r>
      <w:r w:rsidR="00631A43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necessidade de </w:t>
      </w:r>
      <w:r w:rsidR="00337985">
        <w:rPr>
          <w:sz w:val="24"/>
          <w:szCs w:val="24"/>
        </w:rPr>
        <w:t xml:space="preserve">proporcionar aos estudantes </w:t>
      </w:r>
      <w:r>
        <w:rPr>
          <w:sz w:val="24"/>
          <w:szCs w:val="24"/>
        </w:rPr>
        <w:t>situações lúdicas de aprendizagem e</w:t>
      </w:r>
      <w:r w:rsidR="00631A43">
        <w:rPr>
          <w:sz w:val="24"/>
          <w:szCs w:val="24"/>
        </w:rPr>
        <w:t>,</w:t>
      </w:r>
      <w:r>
        <w:rPr>
          <w:sz w:val="24"/>
          <w:szCs w:val="24"/>
        </w:rPr>
        <w:t xml:space="preserve"> ao mesmo </w:t>
      </w:r>
      <w:r w:rsidR="00631A43">
        <w:rPr>
          <w:sz w:val="24"/>
          <w:szCs w:val="24"/>
        </w:rPr>
        <w:t xml:space="preserve">tempo, </w:t>
      </w:r>
      <w:r w:rsidR="00337985">
        <w:rPr>
          <w:sz w:val="24"/>
          <w:szCs w:val="24"/>
        </w:rPr>
        <w:t>promover</w:t>
      </w:r>
      <w:r>
        <w:rPr>
          <w:sz w:val="24"/>
          <w:szCs w:val="24"/>
        </w:rPr>
        <w:t xml:space="preserve"> o desenvolvimento </w:t>
      </w:r>
      <w:r w:rsidR="00162630">
        <w:rPr>
          <w:sz w:val="24"/>
          <w:szCs w:val="24"/>
        </w:rPr>
        <w:t xml:space="preserve">de </w:t>
      </w:r>
      <w:r>
        <w:rPr>
          <w:sz w:val="24"/>
          <w:szCs w:val="24"/>
        </w:rPr>
        <w:t>conceitos</w:t>
      </w:r>
      <w:r w:rsidR="00162630">
        <w:rPr>
          <w:sz w:val="24"/>
          <w:szCs w:val="24"/>
        </w:rPr>
        <w:t xml:space="preserve"> e </w:t>
      </w:r>
      <w:r>
        <w:rPr>
          <w:sz w:val="24"/>
          <w:szCs w:val="24"/>
        </w:rPr>
        <w:t>habilidades matemáticas</w:t>
      </w:r>
      <w:r w:rsidR="00162630">
        <w:rPr>
          <w:sz w:val="24"/>
          <w:szCs w:val="24"/>
        </w:rPr>
        <w:t>, tais como</w:t>
      </w:r>
      <w:r>
        <w:rPr>
          <w:sz w:val="24"/>
          <w:szCs w:val="24"/>
        </w:rPr>
        <w:t xml:space="preserve"> </w:t>
      </w:r>
      <w:r w:rsidRPr="007F26AE">
        <w:rPr>
          <w:sz w:val="24"/>
          <w:szCs w:val="24"/>
        </w:rPr>
        <w:t>juntar, acrescentar, separar, retirar</w:t>
      </w:r>
      <w:r>
        <w:rPr>
          <w:sz w:val="24"/>
          <w:szCs w:val="24"/>
        </w:rPr>
        <w:t>, entre outros.</w:t>
      </w:r>
    </w:p>
    <w:p w14:paraId="4C8E634B" w14:textId="07BEFEFD" w:rsidR="009E47A8" w:rsidRDefault="009E47A8" w:rsidP="009E47A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 </w:t>
      </w:r>
      <w:r w:rsidR="002725A6">
        <w:rPr>
          <w:sz w:val="24"/>
          <w:szCs w:val="24"/>
        </w:rPr>
        <w:t>prática pedagógica</w:t>
      </w:r>
      <w:r>
        <w:rPr>
          <w:sz w:val="24"/>
          <w:szCs w:val="24"/>
        </w:rPr>
        <w:t xml:space="preserve"> foi vivenciada com uma turma de 1º ano do Ensino Fundamental, em uma escola da Rede Estadual de </w:t>
      </w:r>
      <w:r w:rsidR="0007544E">
        <w:rPr>
          <w:sz w:val="24"/>
          <w:szCs w:val="24"/>
        </w:rPr>
        <w:t xml:space="preserve">Ensino </w:t>
      </w:r>
      <w:r>
        <w:rPr>
          <w:sz w:val="24"/>
          <w:szCs w:val="24"/>
        </w:rPr>
        <w:t xml:space="preserve">de Santa Catarina, localizada na cidade de Joinville/SC. Participaram da experiência 32 crianças com faixa etária entre 6 e 7 anos, incluindo um aluno diagnosticado com baixa visão e paralisia cerebral. </w:t>
      </w:r>
    </w:p>
    <w:p w14:paraId="49C5FAF8" w14:textId="0465417B" w:rsidR="0076609A" w:rsidRPr="00AC7B6C" w:rsidRDefault="00404E45" w:rsidP="00AC7B6C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O recurso didático foi nomeado “Monstrinhos da divisão” e </w:t>
      </w:r>
      <w:r w:rsidR="00AC7B6C">
        <w:rPr>
          <w:sz w:val="24"/>
          <w:szCs w:val="24"/>
        </w:rPr>
        <w:t>a</w:t>
      </w:r>
      <w:r w:rsidR="00FA3347">
        <w:rPr>
          <w:sz w:val="24"/>
          <w:szCs w:val="24"/>
        </w:rPr>
        <w:t xml:space="preserve"> temática lúdica foi escolhida por ser de interesse das crianças e </w:t>
      </w:r>
      <w:r w:rsidR="00071635">
        <w:rPr>
          <w:sz w:val="24"/>
          <w:szCs w:val="24"/>
        </w:rPr>
        <w:t xml:space="preserve">a partir dela foi criado o enredo de uma </w:t>
      </w:r>
      <w:r w:rsidR="0076609A">
        <w:rPr>
          <w:sz w:val="24"/>
          <w:szCs w:val="24"/>
        </w:rPr>
        <w:t xml:space="preserve">situação-problema inicial, </w:t>
      </w:r>
      <w:r w:rsidR="004A21AC">
        <w:rPr>
          <w:sz w:val="24"/>
          <w:szCs w:val="24"/>
        </w:rPr>
        <w:t>a qual foi disparadora das demais que</w:t>
      </w:r>
      <w:r w:rsidR="007C0E76">
        <w:rPr>
          <w:sz w:val="24"/>
          <w:szCs w:val="24"/>
        </w:rPr>
        <w:t xml:space="preserve"> foram abordadas</w:t>
      </w:r>
      <w:r w:rsidR="0076609A">
        <w:rPr>
          <w:sz w:val="24"/>
          <w:szCs w:val="24"/>
        </w:rPr>
        <w:t xml:space="preserve"> ao longo das aulas. </w:t>
      </w:r>
      <w:r w:rsidR="001D714C">
        <w:rPr>
          <w:sz w:val="24"/>
          <w:szCs w:val="24"/>
        </w:rPr>
        <w:t xml:space="preserve">Na dinâmica de utilização do recurso didático “Monstrinhos da divisão”, </w:t>
      </w:r>
      <w:r w:rsidR="00822296">
        <w:rPr>
          <w:sz w:val="24"/>
          <w:szCs w:val="24"/>
        </w:rPr>
        <w:t xml:space="preserve">segundo seu enredo, </w:t>
      </w:r>
      <w:r w:rsidR="0076609A">
        <w:rPr>
          <w:sz w:val="24"/>
          <w:szCs w:val="24"/>
        </w:rPr>
        <w:t xml:space="preserve">cada criança </w:t>
      </w:r>
      <w:r w:rsidR="00320917">
        <w:rPr>
          <w:sz w:val="24"/>
          <w:szCs w:val="24"/>
        </w:rPr>
        <w:t>foi responsável por cuidar</w:t>
      </w:r>
      <w:r w:rsidR="001D4825">
        <w:rPr>
          <w:sz w:val="24"/>
          <w:szCs w:val="24"/>
        </w:rPr>
        <w:t xml:space="preserve"> e alimentar </w:t>
      </w:r>
      <w:r w:rsidR="0076609A">
        <w:rPr>
          <w:sz w:val="24"/>
          <w:szCs w:val="24"/>
        </w:rPr>
        <w:t>uma família de monstrinhos</w:t>
      </w:r>
      <w:r w:rsidR="001D4825">
        <w:rPr>
          <w:sz w:val="24"/>
          <w:szCs w:val="24"/>
        </w:rPr>
        <w:t xml:space="preserve">. </w:t>
      </w:r>
      <w:r w:rsidR="002F3989">
        <w:rPr>
          <w:sz w:val="24"/>
          <w:szCs w:val="24"/>
        </w:rPr>
        <w:t xml:space="preserve">Por isso, </w:t>
      </w:r>
      <w:r w:rsidR="00EB35D1">
        <w:rPr>
          <w:sz w:val="24"/>
          <w:szCs w:val="24"/>
        </w:rPr>
        <w:t xml:space="preserve">o </w:t>
      </w:r>
      <w:r w:rsidR="003C7532">
        <w:rPr>
          <w:sz w:val="24"/>
          <w:szCs w:val="24"/>
        </w:rPr>
        <w:t>material inclui um formato que representa a boca do monstrinho para coletar a “comida”</w:t>
      </w:r>
      <w:r w:rsidR="00BA78F4">
        <w:rPr>
          <w:sz w:val="24"/>
          <w:szCs w:val="24"/>
        </w:rPr>
        <w:t>.</w:t>
      </w:r>
      <w:r w:rsidR="003C7532">
        <w:rPr>
          <w:sz w:val="24"/>
          <w:szCs w:val="24"/>
        </w:rPr>
        <w:t xml:space="preserve"> </w:t>
      </w:r>
      <w:r w:rsidR="00AC7B6C">
        <w:rPr>
          <w:sz w:val="20"/>
          <w:szCs w:val="20"/>
        </w:rPr>
        <w:t xml:space="preserve"> </w:t>
      </w:r>
      <w:r w:rsidR="00BA78F4">
        <w:rPr>
          <w:sz w:val="24"/>
          <w:szCs w:val="24"/>
        </w:rPr>
        <w:t xml:space="preserve">Segundo a situação-problema inicial, a </w:t>
      </w:r>
      <w:r w:rsidR="0076609A">
        <w:rPr>
          <w:sz w:val="24"/>
          <w:szCs w:val="24"/>
        </w:rPr>
        <w:t>família</w:t>
      </w:r>
      <w:r w:rsidR="00BA78F4">
        <w:rPr>
          <w:sz w:val="24"/>
          <w:szCs w:val="24"/>
        </w:rPr>
        <w:t xml:space="preserve"> de monstrinhos costuma </w:t>
      </w:r>
      <w:r w:rsidR="0076609A">
        <w:rPr>
          <w:sz w:val="24"/>
          <w:szCs w:val="24"/>
        </w:rPr>
        <w:t>divid</w:t>
      </w:r>
      <w:r w:rsidR="00BA78F4">
        <w:rPr>
          <w:sz w:val="24"/>
          <w:szCs w:val="24"/>
        </w:rPr>
        <w:t>ir</w:t>
      </w:r>
      <w:r w:rsidR="0076609A">
        <w:rPr>
          <w:sz w:val="24"/>
          <w:szCs w:val="24"/>
        </w:rPr>
        <w:t xml:space="preserve"> </w:t>
      </w:r>
      <w:r w:rsidR="002D0FD5">
        <w:rPr>
          <w:sz w:val="24"/>
          <w:szCs w:val="24"/>
        </w:rPr>
        <w:t xml:space="preserve">tudo o que tem, </w:t>
      </w:r>
      <w:r w:rsidR="00BA78F4">
        <w:rPr>
          <w:sz w:val="24"/>
          <w:szCs w:val="24"/>
        </w:rPr>
        <w:t>em partes iguais</w:t>
      </w:r>
      <w:r w:rsidR="0076609A">
        <w:rPr>
          <w:sz w:val="24"/>
          <w:szCs w:val="24"/>
        </w:rPr>
        <w:t xml:space="preserve">. A partir desse </w:t>
      </w:r>
      <w:r w:rsidR="0076609A">
        <w:rPr>
          <w:sz w:val="24"/>
          <w:szCs w:val="24"/>
        </w:rPr>
        <w:lastRenderedPageBreak/>
        <w:t xml:space="preserve">problema gerador, </w:t>
      </w:r>
      <w:r w:rsidR="0092065D">
        <w:rPr>
          <w:sz w:val="24"/>
          <w:szCs w:val="24"/>
        </w:rPr>
        <w:t xml:space="preserve">no decorrer das aulas </w:t>
      </w:r>
      <w:r w:rsidR="008C259F">
        <w:rPr>
          <w:sz w:val="24"/>
          <w:szCs w:val="24"/>
        </w:rPr>
        <w:t xml:space="preserve">os estudantes foram apresentados a </w:t>
      </w:r>
      <w:r w:rsidR="002D0FD5">
        <w:rPr>
          <w:sz w:val="24"/>
          <w:szCs w:val="24"/>
        </w:rPr>
        <w:t xml:space="preserve">outras </w:t>
      </w:r>
      <w:r w:rsidR="0076609A">
        <w:rPr>
          <w:sz w:val="24"/>
          <w:szCs w:val="24"/>
        </w:rPr>
        <w:t>situações-problemas, denominadas de desafios, relacionad</w:t>
      </w:r>
      <w:r w:rsidR="008C259F">
        <w:rPr>
          <w:sz w:val="24"/>
          <w:szCs w:val="24"/>
        </w:rPr>
        <w:t>o</w:t>
      </w:r>
      <w:r w:rsidR="0076609A">
        <w:rPr>
          <w:sz w:val="24"/>
          <w:szCs w:val="24"/>
        </w:rPr>
        <w:t xml:space="preserve">s </w:t>
      </w:r>
      <w:r w:rsidR="0092065D">
        <w:rPr>
          <w:sz w:val="24"/>
          <w:szCs w:val="24"/>
        </w:rPr>
        <w:t xml:space="preserve">às </w:t>
      </w:r>
      <w:r w:rsidR="0076609A">
        <w:rPr>
          <w:sz w:val="24"/>
          <w:szCs w:val="24"/>
        </w:rPr>
        <w:t>quatro operações</w:t>
      </w:r>
      <w:r w:rsidR="00652C59">
        <w:rPr>
          <w:sz w:val="24"/>
          <w:szCs w:val="24"/>
        </w:rPr>
        <w:t>.</w:t>
      </w:r>
      <w:r w:rsidR="0076609A">
        <w:rPr>
          <w:sz w:val="24"/>
          <w:szCs w:val="24"/>
        </w:rPr>
        <w:t xml:space="preserve"> </w:t>
      </w:r>
    </w:p>
    <w:p w14:paraId="60F98C2B" w14:textId="2E607F84" w:rsidR="00816BA6" w:rsidRPr="00AC7B6C" w:rsidRDefault="00816BA6" w:rsidP="00AC7B6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A resolução dos problemas foi realizada de forma cooperativa entre a turma e a professora, privilegiando e valorizando o conhecimento prévio das crianças. As </w:t>
      </w:r>
      <w:r w:rsidRPr="00410FD3">
        <w:rPr>
          <w:rFonts w:ascii="Arial" w:hAnsi="Arial" w:cs="Arial"/>
          <w:sz w:val="24"/>
          <w:szCs w:val="24"/>
        </w:rPr>
        <w:t xml:space="preserve">estratégias utilizadas </w:t>
      </w:r>
      <w:r>
        <w:rPr>
          <w:rFonts w:ascii="Arial" w:hAnsi="Arial" w:cs="Arial"/>
          <w:sz w:val="24"/>
          <w:szCs w:val="24"/>
        </w:rPr>
        <w:t>pela professora na utilização</w:t>
      </w:r>
      <w:r w:rsidRPr="00410FD3">
        <w:rPr>
          <w:rFonts w:ascii="Arial" w:hAnsi="Arial" w:cs="Arial"/>
          <w:sz w:val="24"/>
          <w:szCs w:val="24"/>
        </w:rPr>
        <w:t xml:space="preserve"> do recurso</w:t>
      </w:r>
      <w:r>
        <w:rPr>
          <w:rFonts w:ascii="Arial" w:hAnsi="Arial" w:cs="Arial"/>
          <w:sz w:val="24"/>
          <w:szCs w:val="24"/>
        </w:rPr>
        <w:t xml:space="preserve"> didático</w:t>
      </w:r>
      <w:r w:rsidRPr="00410FD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na dinâmica de</w:t>
      </w:r>
      <w:r w:rsidRPr="00410FD3">
        <w:rPr>
          <w:rFonts w:ascii="Arial" w:hAnsi="Arial" w:cs="Arial"/>
          <w:sz w:val="24"/>
          <w:szCs w:val="24"/>
        </w:rPr>
        <w:t xml:space="preserve"> resolução dos desafios, acontec</w:t>
      </w:r>
      <w:r>
        <w:rPr>
          <w:rFonts w:ascii="Arial" w:hAnsi="Arial" w:cs="Arial"/>
          <w:sz w:val="24"/>
          <w:szCs w:val="24"/>
        </w:rPr>
        <w:t>eram</w:t>
      </w:r>
      <w:r w:rsidRPr="00410FD3">
        <w:rPr>
          <w:rFonts w:ascii="Arial" w:hAnsi="Arial" w:cs="Arial"/>
          <w:sz w:val="24"/>
          <w:szCs w:val="24"/>
        </w:rPr>
        <w:t xml:space="preserve"> de acordo com as etapas </w:t>
      </w:r>
      <w:r>
        <w:rPr>
          <w:rFonts w:ascii="Arial" w:hAnsi="Arial" w:cs="Arial"/>
          <w:sz w:val="24"/>
          <w:szCs w:val="24"/>
        </w:rPr>
        <w:t xml:space="preserve">da Metodologia de Resolução de Problemas, baseadas em </w:t>
      </w:r>
      <w:proofErr w:type="spellStart"/>
      <w:r w:rsidRPr="00410FD3">
        <w:rPr>
          <w:rFonts w:ascii="Arial" w:hAnsi="Arial" w:cs="Arial"/>
          <w:sz w:val="24"/>
          <w:szCs w:val="24"/>
        </w:rPr>
        <w:t>Onuchic</w:t>
      </w:r>
      <w:proofErr w:type="spellEnd"/>
      <w:r w:rsidRPr="00410FD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10FD3">
        <w:rPr>
          <w:rFonts w:ascii="Arial" w:hAnsi="Arial" w:cs="Arial"/>
          <w:sz w:val="24"/>
          <w:szCs w:val="24"/>
        </w:rPr>
        <w:t>Allevato</w:t>
      </w:r>
      <w:proofErr w:type="spellEnd"/>
      <w:r w:rsidRPr="00410FD3">
        <w:rPr>
          <w:rFonts w:ascii="Arial" w:hAnsi="Arial" w:cs="Arial"/>
          <w:sz w:val="24"/>
          <w:szCs w:val="24"/>
        </w:rPr>
        <w:t xml:space="preserve"> (2014)</w:t>
      </w:r>
      <w:r>
        <w:rPr>
          <w:rFonts w:ascii="Arial" w:hAnsi="Arial" w:cs="Arial"/>
          <w:sz w:val="24"/>
          <w:szCs w:val="24"/>
        </w:rPr>
        <w:t>.</w:t>
      </w:r>
    </w:p>
    <w:p w14:paraId="2F371FA2" w14:textId="77777777" w:rsidR="0003722D" w:rsidRDefault="000C6A2A" w:rsidP="0003722D">
      <w:pPr>
        <w:spacing w:line="360" w:lineRule="auto"/>
        <w:ind w:firstLine="708"/>
        <w:jc w:val="both"/>
        <w:rPr>
          <w:sz w:val="24"/>
          <w:szCs w:val="24"/>
        </w:rPr>
      </w:pPr>
      <w:r w:rsidRPr="00C36502">
        <w:rPr>
          <w:sz w:val="24"/>
          <w:szCs w:val="24"/>
        </w:rPr>
        <w:t xml:space="preserve">As experiências com o recurso </w:t>
      </w:r>
      <w:r>
        <w:rPr>
          <w:sz w:val="24"/>
          <w:szCs w:val="24"/>
        </w:rPr>
        <w:t xml:space="preserve">didático </w:t>
      </w:r>
      <w:r w:rsidRPr="00C36502">
        <w:rPr>
          <w:sz w:val="24"/>
          <w:szCs w:val="24"/>
        </w:rPr>
        <w:t>trouxeram várias contribuições para o processo de ensino e aprendizagem</w:t>
      </w:r>
      <w:r>
        <w:rPr>
          <w:sz w:val="24"/>
          <w:szCs w:val="24"/>
        </w:rPr>
        <w:t xml:space="preserve"> e despertou nas crianças grande interesse pela participação na resolução dos desafios</w:t>
      </w:r>
      <w:r w:rsidRPr="00C36502">
        <w:rPr>
          <w:sz w:val="24"/>
          <w:szCs w:val="24"/>
        </w:rPr>
        <w:t>.</w:t>
      </w:r>
      <w:r>
        <w:rPr>
          <w:sz w:val="24"/>
          <w:szCs w:val="24"/>
        </w:rPr>
        <w:t xml:space="preserve"> Os desafios propostos foram como situações desencadeadoras de aprendizagem, possibilitando a construção do conhecimento de forma lúdica e cooperativa entre as crianças.</w:t>
      </w:r>
      <w:r w:rsidR="0003722D">
        <w:rPr>
          <w:sz w:val="24"/>
          <w:szCs w:val="24"/>
        </w:rPr>
        <w:t xml:space="preserve"> </w:t>
      </w:r>
    </w:p>
    <w:p w14:paraId="1440C83D" w14:textId="5D9D0558" w:rsidR="002936EB" w:rsidRPr="00C36502" w:rsidRDefault="002936EB" w:rsidP="000372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Percebeu-se que a dinâmica utilizada para a resolução dos desafios, de acordo com a Metodologia de Resolução de Problemas, colaborou </w:t>
      </w:r>
      <w:r w:rsidR="000C6A2A">
        <w:rPr>
          <w:sz w:val="24"/>
          <w:szCs w:val="24"/>
        </w:rPr>
        <w:t xml:space="preserve">para </w:t>
      </w:r>
      <w:r>
        <w:rPr>
          <w:sz w:val="24"/>
          <w:szCs w:val="24"/>
        </w:rPr>
        <w:t>a construção de conceitos matemáticos com intencionalidade e de forma contextualizada, com situações que podemos vivenciar em nosso cotidiano.</w:t>
      </w:r>
      <w:r w:rsidR="0003722D">
        <w:rPr>
          <w:sz w:val="24"/>
          <w:szCs w:val="24"/>
        </w:rPr>
        <w:t xml:space="preserve"> </w:t>
      </w:r>
      <w:r w:rsidRPr="00C36502">
        <w:rPr>
          <w:sz w:val="24"/>
          <w:szCs w:val="24"/>
        </w:rPr>
        <w:t>De acordo com os objetos do conhecimento previstos para o ciclo da alfabetização, especificamente para a turma do 1º ano, foi possível trabalhar nessa experiência: contagem, reconhecimento de números, estimativas, agrupamentos, leitura e comparação dos números, construção de fatos básicos</w:t>
      </w:r>
      <w:r>
        <w:rPr>
          <w:sz w:val="24"/>
          <w:szCs w:val="24"/>
        </w:rPr>
        <w:t xml:space="preserve"> envolvendo as quatro operações e</w:t>
      </w:r>
      <w:r w:rsidRPr="00C36502">
        <w:rPr>
          <w:sz w:val="24"/>
          <w:szCs w:val="24"/>
        </w:rPr>
        <w:t xml:space="preserve"> </w:t>
      </w:r>
      <w:r>
        <w:rPr>
          <w:sz w:val="24"/>
          <w:szCs w:val="24"/>
        </w:rPr>
        <w:t>situações-</w:t>
      </w:r>
      <w:r w:rsidRPr="00C36502">
        <w:rPr>
          <w:sz w:val="24"/>
          <w:szCs w:val="24"/>
        </w:rPr>
        <w:t>problemas envolvendo diferentes significados.</w:t>
      </w:r>
      <w:r w:rsidRPr="004D692E">
        <w:rPr>
          <w:sz w:val="24"/>
          <w:szCs w:val="24"/>
        </w:rPr>
        <w:t xml:space="preserve"> </w:t>
      </w:r>
    </w:p>
    <w:p w14:paraId="51902159" w14:textId="4708AE3D" w:rsidR="00AC7B6C" w:rsidRPr="00AC7B6C" w:rsidRDefault="002936EB" w:rsidP="008B09A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Um dos pontos relevantes e importante com a implementação do recurso com a turma, foi a possibilidade da participação efetiva do aluno de inclusão que pode ter acesso aos mesmos conteúdos, teve oportunidade de desenvolver as mesmas habilidades e da mesma maneira que todos os colegas da sala.</w:t>
      </w:r>
      <w:r w:rsidR="00AC7B6C">
        <w:rPr>
          <w:sz w:val="24"/>
          <w:szCs w:val="24"/>
        </w:rPr>
        <w:t xml:space="preserve"> </w:t>
      </w:r>
      <w:r w:rsidRPr="004D692E">
        <w:rPr>
          <w:sz w:val="24"/>
          <w:szCs w:val="24"/>
        </w:rPr>
        <w:t xml:space="preserve">Em geral, o recurso possibilitou </w:t>
      </w:r>
      <w:r>
        <w:rPr>
          <w:sz w:val="24"/>
          <w:szCs w:val="24"/>
        </w:rPr>
        <w:t>levar</w:t>
      </w:r>
      <w:r w:rsidRPr="004D692E">
        <w:rPr>
          <w:sz w:val="24"/>
          <w:szCs w:val="24"/>
        </w:rPr>
        <w:t xml:space="preserve"> os alunos </w:t>
      </w:r>
      <w:r>
        <w:rPr>
          <w:sz w:val="24"/>
          <w:szCs w:val="24"/>
        </w:rPr>
        <w:t>a</w:t>
      </w:r>
      <w:r w:rsidRPr="004D692E">
        <w:rPr>
          <w:sz w:val="24"/>
          <w:szCs w:val="24"/>
        </w:rPr>
        <w:t>o reconhecimento de que os conhecimentos matemáticos são fundamentais para a compreensão e a atuação no mundo</w:t>
      </w:r>
    </w:p>
    <w:p w14:paraId="3F220C9E" w14:textId="77777777" w:rsidR="008B09AC" w:rsidRDefault="008B09AC" w:rsidP="008B09AC">
      <w:pPr>
        <w:spacing w:line="360" w:lineRule="auto"/>
        <w:jc w:val="both"/>
        <w:rPr>
          <w:b/>
          <w:sz w:val="24"/>
          <w:szCs w:val="24"/>
        </w:rPr>
      </w:pPr>
    </w:p>
    <w:p w14:paraId="336105E2" w14:textId="46C643C1" w:rsidR="00063E09" w:rsidRDefault="00146D28" w:rsidP="008B09A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2C2B8C8A" w14:textId="33113859" w:rsidR="00063E09" w:rsidRPr="008B09AC" w:rsidRDefault="00EC22D9" w:rsidP="008B09AC">
      <w:pPr>
        <w:pStyle w:val="SemEspaamento"/>
        <w:rPr>
          <w:rFonts w:ascii="Arial" w:hAnsi="Arial" w:cs="Arial"/>
          <w:sz w:val="24"/>
          <w:szCs w:val="24"/>
        </w:rPr>
      </w:pPr>
      <w:r w:rsidRPr="00746199">
        <w:rPr>
          <w:rFonts w:ascii="Arial" w:hAnsi="Arial" w:cs="Arial"/>
          <w:sz w:val="24"/>
          <w:szCs w:val="24"/>
        </w:rPr>
        <w:t xml:space="preserve">ONUCHIC, Lourdes De La Rosa; ALLEVATO, Norma Suely Gomes; NOGUTI, Fabiane Cristina </w:t>
      </w:r>
      <w:proofErr w:type="spellStart"/>
      <w:r w:rsidRPr="00746199">
        <w:rPr>
          <w:rFonts w:ascii="Arial" w:hAnsi="Arial" w:cs="Arial"/>
          <w:sz w:val="24"/>
          <w:szCs w:val="24"/>
        </w:rPr>
        <w:t>Hopner</w:t>
      </w:r>
      <w:proofErr w:type="spellEnd"/>
      <w:r w:rsidRPr="00746199">
        <w:rPr>
          <w:rFonts w:ascii="Arial" w:hAnsi="Arial" w:cs="Arial"/>
          <w:sz w:val="24"/>
          <w:szCs w:val="24"/>
        </w:rPr>
        <w:t>; JUSTULIN, Andresa Maria. (</w:t>
      </w:r>
      <w:proofErr w:type="spellStart"/>
      <w:r w:rsidRPr="00746199">
        <w:rPr>
          <w:rFonts w:ascii="Arial" w:hAnsi="Arial" w:cs="Arial"/>
          <w:sz w:val="24"/>
          <w:szCs w:val="24"/>
        </w:rPr>
        <w:t>Orgs</w:t>
      </w:r>
      <w:proofErr w:type="spellEnd"/>
      <w:r w:rsidRPr="00746199">
        <w:rPr>
          <w:rFonts w:ascii="Arial" w:hAnsi="Arial" w:cs="Arial"/>
          <w:sz w:val="24"/>
          <w:szCs w:val="24"/>
        </w:rPr>
        <w:t xml:space="preserve">.). </w:t>
      </w:r>
      <w:r w:rsidRPr="00746199">
        <w:rPr>
          <w:rFonts w:ascii="Arial" w:hAnsi="Arial" w:cs="Arial"/>
          <w:b/>
          <w:sz w:val="24"/>
          <w:szCs w:val="24"/>
        </w:rPr>
        <w:t>Resolução de Problemas:</w:t>
      </w:r>
      <w:r w:rsidRPr="00746199">
        <w:rPr>
          <w:rFonts w:ascii="Arial" w:hAnsi="Arial" w:cs="Arial"/>
          <w:sz w:val="24"/>
          <w:szCs w:val="24"/>
        </w:rPr>
        <w:t xml:space="preserve"> Teoria e Prática. Paco Editorial. Jundiaí. 2014.</w:t>
      </w:r>
    </w:p>
    <w:sectPr w:rsidR="00063E09" w:rsidRPr="008B09AC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527EA" w14:textId="77777777" w:rsidR="00437876" w:rsidRDefault="00437876">
      <w:pPr>
        <w:spacing w:line="240" w:lineRule="auto"/>
      </w:pPr>
      <w:r>
        <w:separator/>
      </w:r>
    </w:p>
  </w:endnote>
  <w:endnote w:type="continuationSeparator" w:id="0">
    <w:p w14:paraId="0CC5A8D2" w14:textId="77777777" w:rsidR="00437876" w:rsidRDefault="00437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525B" w14:textId="77777777" w:rsidR="00063E09" w:rsidRDefault="00063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633A" w14:textId="77777777" w:rsidR="00437876" w:rsidRDefault="00437876">
      <w:pPr>
        <w:spacing w:line="240" w:lineRule="auto"/>
      </w:pPr>
      <w:r>
        <w:separator/>
      </w:r>
    </w:p>
  </w:footnote>
  <w:footnote w:type="continuationSeparator" w:id="0">
    <w:p w14:paraId="6AF9B11C" w14:textId="77777777" w:rsidR="00437876" w:rsidRDefault="00437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7092" w14:textId="77777777" w:rsidR="00063E09" w:rsidRDefault="00146D2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5566F4C" wp14:editId="4FF88AE7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540FE" w14:textId="77777777" w:rsidR="00063E09" w:rsidRDefault="00063E09">
    <w:pPr>
      <w:jc w:val="center"/>
    </w:pPr>
  </w:p>
  <w:p w14:paraId="6DCB33B3" w14:textId="77777777" w:rsidR="00063E09" w:rsidRDefault="00146D28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278B5BA8" w14:textId="77777777" w:rsidR="00063E09" w:rsidRDefault="00146D28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8FDC" w14:textId="77777777" w:rsidR="00063E09" w:rsidRDefault="00063E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09"/>
    <w:rsid w:val="0003722D"/>
    <w:rsid w:val="00063E09"/>
    <w:rsid w:val="00071635"/>
    <w:rsid w:val="0007544E"/>
    <w:rsid w:val="000A3E7F"/>
    <w:rsid w:val="000B4138"/>
    <w:rsid w:val="000C6A2A"/>
    <w:rsid w:val="00146D28"/>
    <w:rsid w:val="00162630"/>
    <w:rsid w:val="001D4825"/>
    <w:rsid w:val="001D714C"/>
    <w:rsid w:val="002725A6"/>
    <w:rsid w:val="002936EB"/>
    <w:rsid w:val="002D0FD5"/>
    <w:rsid w:val="002F3989"/>
    <w:rsid w:val="00320917"/>
    <w:rsid w:val="003331A1"/>
    <w:rsid w:val="00337985"/>
    <w:rsid w:val="00391717"/>
    <w:rsid w:val="003A5888"/>
    <w:rsid w:val="003C7532"/>
    <w:rsid w:val="003D33F6"/>
    <w:rsid w:val="00404E45"/>
    <w:rsid w:val="0043143D"/>
    <w:rsid w:val="00437876"/>
    <w:rsid w:val="004A21AC"/>
    <w:rsid w:val="005B1BF6"/>
    <w:rsid w:val="0060697B"/>
    <w:rsid w:val="00631A43"/>
    <w:rsid w:val="00652C59"/>
    <w:rsid w:val="00655F47"/>
    <w:rsid w:val="0067048A"/>
    <w:rsid w:val="0076609A"/>
    <w:rsid w:val="007B6FE6"/>
    <w:rsid w:val="007C0E76"/>
    <w:rsid w:val="00816BA6"/>
    <w:rsid w:val="00822296"/>
    <w:rsid w:val="008462BA"/>
    <w:rsid w:val="008B09AC"/>
    <w:rsid w:val="008C259F"/>
    <w:rsid w:val="0092065D"/>
    <w:rsid w:val="009E47A8"/>
    <w:rsid w:val="00AA31FB"/>
    <w:rsid w:val="00AC7B6C"/>
    <w:rsid w:val="00B65A5B"/>
    <w:rsid w:val="00B75FDE"/>
    <w:rsid w:val="00BA78F4"/>
    <w:rsid w:val="00C72056"/>
    <w:rsid w:val="00CA1C67"/>
    <w:rsid w:val="00D156C7"/>
    <w:rsid w:val="00D65C27"/>
    <w:rsid w:val="00D86542"/>
    <w:rsid w:val="00EB35D1"/>
    <w:rsid w:val="00EC22D9"/>
    <w:rsid w:val="00EE6362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4242"/>
  <w15:docId w15:val="{54DC51E0-3376-42A2-9187-B0D3A79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6609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6609A"/>
    <w:pPr>
      <w:spacing w:line="240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76609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655F47"/>
    <w:pPr>
      <w:spacing w:line="240" w:lineRule="auto"/>
    </w:pPr>
  </w:style>
  <w:style w:type="character" w:customStyle="1" w:styleId="go">
    <w:name w:val="go"/>
    <w:basedOn w:val="Fontepargpadro"/>
    <w:rsid w:val="008B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0AC-F94E-4926-ADD6-0CB22313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carlo</cp:lastModifiedBy>
  <cp:revision>2</cp:revision>
  <dcterms:created xsi:type="dcterms:W3CDTF">2022-07-06T13:52:00Z</dcterms:created>
  <dcterms:modified xsi:type="dcterms:W3CDTF">2022-07-06T13:52:00Z</dcterms:modified>
</cp:coreProperties>
</file>