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Complicações Pós Infarto Agudo do Miocárdio </w:t>
      </w:r>
    </w:p>
    <w:p>
      <w:pPr>
        <w:spacing w:before="1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Rebecca Bergamelli Nemitz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Geny Vitória Albuquerque Gomes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Martone Moreira Conceição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 Sarah Pereira Alves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Fernando Barros da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Mateus Coelho Paiva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Catharina Gomes de Lima Fernandes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Ana Gabriella Freire da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 Luiza Castro Mendes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br/>
        <w:t xml:space="preserve">Carlos Eduardo Martins Cassiano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</w:p>
    <w:p>
      <w:pPr>
        <w:spacing w:before="1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6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538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Objetivo: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estabelece diretrizes para o tratamento de pacientes que sofreram um infarto agudo do miocárdio. Método: A revisão integrativa é realizada em cinco etapas de acordo com o referencial metodológico. Os dados foram coletados usando artigos em bases de dados publicadas na MEDLINE, LILACS e PUBMED. Os critérios de inclusão foram artigos publicados no ano de 2014 a 2020. No que diz respeito aos critérios, foram excluídos todos os resumos que incluíam informações sobre cuidados pré-infarto ou recomendações cirúrgicas. Resultados e Discussão: Depois de aplicar os critérios de inclusão e exclusão, 21 artigos foram incluídos. Depois de uma leitura crítica dos estudos escolhidos, eles foram divididos em categorias temáticas. Conclusão: As diretrizes de cuidado ao paciente pós-IAM incluem cuidados clínicos técnicos para enfermagem ao paciente pós -IAM, mudança de hábitos de vida, educação pós-IAM, aconselhamento sexual, suporte familiar e acessíveis da reabilitação. O conhecimento multiprofissional é essencial no cuidado pós-IAM.</w:t>
      </w:r>
    </w:p>
    <w:p>
      <w:pPr>
        <w:spacing w:before="0" w:after="0" w:line="240"/>
        <w:ind w:right="1538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 IAM,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Cardiologia.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 da autora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bergamellirebecca@gmail.com</w:t>
        <w:br/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Nove de Julho - Uninove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Médica pelo Centro Universitário de João Pessoa (UNIPÊ)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Universidade Federal do Sul da Bahia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Unirg Paraíso do Tocantins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FAMP(Faculdade Morgana Potrich)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Centro Universitário de Brasília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Uninta - Centro universitário 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UniAtenas Paracatu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Centro Universitário do Maranhão (CEUMA)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Centro Universitário Atenas Paracatu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tabs>
          <w:tab w:val="left" w:pos="788" w:leader="none"/>
        </w:tabs>
        <w:spacing w:before="0" w:after="0" w:line="240"/>
        <w:ind w:right="0" w:left="787" w:hanging="1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INTRODUÇÃO</w:t>
      </w:r>
    </w:p>
    <w:p>
      <w:pPr>
        <w:spacing w:before="124" w:after="0" w:line="360"/>
        <w:ind w:right="1539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termo infarto agudo do miocárdio (IAM) refere-se à isquemia do musculo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cardíaco, ocasionado pela falta de oxigenação devida uma obstrução de vasos 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morte 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hábil (SEIXAS,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SARAIVA,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2016).</w:t>
      </w:r>
    </w:p>
    <w:p>
      <w:pPr>
        <w:spacing w:before="0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perfil epidemiológico dos pacientes com diagnóstico de IAM aponta 76,92%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do sexo masculino, acima dos 30 anos de idade, levando em conta sobrepeso, idade,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raça,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histórico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familiares,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tabagismo,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hipertensão e diabetes, sendo esses fatores que colaboram para o desenvolvimento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IAM (SILVA, MELO, NEVES, 2019).</w:t>
      </w:r>
    </w:p>
    <w:p>
      <w:pPr>
        <w:spacing w:before="1" w:after="0" w:line="360"/>
        <w:ind w:right="1542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 dos fatores pré-dispostos que favorecem o desencadeamento da doença,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dado observou-se que 47,7% sabem somente o nome da patologia, outras 33,3%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entendem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entupida”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53,9%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(COLOMBO, AGUILAR, 1997).</w:t>
      </w:r>
    </w:p>
    <w:p>
      <w:pPr>
        <w:spacing w:before="0" w:after="0" w:line="360"/>
        <w:ind w:right="1543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período pós IAM, pode vim acarretar problemas secundários, onde o 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 ser e estar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orientado quanto ao novo estilo de vida que terá que adotar com: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 físicos, mudança nos hábitos alimentares, uso de medicação para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reabilitação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cardíaca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VARGAS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539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sucesso no tratamento do IAM, envolve equipe multiprofissional, família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continuado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pós-cirúrgico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(SOUSA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2012;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SIMON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014).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seu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(VARGAS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</w:t>
      </w: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breve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2007; IGLESIAS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2010;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MARTINI,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notou-se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saúde existem documentos norteadores e algumas cartilhas com informações precisas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direcionando o cuidado para os pacientes pós IAM como as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Diretrizes da Sociedade</w:t>
      </w:r>
      <w:r>
        <w:rPr>
          <w:rFonts w:ascii="Times New Roman" w:hAnsi="Times New Roman" w:cs="Times New Roman" w:eastAsia="Times New Roman"/>
          <w:color w:val="000009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Times New Roman" w:hAnsi="Times New Roman" w:cs="Times New Roman" w:eastAsia="Times New Roman"/>
          <w:color w:val="000009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09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Cardiologia</w:t>
      </w:r>
      <w:r>
        <w:rPr>
          <w:rFonts w:ascii="Times New Roman" w:hAnsi="Times New Roman" w:cs="Times New Roman" w:eastAsia="Times New Roman"/>
          <w:color w:val="000009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(2013/2014)</w:t>
      </w:r>
      <w:r>
        <w:rPr>
          <w:rFonts w:ascii="Times New Roman" w:hAnsi="Times New Roman" w:cs="Times New Roman" w:eastAsia="Times New Roman"/>
          <w:color w:val="000009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relata</w:t>
      </w:r>
      <w:r>
        <w:rPr>
          <w:rFonts w:ascii="Times New Roman" w:hAnsi="Times New Roman" w:cs="Times New Roman" w:eastAsia="Times New Roman"/>
          <w:color w:val="000009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as condutas</w:t>
      </w:r>
      <w:r>
        <w:rPr>
          <w:rFonts w:ascii="Times New Roman" w:hAnsi="Times New Roman" w:cs="Times New Roman" w:eastAsia="Times New Roman"/>
          <w:color w:val="000009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000009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4"/>
          <w:shd w:fill="auto" w:val="clear"/>
        </w:rPr>
        <w:t xml:space="preserve">realizadas.</w:t>
      </w:r>
    </w:p>
    <w:p>
      <w:pPr>
        <w:spacing w:before="0" w:after="0" w:line="360"/>
        <w:ind w:right="1536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encontrou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norteador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enfoque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 informações/orientações direcionadas no tratamento e cuidado pós IAM, visto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trazer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causando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 desses pacientes.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tabs>
          <w:tab w:val="left" w:pos="803" w:leader="none"/>
        </w:tabs>
        <w:spacing w:before="0" w:after="0" w:line="240"/>
        <w:ind w:right="0" w:left="80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</w:t>
      </w:r>
    </w:p>
    <w:p>
      <w:pPr>
        <w:spacing w:before="139" w:after="0" w:line="360"/>
        <w:ind w:right="1540" w:left="62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 de uma revisão integrativa sistematizada, que é um método de pesquisa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resume literatura empírica ou teórica passado para fornecer uma compreensão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abrangente de um determinado fenômeno ou problema de saúde e tem o potencial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construir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ciência de enfermagem (WHITTEMORE 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KNAFL, 2005).</w:t>
      </w:r>
    </w:p>
    <w:p>
      <w:pPr>
        <w:spacing w:before="0" w:after="0" w:line="360"/>
        <w:ind w:right="1535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idiomas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inglês,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português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espanhol,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resumos que trouxessem recomendações cirúrgicas ou cuidados pré-infarto. Todas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bases acessadas setembro de 2020. Para organizar a extração dos dados e avaliação da qualidade dos dados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seguintes critérios: Apresentarem objetivos claros, pertinentes, metodologia apropriada,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escrita, conclusões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coerentes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3"/>
        </w:numPr>
        <w:tabs>
          <w:tab w:val="left" w:pos="863" w:leader="none"/>
        </w:tabs>
        <w:spacing w:before="90" w:after="0" w:line="240"/>
        <w:ind w:right="0" w:left="86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136" w:after="0" w:line="360"/>
        <w:ind w:right="1542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abordavam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Infarto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Miocárdio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(IAM),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atendendo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estabelecidos.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 frequência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PUBMED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(57,1%)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(33,3%)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MEDLINE,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(9,5%)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LILACS.</w:t>
      </w:r>
    </w:p>
    <w:p>
      <w:pPr>
        <w:spacing w:before="0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estudos incluídos em relação ao ano, 2019 teve seis (28,5%), seguida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(19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(14,2%)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correspondendo duas (9,5%) em cada ano das publicações, e 2020 com apenas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(4,7%)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publicação.</w:t>
      </w:r>
    </w:p>
    <w:p>
      <w:pPr>
        <w:spacing w:before="0" w:after="0" w:line="360"/>
        <w:ind w:right="1542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 a origem, a maioria dos estudos eram do Brasil correspondendo a cinco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(23,8%) das publicações, seguido de EUA, Europa com três (14,2%) em cada, Ásia,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Canadá e china com dois em cada (9,5%). Os demais locais presentaram apenas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(4,7%)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 como: Suécia, Áustria, Portugal 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Turquia.</w:t>
      </w:r>
    </w:p>
    <w:p>
      <w:pPr>
        <w:spacing w:before="1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crítica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categorias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temáticas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seis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(28,5%)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enfatizavam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clínicos estabelecidos pela enfermagem ao paciente pós IAM; sete (33,3%) tratavam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hábito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hábitos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alimentares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físicos;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três(14,2%)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trouxeram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IAM;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(9,5%)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aconselhamento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sexual,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(9,5%)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(4,7%)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reabilitação.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13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b/>
          <w:color w:val="0D0D0D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D0D0D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0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b/>
          <w:color w:val="0D0D0D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Categorias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temáticas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incluídos,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0"/>
          <w:shd w:fill="auto" w:val="clear"/>
        </w:rPr>
        <w:t xml:space="preserve">referência, 2020.</w:t>
      </w:r>
    </w:p>
    <w:tbl>
      <w:tblPr>
        <w:tblInd w:w="881" w:type="dxa"/>
      </w:tblPr>
      <w:tblGrid>
        <w:gridCol w:w="708"/>
        <w:gridCol w:w="3404"/>
        <w:gridCol w:w="4679"/>
      </w:tblGrid>
      <w:tr>
        <w:trPr>
          <w:trHeight w:val="230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Nº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28" w:left="143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Tema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51" w:left="185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Referência</w:t>
            </w:r>
          </w:p>
        </w:tc>
      </w:tr>
      <w:tr>
        <w:trPr>
          <w:trHeight w:val="690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-Cuidados</w:t>
            </w:r>
            <w:r>
              <w:rPr>
                <w:rFonts w:ascii="Times New Roman" w:hAnsi="Times New Roman" w:cs="Times New Roman" w:eastAsia="Times New Roman"/>
                <w:color w:val="0D0D0D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clínicos</w:t>
            </w:r>
            <w:r>
              <w:rPr>
                <w:rFonts w:ascii="Times New Roman" w:hAnsi="Times New Roman" w:cs="Times New Roman" w:eastAsia="Times New Roman"/>
                <w:color w:val="0D0D0D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estabelecidos</w:t>
            </w:r>
            <w:r>
              <w:rPr>
                <w:rFonts w:ascii="Times New Roman" w:hAnsi="Times New Roman" w:cs="Times New Roman" w:eastAsia="Times New Roman"/>
                <w:color w:val="0D0D0D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pela</w:t>
            </w:r>
            <w:r>
              <w:rPr>
                <w:rFonts w:ascii="Times New Roman" w:hAnsi="Times New Roman" w:cs="Times New Roman" w:eastAsia="Times New Roman"/>
                <w:color w:val="0D0D0D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enfermagem ao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paciente pós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IAM.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07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NAJAFI</w:t>
            </w:r>
            <w:r>
              <w:rPr>
                <w:rFonts w:ascii="Times New Roman" w:hAnsi="Times New Roman" w:cs="Times New Roman" w:eastAsia="Times New Roman"/>
                <w:color w:val="0D0D0D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2016;</w:t>
            </w:r>
            <w:r>
              <w:rPr>
                <w:rFonts w:ascii="Times New Roman" w:hAnsi="Times New Roman" w:cs="Times New Roman" w:eastAsia="Times New Roman"/>
                <w:color w:val="0D0D0D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SILVA</w:t>
            </w:r>
            <w:r>
              <w:rPr>
                <w:rFonts w:ascii="Times New Roman" w:hAnsi="Times New Roman" w:cs="Times New Roman" w:eastAsia="Times New Roman"/>
                <w:color w:val="0D0D0D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D0D0D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2016;</w:t>
            </w:r>
            <w:r>
              <w:rPr>
                <w:rFonts w:ascii="Times New Roman" w:hAnsi="Times New Roman" w:cs="Times New Roman" w:eastAsia="Times New Roman"/>
                <w:color w:val="0D0D0D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MICHELSEN</w:t>
            </w:r>
            <w:r>
              <w:rPr>
                <w:rFonts w:ascii="Times New Roman" w:hAnsi="Times New Roman" w:cs="Times New Roman" w:eastAsia="Times New Roman"/>
                <w:color w:val="0D0D0D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 al.,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2018; ZHANG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 al.,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2018; DIAS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 al.,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2019.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KAVRADIM;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OZER, 2020.</w:t>
            </w:r>
          </w:p>
        </w:tc>
      </w:tr>
      <w:tr>
        <w:trPr>
          <w:trHeight w:val="1149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-Mudança do hábito de vida:</w:t>
            </w:r>
            <w:r>
              <w:rPr>
                <w:rFonts w:ascii="Times New Roman" w:hAnsi="Times New Roman" w:cs="Times New Roman" w:eastAsia="Times New Roman"/>
                <w:color w:val="0D0D0D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Uso de medicamento;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Hábitos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alimentares;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Prática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exercícios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físicos.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DAGNER,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CLAUSSON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JAKOBSSON,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2019;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POLSOOK, AUNGSUROCH e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THONGVICHEAN,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2016;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NUNES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2016;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PIEPOLI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2017;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HARBMAN,</w:t>
            </w:r>
            <w:r>
              <w:rPr>
                <w:rFonts w:ascii="Times New Roman" w:hAnsi="Times New Roman" w:cs="Times New Roman" w:eastAsia="Times New Roman"/>
                <w:color w:val="0D0D0D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2014;</w:t>
            </w:r>
            <w:r>
              <w:rPr>
                <w:rFonts w:ascii="Times New Roman" w:hAnsi="Times New Roman" w:cs="Times New Roman" w:eastAsia="Times New Roman"/>
                <w:color w:val="0D0D0D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ZULLO</w:t>
            </w:r>
            <w:r>
              <w:rPr>
                <w:rFonts w:ascii="Times New Roman" w:hAnsi="Times New Roman" w:cs="Times New Roman" w:eastAsia="Times New Roman"/>
                <w:color w:val="0D0D0D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2019;</w:t>
            </w:r>
            <w:r>
              <w:rPr>
                <w:rFonts w:ascii="Times New Roman" w:hAnsi="Times New Roman" w:cs="Times New Roman" w:eastAsia="Times New Roman"/>
                <w:color w:val="0D0D0D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SHAJRAWI</w:t>
            </w:r>
          </w:p>
          <w:p>
            <w:pPr>
              <w:spacing w:before="0" w:after="0" w:line="240"/>
              <w:ind w:right="0" w:left="107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2019.</w:t>
            </w:r>
          </w:p>
        </w:tc>
      </w:tr>
      <w:tr>
        <w:trPr>
          <w:trHeight w:val="460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-Educação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pós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IAM.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4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MOHAMMADPOUR</w:t>
            </w:r>
            <w:r>
              <w:rPr>
                <w:rFonts w:ascii="Times New Roman" w:hAnsi="Times New Roman" w:cs="Times New Roman" w:eastAsia="Times New Roman"/>
                <w:color w:val="0D0D0D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2015;</w:t>
            </w:r>
            <w:r>
              <w:rPr>
                <w:rFonts w:ascii="Times New Roman" w:hAnsi="Times New Roman" w:cs="Times New Roman" w:eastAsia="Times New Roman"/>
                <w:color w:val="0D0D0D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WANG</w:t>
            </w:r>
            <w:r>
              <w:rPr>
                <w:rFonts w:ascii="Times New Roman" w:hAnsi="Times New Roman" w:cs="Times New Roman" w:eastAsia="Times New Roman"/>
                <w:color w:val="0D0D0D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2016;</w:t>
            </w:r>
            <w:r>
              <w:rPr>
                <w:rFonts w:ascii="Times New Roman" w:hAnsi="Times New Roman" w:cs="Times New Roman" w:eastAsia="Times New Roman"/>
                <w:color w:val="0D0D0D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BOYDE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 al.,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2015.</w:t>
            </w:r>
          </w:p>
        </w:tc>
      </w:tr>
      <w:tr>
        <w:trPr>
          <w:trHeight w:val="229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-Aconselhamento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sexual.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ANDRÉ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0D0D0D"/>
                <w:spacing w:val="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MARIA,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2014;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RAHIM</w:t>
            </w:r>
            <w:r>
              <w:rPr>
                <w:rFonts w:ascii="Times New Roman" w:hAnsi="Times New Roman" w:cs="Times New Roman" w:eastAsia="Times New Roman"/>
                <w:color w:val="0D0D0D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2017.</w:t>
            </w:r>
          </w:p>
        </w:tc>
      </w:tr>
      <w:tr>
        <w:trPr>
          <w:trHeight w:val="230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-Suporte</w:t>
            </w:r>
            <w:r>
              <w:rPr>
                <w:rFonts w:ascii="Times New Roman" w:hAnsi="Times New Roman" w:cs="Times New Roman" w:eastAsia="Times New Roman"/>
                <w:color w:val="0D0D0D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familiar.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GARCIA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2015;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QIN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2019.</w:t>
            </w:r>
          </w:p>
        </w:tc>
      </w:tr>
      <w:tr>
        <w:trPr>
          <w:trHeight w:val="230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-Adesão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reabilitação.</w:t>
            </w:r>
          </w:p>
        </w:tc>
        <w:tc>
          <w:tcPr>
            <w:tcW w:w="4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ARAUJO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D0D0D"/>
                <w:spacing w:val="0"/>
                <w:position w:val="0"/>
                <w:sz w:val="20"/>
                <w:shd w:fill="auto" w:val="clear"/>
              </w:rPr>
              <w:t xml:space="preserve">al.,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0"/>
                <w:shd w:fill="auto" w:val="clear"/>
              </w:rPr>
              <w:t xml:space="preserve">2019.</w:t>
            </w:r>
          </w:p>
        </w:tc>
      </w:tr>
    </w:tbl>
    <w:p>
      <w:pPr>
        <w:spacing w:before="79" w:after="0" w:line="240"/>
        <w:ind w:right="963" w:left="64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Fonte: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5"/>
        </w:numPr>
        <w:tabs>
          <w:tab w:val="left" w:pos="803" w:leader="none"/>
        </w:tabs>
        <w:spacing w:before="90" w:after="0" w:line="240"/>
        <w:ind w:right="0" w:left="802" w:hanging="181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9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tratassem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especificamente das orientações de cuidados continuados voltados ao paciente no 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diante desses achados é importante que o leitor compreenda que os artigos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 a partir de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algoritmo de busca, contudo não tratavam especificamente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assunto,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trouxeram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cuidados.</w:t>
      </w:r>
    </w:p>
    <w:p>
      <w:pPr>
        <w:spacing w:before="0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autores,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descrevem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IAM, à realização de telefonema aos pacientes pós IAM para verificação de adesão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 correto; Cuidados durante o banho sobre a temperatura da água tendo melhor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 no controle de SpO2, FC com temperatura da água em torno de 42,5 ºC;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Monitoramento dos sinais vitais; Administração de medicamentos de forma correta,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orientação quanto ao repouso (NAJAFI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2016; SILVA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2016; ZHANG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</w:t>
      </w:r>
      <w:r>
        <w:rPr>
          <w:rFonts w:ascii="Times New Roman" w:hAnsi="Times New Roman" w:cs="Times New Roman" w:eastAsia="Times New Roman"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360"/>
        <w:ind w:right="1537" w:left="62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informações na mudança do estilo de vida recebida no momento da alta,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 dos casos são repassadas pela equipe de enfermagem que deve esta preparada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dar todas informações a serem seguidas com avaliação quanto o perfil do paciente,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complicações pós-operatorias e as orientações do cuidado continuado (MICHELSEN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2018; DIAS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0" w:left="14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HÁBITO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 VIDA</w:t>
      </w:r>
    </w:p>
    <w:p>
      <w:pPr>
        <w:spacing w:before="137" w:after="0" w:line="360"/>
        <w:ind w:right="1539" w:left="62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Sabendo que a adequação a mudança do hábito de vida e parte fundamental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recuperação de pacientes acometidos pelo IAM (NUNES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2016), as dificuldades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enfrentadas após a alta podem levar ao abandono dessa mudança de hábitos, induzindo 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readmissão hospitalar (PIEPOLI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2016).</w:t>
      </w:r>
    </w:p>
    <w:p>
      <w:pPr>
        <w:spacing w:before="0" w:after="0" w:line="360"/>
        <w:ind w:right="1534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promoção da prática de atividades físicas através do programa de reabilitação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cardíaca, desde que prescrita por um profissional capacitado, demonstra bons 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longo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evitando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progressão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reduzindo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morbimortalidade,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perfusão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cardíaca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perfil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lipídico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(SHAJRAWI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2019;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DAGNER;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CLAUSSON.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JAKOBSSON,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(2020), demostrou a implementação do Método Pilates em pacientes pós IAM, um programa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aeróbicos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condicionamento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influenciando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indivíduo.</w:t>
      </w:r>
    </w:p>
    <w:p>
      <w:pPr>
        <w:spacing w:before="0" w:after="0" w:line="360"/>
        <w:ind w:right="1537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desconforto,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corroborar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 abordagem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centrada no paciente com um plano de atividades individuais, envolvendo não só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 mais a equipe multiprofissional (HARBMAN, 2014; DAGNER; CLAUSSON;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JAKOBSSON,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539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Dentro da adesão aos medicamentos prescritos após a alta do paciente acometido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 IAM, mostrou que a adesão não tem resultados satisfatórios, já que cerca de 12%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20% dos pacientes interrompem o uso dos medicamentos após um período de alta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(POLSOK;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AUNGSUROCH; THONGVICHEAN,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2016).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0" w:after="0" w:line="240"/>
        <w:ind w:right="0" w:left="54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FAMILIAR</w:t>
      </w:r>
    </w:p>
    <w:p>
      <w:pPr>
        <w:spacing w:before="139" w:after="0" w:line="360"/>
        <w:ind w:right="1537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período pós infarto acarreta experiencias negativas tanto para paciente 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desordens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emocionais,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invalidez,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(GARCIA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537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 sentindo, o IAM faz com que ocorram modificações na vida, necessitando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habito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diário,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família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encorajadora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domiciliares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(GARCIA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2015).</w:t>
      </w:r>
    </w:p>
    <w:p>
      <w:pPr>
        <w:spacing w:before="0" w:after="0" w:line="360"/>
        <w:ind w:right="1537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autores (POTTER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2016) apontam que a família e como uma proteção,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conseguem acompanhar as condições clinicas e prestar a assistência necessária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como: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higiene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pessoal,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dieta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balanceada,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incentivo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consistindo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apoio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secundaria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hábitos.</w:t>
      </w:r>
    </w:p>
    <w:p>
      <w:pPr>
        <w:spacing w:before="0" w:after="0" w:line="360"/>
        <w:ind w:right="1542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0" w:after="0" w:line="240"/>
        <w:ind w:right="0" w:left="90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91" w:dyaOrig="178">
          <v:rect xmlns:o="urn:schemas-microsoft-com:office:office" xmlns:v="urn:schemas-microsoft-com:vml" id="rectole0000000000" style="width:9.550000pt;height:8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REABILITAÇÃO</w:t>
      </w:r>
    </w:p>
    <w:p>
      <w:pPr>
        <w:spacing w:before="140" w:after="0" w:line="360"/>
        <w:ind w:right="1540" w:left="62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deixam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claro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programas de reabilitação cardíaca, no entanto os dados de problemas secundários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reinfarto mostram que apenas uma pequena parte adere corretamente a reabilitação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(ARAUJO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2019).</w:t>
      </w:r>
    </w:p>
    <w:p>
      <w:pPr>
        <w:spacing w:before="0" w:after="0" w:line="360"/>
        <w:ind w:right="1535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 o assunto trata de participação em programas de reabilitação cardíaca,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mudança de comportamentos, relacionado a alimentação, cessação de tabagismo, uso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(CUREAU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2012),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deixa evidente que cerca de 80% dos pacientes abandonam o tratamento por conta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estilo de vida.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86"/>
        </w:numPr>
        <w:tabs>
          <w:tab w:val="left" w:pos="803" w:leader="none"/>
        </w:tabs>
        <w:spacing w:before="0" w:after="0" w:line="240"/>
        <w:ind w:right="0" w:left="80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9" w:after="0" w:line="360"/>
        <w:ind w:right="1539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evidenciou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limitações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ocasionadas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IAM,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exposto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embasados na revisão realizada, foi possível identificar as recomendações sugeridas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aplicadas em estudos com fortes níveis de evidencia cientifica, esse mapeamento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 ao paciente pós IAM possibilitou o reconhecimento da necessidade de adesão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medidas preventivas.</w:t>
      </w:r>
    </w:p>
    <w:p>
      <w:pPr>
        <w:spacing w:before="0" w:after="0" w:line="360"/>
        <w:ind w:right="1539" w:left="62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 encontradas orientações de cuidado ao paciente pós IAM no âmbito: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 clínicos estabelecidos pela enfermagem ao paciente pós IAM; Mudança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hábito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IAM;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Aconselhamento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sexual;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reabilitação.</w:t>
      </w:r>
    </w:p>
    <w:p>
      <w:pPr>
        <w:spacing w:before="0" w:after="0" w:line="360"/>
        <w:ind w:right="1538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de existirem recomendações no período pós infarto, grande parte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profissionais desconhecem e não implementam esses cuidados e orientações durante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hospitalar, refletindo 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 cuidados continuado.</w:t>
      </w:r>
    </w:p>
    <w:p>
      <w:pPr>
        <w:spacing w:before="0" w:after="0" w:line="360"/>
        <w:ind w:right="1542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 cenário, a atuação profissional de enfermagem juntamente com equipe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multiprofissional que atua prestando os cuidados ao paciente acometido pelo IAM,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demostra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colaborem para a melhoria da qualidade de vida pós alta hospitalar, diminuindo o índice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reinfarto.</w:t>
      </w:r>
    </w:p>
    <w:p>
      <w:pPr>
        <w:spacing w:before="1" w:after="0" w:line="360"/>
        <w:ind w:right="1537" w:left="62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exemplo de estratégia seria construção de um material educativo, para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 a alta hospitalar, seja utilizado como um instrumento para auxiliar nos cuidados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diários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construção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clara,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 os níveis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letramento em saúde.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563" w:left="64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37" w:after="0" w:line="240"/>
        <w:ind w:right="1535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ARAÚJO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Pio, Carolina Santiago,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. "Interventions to promote patient utilisation of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cardiac rehabilitation."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Cochrane Database of Systematic Reviews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 (2019).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/www.ncbi.nlm.nih.gov/pmc/articles/PMC6360920/Ac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sso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7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BOYDE, Mary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What have our patients learnt after being hospitalised for an acute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myocardial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infarction?.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Australian</w:t>
      </w:r>
      <w:r>
        <w:rPr>
          <w:rFonts w:ascii="Times New Roman" w:hAnsi="Times New Roman" w:cs="Times New Roman" w:eastAsia="Times New Roman"/>
          <w:b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Critical</w:t>
      </w:r>
      <w:r>
        <w:rPr>
          <w:rFonts w:ascii="Times New Roman" w:hAnsi="Times New Roman" w:cs="Times New Roman" w:eastAsia="Times New Roman"/>
          <w:b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134-139,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https://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www.ncbi.nlm.nih.gov/pubmed/24970011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9" w:leader="none"/>
          <w:tab w:val="left" w:pos="8058" w:leader="none"/>
        </w:tabs>
        <w:spacing w:before="0" w:after="0" w:line="240"/>
        <w:ind w:right="1538" w:left="62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COLOMBO,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R;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AGUILLAR,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Estilo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infarto</w:t>
      </w:r>
      <w:r>
        <w:rPr>
          <w:rFonts w:ascii="Times New Roman" w:hAnsi="Times New Roman" w:cs="Times New Roman" w:eastAsia="Times New Roman"/>
          <w:color w:val="auto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Times New Roman" w:hAnsi="Times New Roman" w:cs="Times New Roman" w:eastAsia="Times New Roman"/>
          <w:color w:val="auto"/>
          <w:spacing w:val="9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miocárdio.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Latino-Americana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  <w:tab/>
        <w:t xml:space="preserve">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1997.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  <w:tab/>
        <w:t xml:space="preserve">em:</w:t>
      </w:r>
    </w:p>
    <w:p>
      <w:pPr>
        <w:spacing w:before="1" w:after="0" w:line="240"/>
        <w:ind w:right="1537" w:left="6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http://www.scielo.br/scielo.php?pid=S0104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11691997000200009&amp;script=sci_abstract&amp;tlng=pt.Acesso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42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CUREAU, Rachel Moraes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. Benefícios relacionados a qualidade de vida percebidos</w:t>
      </w:r>
      <w:r>
        <w:rPr>
          <w:rFonts w:ascii="Times New Roman" w:hAnsi="Times New Roman" w:cs="Times New Roman" w:eastAsia="Times New Roman"/>
          <w:color w:val="212121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participantes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reabilitação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cardíaca.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2012.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https://repositorio.ufsc.br/handle/123456789/103775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2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DAGNER, Viveka; CLAUSSON, Eva K.; JAKOBSSON, Liselotte. Prescribed physical</w:t>
      </w:r>
      <w:r>
        <w:rPr>
          <w:rFonts w:ascii="Times New Roman" w:hAnsi="Times New Roman" w:cs="Times New Roman" w:eastAsia="Times New Roman"/>
          <w:color w:val="212121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activity maintenance following exercise based cardiac rehabilitation: factors predicting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low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activity.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b/>
          <w:color w:val="212121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b/>
          <w:color w:val="212121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212121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Times New Roman" w:hAnsi="Times New Roman" w:cs="Times New Roman" w:eastAsia="Times New Roman"/>
          <w:b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Nursing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21-</w:t>
      </w:r>
      <w:r>
        <w:rPr>
          <w:rFonts w:ascii="Times New Roman" w:hAnsi="Times New Roman" w:cs="Times New Roman" w:eastAsia="Times New Roman"/>
          <w:color w:val="212121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27, 2019.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 em: https:/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/www.ncbi.nlm.nih.gov/pubmed/29905494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 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6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DIAS ,dos santos , Taynara Maria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, et al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. "Recurrent myocardial infarction from the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perspective of the victim's family member: case report."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ABCS Health Sciences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44.3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(2019).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 em: https:/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/www.portalnepas.org.br/abcshs/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rticle/view/1205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 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7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FIORIN BH, Moreira RSL, Lopes AB, Sipolatti WGR, Furieri LB, Fioresi M, et 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Quality of life assessment after acute myocardial infarction. Rev Rene. 2020;21:e44265.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Disponivel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http://periodicos.ufc.br/rene/article/view/44265</w:t>
        </w:r>
        <w:r>
          <w:rPr>
            <w:rFonts w:ascii="Times New Roman" w:hAnsi="Times New Roman" w:cs="Times New Roman" w:eastAsia="Times New Roman"/>
            <w:color w:val="0000FF"/>
            <w:spacing w:val="-3"/>
            <w:position w:val="0"/>
            <w:sz w:val="24"/>
            <w:u w:val="single"/>
            <w:shd w:fill="auto" w:val="clear"/>
          </w:rPr>
          <w:t xml:space="preserve"> HYPERLINK "http://periodicos.ufc.br/rene/article/view/44265"</w:t>
        </w:r>
        <w:r>
          <w:rPr>
            <w:rFonts w:ascii="Times New Roman" w:hAnsi="Times New Roman" w:cs="Times New Roman" w:eastAsia="Times New Roman"/>
            <w:color w:val="0000FF"/>
            <w:spacing w:val="-3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535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GARCIA, Raquel Pötter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. Social support towards the necessity of caring after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myocardial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infarction.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b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Times New Roman" w:hAnsi="Times New Roman" w:cs="Times New Roman" w:eastAsia="Times New Roman"/>
          <w:b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212121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68,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649-655,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212121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http://www.scielo.br/scielo.php?pid=S0034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71672015000400649&amp;script=sci_arttext&amp;tlng=en23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 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5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HARBMAN, Patricia. The development and testing of a nurse practitioner secondary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prevention intervention for patients after acute myocardial infarction: A prospective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cohort</w:t>
      </w:r>
      <w:r>
        <w:rPr>
          <w:rFonts w:ascii="Times New Roman" w:hAnsi="Times New Roman" w:cs="Times New Roman" w:eastAsia="Times New Roman"/>
          <w:color w:val="212121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study.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b/>
          <w:color w:val="212121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b/>
          <w:color w:val="212121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212121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nursing</w:t>
      </w:r>
      <w:r>
        <w:rPr>
          <w:rFonts w:ascii="Times New Roman" w:hAnsi="Times New Roman" w:cs="Times New Roman" w:eastAsia="Times New Roman"/>
          <w:b/>
          <w:color w:val="212121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12121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1542-1556,</w:t>
      </w:r>
      <w:r>
        <w:rPr>
          <w:rFonts w:ascii="Times New Roman" w:hAnsi="Times New Roman" w:cs="Times New Roman" w:eastAsia="Times New Roman"/>
          <w:color w:val="212121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2014.</w:t>
      </w:r>
      <w:r>
        <w:rPr>
          <w:rFonts w:ascii="Times New Roman" w:hAnsi="Times New Roman" w:cs="Times New Roman" w:eastAsia="Times New Roman"/>
          <w:color w:val="212121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https://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www.ncbi.nlm.nih.gov/pubmed/24836930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7" w:left="62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IGLESIAS,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0202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02020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02020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20202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sistematização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0202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02020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202020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0202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20202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0202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cliente</w:t>
      </w:r>
      <w:r>
        <w:rPr>
          <w:rFonts w:ascii="Times New Roman" w:hAnsi="Times New Roman" w:cs="Times New Roman" w:eastAsia="Times New Roman"/>
          <w:color w:val="20202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20202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0202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infarto</w:t>
      </w:r>
      <w:r>
        <w:rPr>
          <w:rFonts w:ascii="Times New Roman" w:hAnsi="Times New Roman" w:cs="Times New Roman" w:eastAsia="Times New Roman"/>
          <w:color w:val="20202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Times New Roman" w:hAnsi="Times New Roman" w:cs="Times New Roman" w:eastAsia="Times New Roman"/>
          <w:color w:val="20202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0202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miocárdio.</w:t>
      </w:r>
      <w:r>
        <w:rPr>
          <w:rFonts w:ascii="Times New Roman" w:hAnsi="Times New Roman" w:cs="Times New Roman" w:eastAsia="Times New Roman"/>
          <w:color w:val="202020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b/>
          <w:color w:val="202020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20202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Pesquisa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537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02020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974-977,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2010.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http://www.seer.unirio.br/index.php/cuidadofundamental/article/view/1205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Acesso 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7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KAVRADIM,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Turan,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Selma;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CANLI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ÖZER,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Zeynep.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12121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telephone follow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up intervention based on the Roy Adaptation Model after myocardial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infarction: randomised controlled trial.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Scandinavian Journal of Caring Sciences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, v.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34,</w:t>
      </w:r>
      <w:r>
        <w:rPr>
          <w:rFonts w:ascii="Times New Roman" w:hAnsi="Times New Roman" w:cs="Times New Roman" w:eastAsia="Times New Roman"/>
          <w:color w:val="212121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12121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12121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247-260,</w:t>
      </w:r>
      <w:r>
        <w:rPr>
          <w:rFonts w:ascii="Times New Roman" w:hAnsi="Times New Roman" w:cs="Times New Roman" w:eastAsia="Times New Roman"/>
          <w:color w:val="212121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2020.Disponivel</w:t>
      </w:r>
      <w:r>
        <w:rPr>
          <w:rFonts w:ascii="Times New Roman" w:hAnsi="Times New Roman" w:cs="Times New Roman" w:eastAsia="Times New Roman"/>
          <w:color w:val="212121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212121"/>
          <w:spacing w:val="3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https://pubmed.ncbi.nlm.nih.gov/31769891/</w:t>
        </w:r>
      </w:hyperlink>
    </w:p>
    <w:p>
      <w:pPr>
        <w:spacing w:before="0" w:after="0" w:line="240"/>
        <w:ind w:right="0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35" w:leader="none"/>
          <w:tab w:val="left" w:pos="2893" w:leader="none"/>
          <w:tab w:val="left" w:pos="4147" w:leader="none"/>
          <w:tab w:val="left" w:pos="5270" w:leader="none"/>
          <w:tab w:val="left" w:pos="5711" w:leader="none"/>
          <w:tab w:val="left" w:pos="6737" w:leader="none"/>
          <w:tab w:val="left" w:pos="7494" w:leader="none"/>
          <w:tab w:val="left" w:pos="8765" w:leader="none"/>
        </w:tabs>
        <w:spacing w:before="0" w:after="0" w:line="240"/>
        <w:ind w:right="1539" w:left="6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LIMA,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consultas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202020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4"/>
          <w:shd w:fill="auto" w:val="clear"/>
        </w:rPr>
        <w:t xml:space="preserve">revascularização</w:t>
        <w:tab/>
        <w:t xml:space="preserve">do</w:t>
        <w:tab/>
        <w:t xml:space="preserve">miocárdio:</w:t>
        <w:tab/>
        <w:t xml:space="preserve">avaliação</w:t>
        <w:tab/>
        <w:t xml:space="preserve">da</w:t>
        <w:tab/>
        <w:t xml:space="preserve">eficácia.</w:t>
        <w:tab/>
        <w:t xml:space="preserve">2007.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http://www.scielo.br/scielo.php?pid=S0104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11692010000300006&amp;script=sci_arttext&amp;tlng=pt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fevereiro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054" w:leader="none"/>
          <w:tab w:val="left" w:pos="3059" w:leader="none"/>
          <w:tab w:val="left" w:pos="4733" w:leader="none"/>
          <w:tab w:val="left" w:pos="6086" w:leader="none"/>
          <w:tab w:val="left" w:pos="7953" w:leader="none"/>
          <w:tab w:val="left" w:pos="9059" w:leader="none"/>
        </w:tabs>
        <w:spacing w:before="0" w:after="0" w:line="240"/>
        <w:ind w:right="1537" w:left="6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LUNELLI, Rosana Pinheiro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Atividade sexual pós-infarto do miocárdio: tabu ou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desinformação?.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Arquivos brasileiros de cardiologia. São Paulo. Vol. 90, n. 3 (set.</w:t>
      </w:r>
      <w:r>
        <w:rPr>
          <w:rFonts w:ascii="Times New Roman" w:hAnsi="Times New Roman" w:cs="Times New Roman" w:eastAsia="Times New Roman"/>
          <w:b/>
          <w:color w:val="212121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2008),</w:t>
        <w:tab/>
        <w:t xml:space="preserve">p.</w:t>
        <w:tab/>
        <w:t xml:space="preserve">172-176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auto" w:val="clear"/>
        </w:rPr>
        <w:t xml:space="preserve">,</w:t>
        <w:tab/>
        <w:t xml:space="preserve">2006.</w:t>
        <w:tab/>
        <w:t xml:space="preserve">Disponível</w:t>
        <w:tab/>
        <w:t xml:space="preserve">em</w:t>
        <w:tab/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12121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/www.lum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.ufrgs.br/handle/10183/20319.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5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junho 2020.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8">
    <w:abstractNumId w:val="18"/>
  </w:num>
  <w:num w:numId="23">
    <w:abstractNumId w:val="12"/>
  </w:num>
  <w:num w:numId="65">
    <w:abstractNumId w:val="6"/>
  </w:num>
  <w:num w:numId="8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ume.ufrgs.br/handle/10183/20319" Id="docRId17" Type="http://schemas.openxmlformats.org/officeDocument/2006/relationships/hyperlink" /><Relationship TargetMode="External" Target="http://www.ncbi.nlm.nih.gov/pubmed/29905494" Id="docRId7" Type="http://schemas.openxmlformats.org/officeDocument/2006/relationships/hyperlink" /><Relationship TargetMode="External" Target="http://periodicos.ufc.br/rene/article/view/44265%20HYPERLINK%20%22http://periodicos.ufc.br/rene/article/view/44265%22" Id="docRId10" Type="http://schemas.openxmlformats.org/officeDocument/2006/relationships/hyperlink" /><Relationship TargetMode="External" Target="https://pubmed.ncbi.nlm.nih.gov/31769891/" Id="docRId14" Type="http://schemas.openxmlformats.org/officeDocument/2006/relationships/hyperlink" /><Relationship Target="numbering.xml" Id="docRId18" Type="http://schemas.openxmlformats.org/officeDocument/2006/relationships/numbering" /><Relationship TargetMode="External" Target="http://www.ncbi.nlm.nih.gov/pmc/articles/PMC6360920/Acesso" Id="docRId2" Type="http://schemas.openxmlformats.org/officeDocument/2006/relationships/hyperlink" /><Relationship TargetMode="External" Target="https://repositorio.ufsc.br/handle/123456789/103775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scielo.br/scielo.php?pid=S0034" Id="docRId11" Type="http://schemas.openxmlformats.org/officeDocument/2006/relationships/hyperlink" /><Relationship TargetMode="External" Target="http://www.scielo.br/scielo.php?pid=S0104" Id="docRId15" Type="http://schemas.openxmlformats.org/officeDocument/2006/relationships/hyperlink" /><Relationship Target="styles.xml" Id="docRId19" Type="http://schemas.openxmlformats.org/officeDocument/2006/relationships/styles" /><Relationship TargetMode="External" Target="http://www.scielo.br/scielo.php?pid=S0104" Id="docRId5" Type="http://schemas.openxmlformats.org/officeDocument/2006/relationships/hyperlink" /><Relationship TargetMode="External" Target="http://www.portalnepas.org.br/abcshs/article/view/1205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www.ncbi.nlm.nih.gov/pubmed/24836930" Id="docRId12" Type="http://schemas.openxmlformats.org/officeDocument/2006/relationships/hyperlink" /><Relationship TargetMode="External" Target="http://www.lume.ufrgs.br/handle/10183/20319" Id="docRId16" Type="http://schemas.openxmlformats.org/officeDocument/2006/relationships/hyperlink" /><Relationship TargetMode="External" Target="http://www.ncbi.nlm.nih.gov/pubmed/24970011" Id="docRId4" Type="http://schemas.openxmlformats.org/officeDocument/2006/relationships/hyperlink" /><Relationship TargetMode="External" Target="http://www.portalnepas.org.br/abcshs/article/view/1205" Id="docRId8" Type="http://schemas.openxmlformats.org/officeDocument/2006/relationships/hyperlink" /><Relationship TargetMode="External" Target="http://www.seer.unirio.br/index.php/cuidadofundamental/article/view/1205" Id="docRId13" Type="http://schemas.openxmlformats.org/officeDocument/2006/relationships/hyperlink" /><Relationship TargetMode="External" Target="http://www.ncbi.nlm.nih.gov/pmc/articles/PMC6360920/Acesso" Id="docRId3" Type="http://schemas.openxmlformats.org/officeDocument/2006/relationships/hyperlink" /></Relationships>
</file>