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12529" w14:textId="228268A4" w:rsidR="001B37AB" w:rsidRDefault="005A6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DECOLONIZANDO PRÁTICAS DE APRENDIZAGEM: </w:t>
      </w:r>
      <w:r w:rsidR="00F5588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 DE EXPERIÊNCIA DE ESTUDO NA PÓS-GRADUAÇÃO</w:t>
      </w:r>
    </w:p>
    <w:p w14:paraId="4BA1252A" w14:textId="77777777" w:rsidR="001B37AB" w:rsidRDefault="001B37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A1252B" w14:textId="31067ECD" w:rsidR="001B37AB" w:rsidRDefault="0072732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João Pedro Viveiros </w:t>
      </w:r>
      <w:r w:rsidR="00546A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Ribeiro</w:t>
      </w:r>
    </w:p>
    <w:p w14:paraId="4BA1252C" w14:textId="6E603F8A" w:rsidR="001B37AB" w:rsidRPr="00782069" w:rsidRDefault="00727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2069">
        <w:rPr>
          <w:rFonts w:ascii="Times New Roman" w:eastAsia="Times New Roman" w:hAnsi="Times New Roman" w:cs="Times New Roman"/>
          <w:sz w:val="24"/>
          <w:szCs w:val="24"/>
          <w:lang w:eastAsia="pt-BR"/>
        </w:rPr>
        <w:t>PPGEL</w:t>
      </w:r>
      <w:r w:rsidR="003960B6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782069">
        <w:rPr>
          <w:rFonts w:ascii="Times New Roman" w:eastAsia="Times New Roman" w:hAnsi="Times New Roman" w:cs="Times New Roman"/>
          <w:sz w:val="24"/>
          <w:szCs w:val="24"/>
          <w:lang w:eastAsia="pt-BR"/>
        </w:rPr>
        <w:t>UFU</w:t>
      </w:r>
    </w:p>
    <w:p w14:paraId="4BA1252D" w14:textId="6EAAE495" w:rsidR="001B37AB" w:rsidRPr="00145154" w:rsidRDefault="00727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5154">
        <w:rPr>
          <w:rFonts w:ascii="Times New Roman" w:eastAsia="Times New Roman" w:hAnsi="Times New Roman" w:cs="Times New Roman"/>
          <w:sz w:val="24"/>
          <w:szCs w:val="24"/>
          <w:lang w:eastAsia="pt-BR"/>
        </w:rPr>
        <w:t>Jribeirov17@gmail.com</w:t>
      </w:r>
    </w:p>
    <w:p w14:paraId="4BA12531" w14:textId="7F71CA76" w:rsidR="001B37AB" w:rsidRPr="006C3B40" w:rsidRDefault="00FE72F8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6C3B4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C72E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451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 – Saberes e Práticas Educativas</w:t>
      </w:r>
    </w:p>
    <w:p w14:paraId="4BA12532" w14:textId="52E819FA" w:rsidR="001B37AB" w:rsidRPr="00BC6271" w:rsidRDefault="00FE7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BC62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Decolonialidade; práticas de aprendizagem; saberes educativos.</w:t>
      </w:r>
    </w:p>
    <w:p w14:paraId="4BA12535" w14:textId="77777777" w:rsidR="001B37AB" w:rsidRDefault="001B3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12537" w14:textId="77777777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DE40D77" w14:textId="290E3B76" w:rsidR="009905ED" w:rsidRPr="0072732C" w:rsidRDefault="00D844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6A37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trabalho relata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minha experiência de aprendizagem</w:t>
      </w:r>
      <w:r w:rsidR="007273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 âmbito da disciplina </w:t>
      </w:r>
      <w:r w:rsidR="000E26F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Tópicos em Linguística Aplicada: </w:t>
      </w:r>
      <w:r w:rsidR="0072732C" w:rsidRPr="0072732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Decolonialidades e ensino de línguas</w:t>
      </w:r>
      <w:r w:rsidR="007273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ofertada no Programa de Pós-Graduação em Estudos Linguísticos da Universidade Federal de Uberlândia.</w:t>
      </w:r>
      <w:r w:rsidR="007067C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B47E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desenvolvimento se justifica no compartilhamento da experiência de aprendizagem decolonial</w:t>
      </w:r>
      <w:r w:rsidR="00667FA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disciplina</w:t>
      </w:r>
      <w:r w:rsidR="00BB47E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980CA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1B34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Essa perspectiva </w:t>
      </w:r>
      <w:r w:rsidR="00767D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nos proporciona</w:t>
      </w:r>
      <w:r w:rsidR="00BC573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rá</w:t>
      </w:r>
      <w:r w:rsidR="00767DF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um novo olhar sobre nós mesmos, permitindo compreendermos </w:t>
      </w:r>
      <w:r w:rsidR="00A44E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entendermos melhor as tradições eurocêntricas que ainda</w:t>
      </w:r>
      <w:r w:rsidR="00BC573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</w:t>
      </w:r>
      <w:r w:rsidR="00A44E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perpetuam </w:t>
      </w:r>
      <w:r w:rsidR="00BC573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nossas práticas sociais.</w:t>
      </w:r>
    </w:p>
    <w:p w14:paraId="4BA12538" w14:textId="77777777" w:rsidR="001B37AB" w:rsidRDefault="001B3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A12539" w14:textId="77777777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4BA1253A" w14:textId="09472563" w:rsidR="001B37AB" w:rsidRDefault="004A35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0358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7946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ntes de entrar no mestrado, não havia tido contato com </w:t>
      </w:r>
      <w:r w:rsidR="00F17D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estudos</w:t>
      </w:r>
      <w:r w:rsidR="007946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935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decoloniais.</w:t>
      </w:r>
      <w:r w:rsidR="005236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B45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contexto, perguntei-me</w:t>
      </w:r>
      <w:r w:rsidR="000358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</w:t>
      </w:r>
      <w:r w:rsidR="004B45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como os estudos decoloniais podem contribuir para as minhas práticas educativas de aprendizagem (como aluno e pesquisador)?</w:t>
      </w:r>
    </w:p>
    <w:p w14:paraId="328B4BE6" w14:textId="1889DF0D" w:rsidR="004B4580" w:rsidRPr="00461C1F" w:rsidRDefault="004B45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="00026C5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bjetivo</w:t>
      </w:r>
      <w:r w:rsidR="007D06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D1480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discutir como os estudos decoloniais</w:t>
      </w:r>
      <w:r w:rsidR="00F81A8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têm contribuído em minha experiência de aprendizado no mestrado.</w:t>
      </w:r>
      <w:r w:rsidR="00D81BA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alcançar o objetivo geral, os específicos são: problematizar a ausência de estudos decoloniais </w:t>
      </w:r>
      <w:r w:rsidR="001B13C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 minha graduação; apresentar conceitos de decolonialidade; </w:t>
      </w:r>
      <w:r w:rsidR="00546A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</w:t>
      </w:r>
      <w:r w:rsidR="00B66F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relacionar </w:t>
      </w:r>
      <w:r w:rsidR="00E82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</w:t>
      </w:r>
      <w:r w:rsidR="00B66F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conceitos às práticas </w:t>
      </w:r>
      <w:r w:rsidR="00E82F7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aprendizagem.</w:t>
      </w:r>
    </w:p>
    <w:p w14:paraId="560D014A" w14:textId="77777777" w:rsidR="004A35E0" w:rsidRDefault="004A3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A1253B" w14:textId="6AAC2424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metodológicas</w:t>
      </w:r>
    </w:p>
    <w:p w14:paraId="6CD37BA3" w14:textId="3D18E6AF" w:rsidR="00E82F74" w:rsidRDefault="00E82F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3E6B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Este relato foi construído em </w:t>
      </w:r>
      <w:r w:rsidR="009E29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</w:t>
      </w:r>
      <w:r w:rsidR="003E6B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C078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etapas</w:t>
      </w:r>
      <w:r w:rsidR="00FB79E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</w:t>
      </w:r>
      <w:r w:rsidR="00FB79E4" w:rsidRPr="00FB79E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seleção bibliográfica, fichamento, reflexão crítica e escrita.</w:t>
      </w:r>
    </w:p>
    <w:p w14:paraId="62AC9404" w14:textId="77777777" w:rsidR="00FB79E4" w:rsidRDefault="00FB79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A1253D" w14:textId="77777777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C1B2642" w14:textId="283A0C49" w:rsidR="00207381" w:rsidRDefault="002073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C0EE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Conforme argumenta Quijano (</w:t>
      </w:r>
      <w:r w:rsidR="00026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1992</w:t>
      </w:r>
      <w:r w:rsidR="00C672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p. 2</w:t>
      </w:r>
      <w:r w:rsidR="00026EE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), a colonização</w:t>
      </w:r>
      <w:r w:rsidR="000B3B2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“consiste, inicialmente, em uma colonização do imaginário dos dominados. Isto é, atua na interioridade desse imaginário”. </w:t>
      </w:r>
      <w:r w:rsidR="0093456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="00467D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ara além das relações sociais de gênero, classe, trabalho</w:t>
      </w:r>
      <w:r w:rsidR="00D032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ra</w:t>
      </w:r>
      <w:r w:rsidR="00C86F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ça</w:t>
      </w:r>
      <w:r w:rsidR="00D032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etc</w:t>
      </w:r>
      <w:r w:rsidR="005E3A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D032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 colonização afetou, antes de tudo, </w:t>
      </w:r>
      <w:r w:rsidR="00C86F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nosso modo de ver o mundo. Ao pensarmos nisso, é impossível não evocar, aqui, Paulo Freire e sua famosa citação</w:t>
      </w:r>
      <w:r w:rsidR="00472C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“a leitura do mundo precede a leitura da palavra”. As afirmações de Freire e Quijano se relacionam </w:t>
      </w:r>
      <w:r w:rsidR="007928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 o problema apresentado por mim, anteriormente. Devido às influências europeias em nosso imaginário, a</w:t>
      </w:r>
      <w:r w:rsidR="00CB7A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minha, ou melhor, a nossa prática de aprendizagem está moldada a partir do olhar eurocêntrico.</w:t>
      </w:r>
    </w:p>
    <w:p w14:paraId="38C54E62" w14:textId="68D83B3B" w:rsidR="00E46307" w:rsidRPr="000A6434" w:rsidRDefault="00CB7AE9" w:rsidP="000A64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="004F19D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Grosfoguel</w:t>
      </w:r>
      <w:r w:rsidR="003C3B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(2016</w:t>
      </w:r>
      <w:r w:rsidR="001C76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p. 25</w:t>
      </w:r>
      <w:r w:rsidR="003C3B8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="00C672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argumenta</w:t>
      </w:r>
      <w:r w:rsidR="00C35C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o</w:t>
      </w:r>
      <w:r w:rsidR="00B0426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privilégio epistêmico d</w:t>
      </w:r>
      <w:r w:rsidR="002E51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sociedades</w:t>
      </w:r>
      <w:r w:rsidR="00B0426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ocident</w:t>
      </w:r>
      <w:r w:rsidR="002E51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ais (europeias)</w:t>
      </w:r>
      <w:r w:rsidR="00B0426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foi construído às custas do genocídio/epistemicídio d</w:t>
      </w:r>
      <w:r w:rsidR="002E51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coloniais</w:t>
      </w:r>
      <w:r w:rsidR="00925A0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acrescenta</w:t>
      </w:r>
      <w:r w:rsidR="00F356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D42B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</w:t>
      </w:r>
      <w:r w:rsidR="00F356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“a</w:t>
      </w:r>
      <w:r w:rsidR="00D42B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F356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inferiorização dos conhecimentos produzidos por homens e mulheres de todo o planeta [...] tem dotado os homens ocidentais do privilégio epistêmico de definir o que é verdade</w:t>
      </w:r>
      <w:r w:rsidR="000A64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[...]”</w:t>
      </w:r>
      <w:r w:rsidR="005D2062" w:rsidRPr="000A64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1862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Isso </w:t>
      </w:r>
      <w:r w:rsidR="0029520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 faz</w:t>
      </w:r>
      <w:r w:rsidR="001862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numa tentativa de </w:t>
      </w:r>
      <w:r w:rsidR="006E4E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universalizar o saber que</w:t>
      </w:r>
      <w:r w:rsidR="001754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“[...]</w:t>
      </w:r>
      <w:r w:rsidR="009336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3369B" w:rsidRPr="009336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ocorre quando a </w:t>
      </w:r>
      <w:r w:rsidR="0093369B" w:rsidRPr="009336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situacionalidade, a corporalidade do produtor do saber são escondidas, e aquilo que ancora o saber no seu local de origem é apagado</w:t>
      </w:r>
      <w:r w:rsidR="009336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[...]”</w:t>
      </w:r>
      <w:r w:rsidR="00D42B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(Souza; Hashiguti, 2022, p. 157)</w:t>
      </w:r>
      <w:r w:rsidR="009336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4BA1253E" w14:textId="2E7002BD" w:rsidR="001B37AB" w:rsidRPr="008A79B3" w:rsidRDefault="00AB2B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Isso posto, </w:t>
      </w:r>
      <w:r w:rsidR="00C17ED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virada decolonial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C17ED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ocorreu para </w:t>
      </w:r>
      <w:r w:rsidR="00494D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="007F05D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494D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colonizar o saber, o poder e o ser. Assim sendo, a partir disso, podemos começar a pensar as nossas práticas de aprendizagem </w:t>
      </w:r>
      <w:r w:rsidR="00EC111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partir de nosso </w:t>
      </w:r>
      <w:r w:rsidR="00EC1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l</w:t>
      </w:r>
      <w:r w:rsidR="008A79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ó</w:t>
      </w:r>
      <w:r w:rsidR="00EC11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cus</w:t>
      </w:r>
      <w:r w:rsidR="008A79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enunciativo</w:t>
      </w:r>
      <w:r w:rsidR="009D07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0AD295D5" w14:textId="77777777" w:rsidR="005D2062" w:rsidRDefault="005D20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A1253F" w14:textId="4968B3FB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 da prática </w:t>
      </w:r>
    </w:p>
    <w:p w14:paraId="4BA12540" w14:textId="4EE85924" w:rsidR="001B37AB" w:rsidRDefault="002073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B339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9C085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 estudos decoloniais</w:t>
      </w:r>
      <w:r w:rsidR="00B339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nos</w:t>
      </w:r>
      <w:r w:rsidR="00C705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B3399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possibilitam a</w:t>
      </w:r>
      <w:r w:rsidR="00C705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abrir os olhos para conhecimentos que não estão no cânone internacional, mas são tão valiosos quanto. Com essa perspectiva, nosso olhar sobre o gênero, o trabalho, as classes, a raça etc. torna-se outro e entendemos que o que já está dito, isto é, convencionado, não representa, necessariamente, nosso modo de ser.</w:t>
      </w:r>
    </w:p>
    <w:p w14:paraId="53DDF2C1" w14:textId="7D8DBF5C" w:rsidR="00C705EE" w:rsidRPr="00775F8C" w:rsidRDefault="00C705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  <w:t>Descoloniza</w:t>
      </w:r>
      <w:r w:rsidR="009736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ndo, assim,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736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minhas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práticas de aprendizagem</w:t>
      </w:r>
      <w:r w:rsidR="009736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736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me </w:t>
      </w:r>
      <w:r w:rsidR="00F70AF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permiti olhar à </w:t>
      </w:r>
      <w:r w:rsidR="0097361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minha</w:t>
      </w:r>
      <w:r w:rsidR="00F70AF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volta e buscar aprender, também, com </w:t>
      </w:r>
      <w:r w:rsidR="007847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nosso</w:t>
      </w:r>
      <w:r w:rsidR="006C55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6B2BC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 enxergar</w:t>
      </w:r>
      <w:r w:rsidR="006E77B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objeto de pesquisa/estudo</w:t>
      </w:r>
      <w:r w:rsidR="006B2BC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através das </w:t>
      </w:r>
      <w:r w:rsidR="0078473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minhas (ou nossas)</w:t>
      </w:r>
      <w:r w:rsidR="006B2BC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próprias lentes, não com a</w:t>
      </w:r>
      <w:r w:rsidR="00D3058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6B2BC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dos outros (as europeias).</w:t>
      </w:r>
    </w:p>
    <w:p w14:paraId="6C5E33E5" w14:textId="77777777" w:rsidR="00207381" w:rsidRDefault="002073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A12541" w14:textId="1EBFD225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Relevância social da experiência </w:t>
      </w:r>
      <w:r w:rsidR="0070616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 a relação com o eixo temático</w:t>
      </w:r>
    </w:p>
    <w:p w14:paraId="0DB282D4" w14:textId="1FB6337F" w:rsidR="00207381" w:rsidRPr="0072732C" w:rsidRDefault="004D186A" w:rsidP="002073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70616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</w:t>
      </w:r>
      <w:r w:rsidR="00296C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ência d</w:t>
      </w:r>
      <w:r w:rsidR="00C771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</w:t>
      </w:r>
      <w:r w:rsidR="00296C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estudos decoloniais nos proporciona um olhar mais crítico perante o mundo colonizado, entendendo mais à fundo os horrores feitos com as nossas sociedades, que afetaram, principalmente, nossos saberes.</w:t>
      </w:r>
    </w:p>
    <w:p w14:paraId="4714C732" w14:textId="77777777" w:rsidR="004D186A" w:rsidRDefault="004D18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A12543" w14:textId="77777777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BA12544" w14:textId="41F32A14" w:rsidR="001B37AB" w:rsidRDefault="006B2B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666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Chego à conclusão de que é preciso fazermos, cada um, nossa própria virada decolonial, proporcionando a nós uma mudança de hábito em nossos olhares já viciados no modelo eurocêntrico e, assim, </w:t>
      </w:r>
      <w:r w:rsidR="00EC20C1">
        <w:rPr>
          <w:rFonts w:ascii="Times New Roman" w:eastAsia="Times New Roman" w:hAnsi="Times New Roman" w:cs="Times New Roman"/>
          <w:sz w:val="24"/>
          <w:szCs w:val="24"/>
          <w:lang w:eastAsia="pt-BR"/>
        </w:rPr>
        <w:t>descolonizar não só as práticas de aprendizagem, mas os saberes e as práticas educativas.</w:t>
      </w:r>
    </w:p>
    <w:p w14:paraId="06DAF409" w14:textId="77777777" w:rsidR="00353F3C" w:rsidRDefault="00353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A12545" w14:textId="77777777" w:rsidR="001B37AB" w:rsidRDefault="00FE7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90729F8" w14:textId="75F67BAC" w:rsidR="0039399A" w:rsidRDefault="003939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GROSFOGUEL, R. A estrutura do conhecimento nas universidades ocidentalizadas: racismo/sexismo epistêmico e os quatro</w:t>
      </w:r>
      <w:r w:rsidR="00DB229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genocídios/epistemicídios do longo século XVI. </w:t>
      </w:r>
      <w:r w:rsidR="00DB2295" w:rsidRPr="004A71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Revista Sociedade e Es</w:t>
      </w:r>
      <w:r w:rsidR="004A71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tado</w:t>
      </w:r>
      <w:r w:rsidR="004A71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31, n. 1,</w:t>
      </w:r>
      <w:r w:rsidR="00D718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p. 25-49,</w:t>
      </w:r>
      <w:r w:rsidR="004A71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2016.</w:t>
      </w:r>
    </w:p>
    <w:p w14:paraId="03B1D42E" w14:textId="77777777" w:rsidR="004A7107" w:rsidRDefault="004A71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2F0990" w14:textId="20E8A2EC" w:rsidR="00B036C0" w:rsidRPr="00340D3E" w:rsidRDefault="00B036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036C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SOUZA, L. M. T. M.; HSHIGU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TI, S. Decolonialidade e(m) Linguística Aplicada: uma entrevista com Lynn Mario Trindade Menezes de Sou</w:t>
      </w:r>
      <w:r w:rsidR="00340D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za. </w:t>
      </w:r>
      <w:r w:rsidR="00340D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Polifonia</w:t>
      </w:r>
      <w:r w:rsidR="00340D3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29, n. 53, p. 149-</w:t>
      </w:r>
      <w:r w:rsidR="00D718C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177, p. 2022.</w:t>
      </w:r>
    </w:p>
    <w:p w14:paraId="4BA12546" w14:textId="77777777" w:rsidR="001B37AB" w:rsidRPr="00B036C0" w:rsidRDefault="001B37AB">
      <w:pPr>
        <w:spacing w:after="0" w:line="240" w:lineRule="auto"/>
        <w:rPr>
          <w:sz w:val="24"/>
          <w:szCs w:val="24"/>
        </w:rPr>
      </w:pPr>
    </w:p>
    <w:p w14:paraId="4BA12547" w14:textId="203FF2E8" w:rsidR="001B37AB" w:rsidRPr="00392FE8" w:rsidRDefault="00392F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2FE8">
        <w:rPr>
          <w:rFonts w:ascii="Times New Roman" w:hAnsi="Times New Roman" w:cs="Times New Roman"/>
          <w:sz w:val="24"/>
          <w:szCs w:val="24"/>
        </w:rPr>
        <w:t>QUIJANO,</w:t>
      </w:r>
      <w:r>
        <w:rPr>
          <w:rFonts w:ascii="Times New Roman" w:hAnsi="Times New Roman" w:cs="Times New Roman"/>
          <w:sz w:val="24"/>
          <w:szCs w:val="24"/>
        </w:rPr>
        <w:t xml:space="preserve"> A. Colonialidade e Modernidade/Racionalidade.</w:t>
      </w:r>
      <w:r w:rsidR="00EF2CDA">
        <w:rPr>
          <w:rFonts w:ascii="Times New Roman" w:hAnsi="Times New Roman" w:cs="Times New Roman"/>
          <w:sz w:val="24"/>
          <w:szCs w:val="24"/>
        </w:rPr>
        <w:t xml:space="preserve"> </w:t>
      </w:r>
      <w:r w:rsidR="00EF2CDA" w:rsidRPr="00EF2CDA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EF2CDA" w:rsidRPr="00EF2CDA">
        <w:rPr>
          <w:rFonts w:ascii="Times New Roman" w:hAnsi="Times New Roman" w:cs="Times New Roman"/>
          <w:sz w:val="24"/>
          <w:szCs w:val="24"/>
        </w:rPr>
        <w:t>: BONILLO, H</w:t>
      </w:r>
      <w:r w:rsidR="00EF2CDA">
        <w:rPr>
          <w:rFonts w:ascii="Times New Roman" w:hAnsi="Times New Roman" w:cs="Times New Roman"/>
          <w:sz w:val="24"/>
          <w:szCs w:val="24"/>
        </w:rPr>
        <w:t>.</w:t>
      </w:r>
      <w:r w:rsidR="00EF2CDA" w:rsidRPr="00EF2CDA">
        <w:rPr>
          <w:rFonts w:ascii="Times New Roman" w:hAnsi="Times New Roman" w:cs="Times New Roman"/>
          <w:sz w:val="24"/>
          <w:szCs w:val="24"/>
        </w:rPr>
        <w:t xml:space="preserve"> (comp.). </w:t>
      </w:r>
      <w:r w:rsidR="00EF2CDA" w:rsidRPr="00EF2CDA">
        <w:rPr>
          <w:rFonts w:ascii="Times New Roman" w:hAnsi="Times New Roman" w:cs="Times New Roman"/>
          <w:b/>
          <w:bCs/>
          <w:sz w:val="24"/>
          <w:szCs w:val="24"/>
        </w:rPr>
        <w:t>Los conquistados</w:t>
      </w:r>
      <w:r w:rsidR="00EF2CDA" w:rsidRPr="00EF2CDA">
        <w:rPr>
          <w:rFonts w:ascii="Times New Roman" w:hAnsi="Times New Roman" w:cs="Times New Roman"/>
          <w:sz w:val="24"/>
          <w:szCs w:val="24"/>
        </w:rPr>
        <w:t>. Bogotá: Tercer Mundo Ediciones; FLACSO, 1992</w:t>
      </w:r>
      <w:r w:rsidR="00EF2CDA">
        <w:rPr>
          <w:rFonts w:ascii="Times New Roman" w:hAnsi="Times New Roman" w:cs="Times New Roman"/>
          <w:sz w:val="24"/>
          <w:szCs w:val="24"/>
        </w:rPr>
        <w:t>.</w:t>
      </w:r>
      <w:r w:rsidR="00EF2CDA" w:rsidRPr="00EF2CDA">
        <w:rPr>
          <w:rFonts w:ascii="Times New Roman" w:hAnsi="Times New Roman" w:cs="Times New Roman"/>
          <w:sz w:val="24"/>
          <w:szCs w:val="24"/>
        </w:rPr>
        <w:t xml:space="preserve"> p. 437-449. Tradução de </w:t>
      </w:r>
      <w:r w:rsidR="00EF2CDA">
        <w:rPr>
          <w:rFonts w:ascii="Times New Roman" w:hAnsi="Times New Roman" w:cs="Times New Roman"/>
          <w:sz w:val="24"/>
          <w:szCs w:val="24"/>
        </w:rPr>
        <w:t>W</w:t>
      </w:r>
      <w:r w:rsidR="00EF2CDA" w:rsidRPr="00EF2CDA">
        <w:rPr>
          <w:rFonts w:ascii="Times New Roman" w:hAnsi="Times New Roman" w:cs="Times New Roman"/>
          <w:sz w:val="24"/>
          <w:szCs w:val="24"/>
        </w:rPr>
        <w:t xml:space="preserve">anderson </w:t>
      </w:r>
      <w:r w:rsidR="00EF2CDA">
        <w:rPr>
          <w:rFonts w:ascii="Times New Roman" w:hAnsi="Times New Roman" w:cs="Times New Roman"/>
          <w:sz w:val="24"/>
          <w:szCs w:val="24"/>
        </w:rPr>
        <w:t>F</w:t>
      </w:r>
      <w:r w:rsidR="00EF2CDA" w:rsidRPr="00EF2CDA">
        <w:rPr>
          <w:rFonts w:ascii="Times New Roman" w:hAnsi="Times New Roman" w:cs="Times New Roman"/>
          <w:sz w:val="24"/>
          <w:szCs w:val="24"/>
        </w:rPr>
        <w:t xml:space="preserve">lor do </w:t>
      </w:r>
      <w:r w:rsidR="00EF2CDA">
        <w:rPr>
          <w:rFonts w:ascii="Times New Roman" w:hAnsi="Times New Roman" w:cs="Times New Roman"/>
          <w:sz w:val="24"/>
          <w:szCs w:val="24"/>
        </w:rPr>
        <w:t>N</w:t>
      </w:r>
      <w:r w:rsidR="00EF2CDA" w:rsidRPr="00EF2CDA">
        <w:rPr>
          <w:rFonts w:ascii="Times New Roman" w:hAnsi="Times New Roman" w:cs="Times New Roman"/>
          <w:sz w:val="24"/>
          <w:szCs w:val="24"/>
        </w:rPr>
        <w:t>ascimento</w:t>
      </w:r>
      <w:r w:rsidR="00EF2CDA">
        <w:rPr>
          <w:rFonts w:ascii="Times New Roman" w:hAnsi="Times New Roman" w:cs="Times New Roman"/>
          <w:sz w:val="24"/>
          <w:szCs w:val="24"/>
        </w:rPr>
        <w:t>.</w:t>
      </w:r>
    </w:p>
    <w:sectPr w:rsidR="001B37AB" w:rsidRPr="00392FE8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3E30" w14:textId="77777777" w:rsidR="004E202A" w:rsidRDefault="004E202A">
      <w:pPr>
        <w:spacing w:line="240" w:lineRule="auto"/>
      </w:pPr>
      <w:r>
        <w:separator/>
      </w:r>
    </w:p>
  </w:endnote>
  <w:endnote w:type="continuationSeparator" w:id="0">
    <w:p w14:paraId="590D701E" w14:textId="77777777" w:rsidR="004E202A" w:rsidRDefault="004E2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10B84" w14:textId="77777777" w:rsidR="004E202A" w:rsidRDefault="004E202A">
      <w:pPr>
        <w:spacing w:after="0"/>
      </w:pPr>
      <w:r>
        <w:separator/>
      </w:r>
    </w:p>
  </w:footnote>
  <w:footnote w:type="continuationSeparator" w:id="0">
    <w:p w14:paraId="7535437E" w14:textId="77777777" w:rsidR="004E202A" w:rsidRDefault="004E20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254C" w14:textId="77777777" w:rsidR="001B37AB" w:rsidRDefault="00FE72F8">
    <w:pPr>
      <w:pStyle w:val="Cabealho"/>
    </w:pPr>
    <w:r>
      <w:rPr>
        <w:noProof/>
      </w:rPr>
      <w:drawing>
        <wp:inline distT="0" distB="0" distL="114300" distR="114300" wp14:anchorId="4BA1254D" wp14:editId="4BA1254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2B1"/>
    <w:rsid w:val="00026C51"/>
    <w:rsid w:val="00026EE0"/>
    <w:rsid w:val="00035861"/>
    <w:rsid w:val="00044B1D"/>
    <w:rsid w:val="00055869"/>
    <w:rsid w:val="000A3D1F"/>
    <w:rsid w:val="000A6434"/>
    <w:rsid w:val="000B16D9"/>
    <w:rsid w:val="000B3B26"/>
    <w:rsid w:val="000C0786"/>
    <w:rsid w:val="000E26FA"/>
    <w:rsid w:val="00105284"/>
    <w:rsid w:val="00145154"/>
    <w:rsid w:val="00172A27"/>
    <w:rsid w:val="00175471"/>
    <w:rsid w:val="0017610F"/>
    <w:rsid w:val="001862ED"/>
    <w:rsid w:val="001A6AC9"/>
    <w:rsid w:val="001B13C1"/>
    <w:rsid w:val="001B34CB"/>
    <w:rsid w:val="001B37AB"/>
    <w:rsid w:val="001C76CC"/>
    <w:rsid w:val="001D23D0"/>
    <w:rsid w:val="001E0AF6"/>
    <w:rsid w:val="001E0F21"/>
    <w:rsid w:val="00207381"/>
    <w:rsid w:val="00295206"/>
    <w:rsid w:val="00296CBE"/>
    <w:rsid w:val="002C5925"/>
    <w:rsid w:val="002E512E"/>
    <w:rsid w:val="00303ABC"/>
    <w:rsid w:val="003069CF"/>
    <w:rsid w:val="00316000"/>
    <w:rsid w:val="00340D3E"/>
    <w:rsid w:val="003411E4"/>
    <w:rsid w:val="00353F3C"/>
    <w:rsid w:val="00392FE8"/>
    <w:rsid w:val="0039399A"/>
    <w:rsid w:val="003960B6"/>
    <w:rsid w:val="003C3B89"/>
    <w:rsid w:val="003E6B0F"/>
    <w:rsid w:val="00461C1F"/>
    <w:rsid w:val="00463E5D"/>
    <w:rsid w:val="004666B9"/>
    <w:rsid w:val="00467DC7"/>
    <w:rsid w:val="00472CED"/>
    <w:rsid w:val="00494D60"/>
    <w:rsid w:val="00496555"/>
    <w:rsid w:val="004A35E0"/>
    <w:rsid w:val="004A7107"/>
    <w:rsid w:val="004B4580"/>
    <w:rsid w:val="004D186A"/>
    <w:rsid w:val="004E202A"/>
    <w:rsid w:val="004F19D3"/>
    <w:rsid w:val="005057F0"/>
    <w:rsid w:val="00522767"/>
    <w:rsid w:val="005236D3"/>
    <w:rsid w:val="00546A61"/>
    <w:rsid w:val="00594648"/>
    <w:rsid w:val="005A62BF"/>
    <w:rsid w:val="005D2062"/>
    <w:rsid w:val="005E3A77"/>
    <w:rsid w:val="005E646C"/>
    <w:rsid w:val="00667FA7"/>
    <w:rsid w:val="00677F30"/>
    <w:rsid w:val="006819A0"/>
    <w:rsid w:val="00691EC6"/>
    <w:rsid w:val="006A3780"/>
    <w:rsid w:val="006B2BC5"/>
    <w:rsid w:val="006C3B40"/>
    <w:rsid w:val="006C55F4"/>
    <w:rsid w:val="006E4E0A"/>
    <w:rsid w:val="006E77B9"/>
    <w:rsid w:val="0070616E"/>
    <w:rsid w:val="007067C9"/>
    <w:rsid w:val="0072732C"/>
    <w:rsid w:val="00741E2B"/>
    <w:rsid w:val="00742802"/>
    <w:rsid w:val="00767DFB"/>
    <w:rsid w:val="00775F8C"/>
    <w:rsid w:val="00782069"/>
    <w:rsid w:val="00784734"/>
    <w:rsid w:val="0079281D"/>
    <w:rsid w:val="007946A2"/>
    <w:rsid w:val="007D0641"/>
    <w:rsid w:val="007F05D2"/>
    <w:rsid w:val="008815A6"/>
    <w:rsid w:val="00882058"/>
    <w:rsid w:val="008A79B3"/>
    <w:rsid w:val="008C0EE8"/>
    <w:rsid w:val="008C3B26"/>
    <w:rsid w:val="008D6DA9"/>
    <w:rsid w:val="00925A02"/>
    <w:rsid w:val="00931469"/>
    <w:rsid w:val="0093369B"/>
    <w:rsid w:val="00934564"/>
    <w:rsid w:val="00973617"/>
    <w:rsid w:val="00980CA7"/>
    <w:rsid w:val="009905ED"/>
    <w:rsid w:val="009B6885"/>
    <w:rsid w:val="009C085F"/>
    <w:rsid w:val="009D072D"/>
    <w:rsid w:val="009E29CF"/>
    <w:rsid w:val="00A0322C"/>
    <w:rsid w:val="00A44E0C"/>
    <w:rsid w:val="00A7623E"/>
    <w:rsid w:val="00AB2B20"/>
    <w:rsid w:val="00AB5E3C"/>
    <w:rsid w:val="00AC6FAE"/>
    <w:rsid w:val="00B036C0"/>
    <w:rsid w:val="00B0426E"/>
    <w:rsid w:val="00B3399D"/>
    <w:rsid w:val="00B66F38"/>
    <w:rsid w:val="00B82A8F"/>
    <w:rsid w:val="00BB47E3"/>
    <w:rsid w:val="00BC5735"/>
    <w:rsid w:val="00BC6271"/>
    <w:rsid w:val="00C17ED8"/>
    <w:rsid w:val="00C35C92"/>
    <w:rsid w:val="00C62710"/>
    <w:rsid w:val="00C67240"/>
    <w:rsid w:val="00C705EE"/>
    <w:rsid w:val="00C72EC8"/>
    <w:rsid w:val="00C771DA"/>
    <w:rsid w:val="00C86F2D"/>
    <w:rsid w:val="00CB7AE9"/>
    <w:rsid w:val="00CD0E9E"/>
    <w:rsid w:val="00D03223"/>
    <w:rsid w:val="00D14802"/>
    <w:rsid w:val="00D3058F"/>
    <w:rsid w:val="00D33849"/>
    <w:rsid w:val="00D42B71"/>
    <w:rsid w:val="00D520AE"/>
    <w:rsid w:val="00D6394C"/>
    <w:rsid w:val="00D718CE"/>
    <w:rsid w:val="00D81BA5"/>
    <w:rsid w:val="00D844F2"/>
    <w:rsid w:val="00DA4C3E"/>
    <w:rsid w:val="00DB2295"/>
    <w:rsid w:val="00DC35FF"/>
    <w:rsid w:val="00DE155D"/>
    <w:rsid w:val="00E46307"/>
    <w:rsid w:val="00E82F74"/>
    <w:rsid w:val="00E96CEC"/>
    <w:rsid w:val="00EA0654"/>
    <w:rsid w:val="00EB598E"/>
    <w:rsid w:val="00EC1110"/>
    <w:rsid w:val="00EC20C1"/>
    <w:rsid w:val="00EF2CDA"/>
    <w:rsid w:val="00F16A62"/>
    <w:rsid w:val="00F17D2C"/>
    <w:rsid w:val="00F3563F"/>
    <w:rsid w:val="00F42013"/>
    <w:rsid w:val="00F4715F"/>
    <w:rsid w:val="00F55881"/>
    <w:rsid w:val="00F70AF1"/>
    <w:rsid w:val="00F81A82"/>
    <w:rsid w:val="00F935C4"/>
    <w:rsid w:val="00FA5D88"/>
    <w:rsid w:val="00FB79E4"/>
    <w:rsid w:val="00FE4799"/>
    <w:rsid w:val="00FE72F8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2529"/>
  <w15:docId w15:val="{681FC9AD-2830-4275-9728-8B704FD5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727</Words>
  <Characters>4322</Characters>
  <Application>Microsoft Office Word</Application>
  <DocSecurity>0</DocSecurity>
  <Lines>83</Lines>
  <Paragraphs>32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João Pedro Viveiros Ribeiro</cp:lastModifiedBy>
  <cp:revision>170</cp:revision>
  <dcterms:created xsi:type="dcterms:W3CDTF">2024-10-22T15:37:00Z</dcterms:created>
  <dcterms:modified xsi:type="dcterms:W3CDTF">2026-04-29T19:28:00Z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