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401C" w14:textId="2EFB5C89" w:rsidR="00367D8F" w:rsidRPr="000C3A1B" w:rsidRDefault="000C3A1B" w:rsidP="000C3A1B">
      <w:pPr>
        <w:jc w:val="center"/>
        <w:rPr>
          <w:rStyle w:val="Forte"/>
          <w:rFonts w:ascii="Arial" w:hAnsi="Arial" w:cs="Arial"/>
          <w:sz w:val="32"/>
          <w:szCs w:val="32"/>
        </w:rPr>
      </w:pPr>
      <w:r w:rsidRPr="000C3A1B">
        <w:rPr>
          <w:rFonts w:ascii="Arial" w:hAnsi="Arial" w:cs="Arial"/>
          <w:b/>
          <w:bCs/>
          <w:sz w:val="32"/>
          <w:szCs w:val="32"/>
        </w:rPr>
        <w:t>SENSOR POLIMÉRICO EM SUBSTRATO DE PAPEL PARA MONITORAMENTO DE RADIAÇÃO UVC (222 nm)</w:t>
      </w:r>
    </w:p>
    <w:p w14:paraId="49507820" w14:textId="30AB1941" w:rsidR="00897F80" w:rsidRPr="006B21F6" w:rsidRDefault="000C3A1B" w:rsidP="000C3A1B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0C3A1B">
        <w:rPr>
          <w:rFonts w:ascii="Arial" w:hAnsi="Arial" w:cs="Arial"/>
          <w:b/>
          <w:bCs/>
        </w:rPr>
        <w:t>L. A. Duarte Junior</w:t>
      </w:r>
      <w:r w:rsidRPr="000C3A1B">
        <w:rPr>
          <w:rFonts w:ascii="Arial" w:hAnsi="Arial" w:cs="Arial"/>
        </w:rPr>
        <w:t>¹, A. Talvane</w:t>
      </w:r>
      <w:r>
        <w:rPr>
          <w:rFonts w:ascii="Arial" w:hAnsi="Arial" w:cs="Arial"/>
          <w:vertAlign w:val="superscript"/>
        </w:rPr>
        <w:t>1</w:t>
      </w:r>
      <w:r w:rsidRPr="000C3A1B">
        <w:rPr>
          <w:rFonts w:ascii="Arial" w:hAnsi="Arial" w:cs="Arial"/>
        </w:rPr>
        <w:t xml:space="preserve"> , R. F. Bianchi¹</w:t>
      </w:r>
    </w:p>
    <w:p w14:paraId="0DDA8647" w14:textId="2C2FA63D" w:rsidR="0006527A" w:rsidRPr="000C3A1B" w:rsidRDefault="000C3A1B" w:rsidP="00367D8F">
      <w:pPr>
        <w:pStyle w:val="00abstractauthors"/>
        <w:spacing w:after="0" w:line="240" w:lineRule="auto"/>
        <w:rPr>
          <w:rFonts w:ascii="Arial" w:hAnsi="Arial" w:cs="Arial"/>
          <w:bCs/>
          <w:vertAlign w:val="superscript"/>
          <w:lang w:val="pt-BR"/>
        </w:rPr>
      </w:pPr>
      <w:r w:rsidRPr="000C3A1B">
        <w:rPr>
          <w:rFonts w:ascii="Arial" w:hAnsi="Arial" w:cs="Arial"/>
          <w:bCs/>
          <w:lang w:val="pt-BR"/>
        </w:rPr>
        <w:t>Universidade Federa de Ouro Preto</w:t>
      </w:r>
      <w:r w:rsidRPr="000C3A1B">
        <w:rPr>
          <w:rFonts w:ascii="Arial" w:hAnsi="Arial" w:cs="Arial"/>
          <w:bCs/>
          <w:vertAlign w:val="superscript"/>
          <w:lang w:val="pt-BR"/>
        </w:rPr>
        <w:t>1</w:t>
      </w:r>
    </w:p>
    <w:p w14:paraId="729CD303" w14:textId="2767AA3A" w:rsidR="00367D8F" w:rsidRPr="00A0732D" w:rsidRDefault="000C3A1B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 w:rsidRPr="000C3A1B">
        <w:rPr>
          <w:rFonts w:ascii="Arial" w:hAnsi="Arial" w:cs="Arial"/>
          <w:color w:val="5F6368"/>
          <w:spacing w:val="3"/>
          <w:shd w:val="clear" w:color="auto" w:fill="FFFFFF"/>
        </w:rPr>
        <w:t>lauro.junior@aluno.ufop.edu.br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295B049D" w14:textId="11E96475" w:rsidR="009C7019" w:rsidRPr="000C3A1B" w:rsidRDefault="000C3A1B" w:rsidP="000C3A1B">
      <w:pPr>
        <w:rPr>
          <w:rFonts w:ascii="Arial" w:hAnsi="Arial" w:cs="Arial"/>
          <w:szCs w:val="24"/>
        </w:rPr>
      </w:pPr>
      <w:r w:rsidRPr="000C3A1B">
        <w:rPr>
          <w:rFonts w:ascii="Arial" w:hAnsi="Arial" w:cs="Arial"/>
          <w:szCs w:val="24"/>
        </w:rPr>
        <w:t xml:space="preserve">Neste trabalho serão demonstrados o desenvolvimento e a caracterização ótica de um novo dosímetro colorimétrico flexível e polimérico para monitoramento da radiação </w:t>
      </w:r>
      <w:r w:rsidRPr="000C3A1B">
        <w:rPr>
          <w:rFonts w:ascii="Arial" w:hAnsi="Arial" w:cs="Arial"/>
          <w:i/>
          <w:iCs/>
          <w:szCs w:val="24"/>
        </w:rPr>
        <w:t>UVC</w:t>
      </w:r>
      <w:r w:rsidRPr="000C3A1B">
        <w:rPr>
          <w:rFonts w:ascii="Arial" w:hAnsi="Arial" w:cs="Arial"/>
          <w:szCs w:val="24"/>
        </w:rPr>
        <w:t xml:space="preserve"> na região de 222 nm. Para tanto, foram utilizados o papel como substrato flexível, que absorve a radiação </w:t>
      </w:r>
      <w:r w:rsidRPr="000C3A1B">
        <w:rPr>
          <w:rFonts w:ascii="Arial" w:hAnsi="Arial" w:cs="Arial"/>
          <w:i/>
          <w:iCs/>
          <w:szCs w:val="24"/>
        </w:rPr>
        <w:t>UVC</w:t>
      </w:r>
      <w:r w:rsidRPr="000C3A1B">
        <w:rPr>
          <w:rFonts w:ascii="Arial" w:hAnsi="Arial" w:cs="Arial"/>
          <w:szCs w:val="24"/>
        </w:rPr>
        <w:t xml:space="preserve"> com emissão na faixa de 400-550  nm (pico </w:t>
      </w:r>
      <w:r w:rsidRPr="000C3A1B">
        <w:rPr>
          <w:rFonts w:ascii="Arial" w:hAnsi="Arial" w:cs="Arial"/>
          <w:szCs w:val="24"/>
        </w:rPr>
        <w:sym w:font="Symbol" w:char="F07E"/>
      </w:r>
      <w:r w:rsidRPr="000C3A1B">
        <w:rPr>
          <w:rFonts w:ascii="Arial" w:hAnsi="Arial" w:cs="Arial"/>
          <w:szCs w:val="24"/>
        </w:rPr>
        <w:t>450  nm), recoberto, por sua vez, com uma ou mais camadas de poli(2-metoxi,5-etil(2hexiloxi)</w:t>
      </w:r>
      <w:r w:rsidRPr="000C3A1B">
        <w:rPr>
          <w:rFonts w:ascii="Arial" w:hAnsi="Arial" w:cs="Arial"/>
          <w:i/>
          <w:iCs/>
          <w:szCs w:val="24"/>
        </w:rPr>
        <w:t>p</w:t>
      </w:r>
      <w:r w:rsidRPr="000C3A1B">
        <w:rPr>
          <w:rFonts w:ascii="Arial" w:hAnsi="Arial" w:cs="Arial"/>
          <w:szCs w:val="24"/>
        </w:rPr>
        <w:t xml:space="preserve">-fenilenovinileno) (MEH-PPV), um polímero luminescente sensível a radiação visível, que absorve na faixa de 400-500  nm (pico </w:t>
      </w:r>
      <w:r w:rsidRPr="000C3A1B">
        <w:rPr>
          <w:rFonts w:ascii="Arial" w:hAnsi="Arial" w:cs="Arial"/>
          <w:szCs w:val="24"/>
        </w:rPr>
        <w:sym w:font="Symbol" w:char="F07E"/>
      </w:r>
      <w:r w:rsidRPr="000C3A1B">
        <w:rPr>
          <w:rFonts w:ascii="Arial" w:hAnsi="Arial" w:cs="Arial"/>
          <w:szCs w:val="24"/>
        </w:rPr>
        <w:t xml:space="preserve">500  nm), e apresenta emissão na faixa do laranja-vermelho 500-750  nm (pico </w:t>
      </w:r>
      <w:r w:rsidRPr="000C3A1B">
        <w:rPr>
          <w:rFonts w:ascii="Arial" w:hAnsi="Arial" w:cs="Arial"/>
          <w:szCs w:val="24"/>
        </w:rPr>
        <w:sym w:font="Symbol" w:char="F07E"/>
      </w:r>
      <w:r w:rsidRPr="000C3A1B">
        <w:rPr>
          <w:rFonts w:ascii="Arial" w:hAnsi="Arial" w:cs="Arial"/>
          <w:szCs w:val="24"/>
        </w:rPr>
        <w:t xml:space="preserve">600  nm). Bem como, os sistemas de desinfecção por luz ultravioleta (UV) têm sido cada vez mais utilizados em ambientes de saúde para minimizar a transmissão de patógenos e prevenir, assim, infecções associadas ao ambiente hospitalar. Estudos recentes relatam que a radiação </w:t>
      </w:r>
      <w:r w:rsidRPr="000C3A1B">
        <w:rPr>
          <w:rFonts w:ascii="Arial" w:hAnsi="Arial" w:cs="Arial"/>
          <w:i/>
          <w:iCs/>
          <w:szCs w:val="24"/>
        </w:rPr>
        <w:t>UVC</w:t>
      </w:r>
      <w:r w:rsidRPr="000C3A1B">
        <w:rPr>
          <w:rFonts w:ascii="Arial" w:hAnsi="Arial" w:cs="Arial"/>
          <w:szCs w:val="24"/>
        </w:rPr>
        <w:t xml:space="preserve"> em 222 nm tem se mostrado uma alternativa de baixo custo para, por exemplo, inativação de vírus em ambientes cirúrgicos, tais como os vírus da influenza H</w:t>
      </w:r>
      <w:r w:rsidRPr="000C3A1B">
        <w:rPr>
          <w:rFonts w:ascii="Arial" w:hAnsi="Arial" w:cs="Arial"/>
          <w:szCs w:val="24"/>
          <w:vertAlign w:val="subscript"/>
        </w:rPr>
        <w:t>1</w:t>
      </w:r>
      <w:r w:rsidRPr="000C3A1B">
        <w:rPr>
          <w:rFonts w:ascii="Arial" w:hAnsi="Arial" w:cs="Arial"/>
          <w:szCs w:val="24"/>
        </w:rPr>
        <w:t>N</w:t>
      </w:r>
      <w:r w:rsidRPr="000C3A1B">
        <w:rPr>
          <w:rFonts w:ascii="Arial" w:hAnsi="Arial" w:cs="Arial"/>
          <w:szCs w:val="24"/>
          <w:vertAlign w:val="subscript"/>
        </w:rPr>
        <w:t>1</w:t>
      </w:r>
      <w:r w:rsidRPr="000C3A1B">
        <w:rPr>
          <w:rFonts w:ascii="Arial" w:hAnsi="Arial" w:cs="Arial"/>
          <w:szCs w:val="24"/>
        </w:rPr>
        <w:t xml:space="preserve"> e do SARS-CoV-2. Por se tratar de uma tecnologia de empregabilidade relativamente nova, faz-se necessário, portanto, o desenvolvimento de sistemas, tais como dosímetros, para monitorar e, consequentemente, garantir os processos de radiação </w:t>
      </w:r>
      <w:r w:rsidRPr="000C3A1B">
        <w:rPr>
          <w:rFonts w:ascii="Arial" w:hAnsi="Arial" w:cs="Arial"/>
          <w:i/>
          <w:iCs/>
          <w:szCs w:val="24"/>
        </w:rPr>
        <w:t>UVC</w:t>
      </w:r>
      <w:r w:rsidRPr="000C3A1B">
        <w:rPr>
          <w:rFonts w:ascii="Arial" w:hAnsi="Arial" w:cs="Arial"/>
          <w:szCs w:val="24"/>
        </w:rPr>
        <w:t xml:space="preserve"> de forma eficiente e segura. Os resultados prévios mostram que ó dosímetro fabricados apresenta mudança de cor do vermelho ao branco, enquanto sua emissão cai do vermelho ao amarelo e, finalmente, azul claro à medida que o sistema é exposto à </w:t>
      </w:r>
      <w:r w:rsidRPr="000C3A1B">
        <w:rPr>
          <w:rFonts w:ascii="Arial" w:hAnsi="Arial" w:cs="Arial"/>
          <w:i/>
          <w:iCs/>
          <w:szCs w:val="24"/>
        </w:rPr>
        <w:t>UVC</w:t>
      </w:r>
      <w:r w:rsidRPr="000C3A1B">
        <w:rPr>
          <w:rFonts w:ascii="Arial" w:hAnsi="Arial" w:cs="Arial"/>
          <w:szCs w:val="24"/>
        </w:rPr>
        <w:t xml:space="preserve">. A alteração na escala vermelho-amarelo-branco selo laranja é característica do processo de fotodegradação do MEH-PPV excitado pela emissão do papel. Já a cor final em azul claro é característica da emissão do papel. A velocidade de tais mudanças é inversamente proporcional ao número de camadas de MEH-PPV, e diretamente proporcional a radiância utilizada. Tais resultados são promissores para o desenvolvimento de dosímetros com tempo de resposta (ou dose administrada) especifico para uma dada aplicação tecnológica, cujo monitoramento da radiância, ou dose administrada de radiação, é relevante. Como próximos passos pretende-se estabelecer os mecanismos que levam as mudanças de cor e emissão do dosímetro, bem como o desenvolvimento do </w:t>
      </w:r>
      <w:r w:rsidRPr="000C3A1B">
        <w:rPr>
          <w:rFonts w:ascii="Arial" w:hAnsi="Arial" w:cs="Arial"/>
          <w:i/>
          <w:iCs/>
          <w:szCs w:val="24"/>
        </w:rPr>
        <w:t xml:space="preserve">design </w:t>
      </w:r>
      <w:r w:rsidRPr="000C3A1B">
        <w:rPr>
          <w:rFonts w:ascii="Arial" w:hAnsi="Arial" w:cs="Arial"/>
          <w:szCs w:val="24"/>
        </w:rPr>
        <w:t xml:space="preserve">e do acompanhamento do tempo de resposta desse dispositivo como função da dose administrada de </w:t>
      </w:r>
      <w:r w:rsidRPr="000C3A1B">
        <w:rPr>
          <w:rFonts w:ascii="Arial" w:hAnsi="Arial" w:cs="Arial"/>
          <w:i/>
          <w:iCs/>
          <w:szCs w:val="24"/>
        </w:rPr>
        <w:t>UVC</w:t>
      </w:r>
      <w:r w:rsidRPr="000C3A1B">
        <w:rPr>
          <w:rFonts w:ascii="Arial" w:hAnsi="Arial" w:cs="Arial"/>
          <w:szCs w:val="24"/>
        </w:rPr>
        <w:t xml:space="preserve"> em 222 nm.</w:t>
      </w:r>
    </w:p>
    <w:p w14:paraId="01970381" w14:textId="39B3E8F5" w:rsidR="00393B26" w:rsidRPr="00EB049E" w:rsidRDefault="000D7EDA" w:rsidP="000D7EDA">
      <w:pPr>
        <w:pStyle w:val="00abstractreferences"/>
        <w:spacing w:before="0" w:line="240" w:lineRule="auto"/>
        <w:ind w:left="0" w:firstLine="0"/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EB049E" w:rsidRPr="00EB049E">
        <w:rPr>
          <w:sz w:val="24"/>
          <w:szCs w:val="24"/>
        </w:rPr>
        <w:t>S</w:t>
      </w:r>
      <w:r w:rsidR="00EB049E" w:rsidRPr="00EB049E">
        <w:rPr>
          <w:sz w:val="24"/>
          <w:szCs w:val="24"/>
        </w:rPr>
        <w:t xml:space="preserve">ensor polimérico, Dosímetro </w:t>
      </w:r>
      <w:r w:rsidR="00EB049E" w:rsidRPr="00EB049E">
        <w:rPr>
          <w:sz w:val="24"/>
          <w:szCs w:val="24"/>
        </w:rPr>
        <w:t>e S</w:t>
      </w:r>
      <w:r w:rsidR="00EB049E" w:rsidRPr="00EB049E">
        <w:rPr>
          <w:sz w:val="24"/>
          <w:szCs w:val="24"/>
        </w:rPr>
        <w:t>istemas de desinfecção</w:t>
      </w:r>
    </w:p>
    <w:p w14:paraId="1DFB2FE6" w14:textId="77777777"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4869451C" w14:textId="77777777" w:rsidR="009C7019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98D2E5C" w14:textId="77777777" w:rsidR="00C910B7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335C7150" w14:textId="2DF301B9" w:rsidR="00EB049E" w:rsidRDefault="00EB049E" w:rsidP="00EB049E">
      <w:pPr>
        <w:rPr>
          <w:rFonts w:ascii="Arial" w:hAnsi="Arial" w:cs="Arial"/>
          <w:bCs/>
          <w:color w:val="000000"/>
          <w:szCs w:val="24"/>
        </w:rPr>
      </w:pPr>
      <w:r w:rsidRPr="00EB049E">
        <w:rPr>
          <w:rFonts w:ascii="Arial" w:hAnsi="Arial" w:cs="Arial"/>
          <w:szCs w:val="24"/>
          <w:lang w:val="en-US"/>
        </w:rPr>
        <w:t xml:space="preserve">[1] </w:t>
      </w:r>
      <w:r w:rsidRPr="00EB049E">
        <w:rPr>
          <w:rFonts w:ascii="Arial" w:hAnsi="Arial" w:cs="Arial"/>
          <w:bCs/>
          <w:color w:val="000000"/>
          <w:szCs w:val="24"/>
          <w:lang w:val="en-US"/>
        </w:rPr>
        <w:t>DOLL, Michelle et al. Touchless technologies for decontamination in the hospital: a review of hydrogen peroxide and UV devices. </w:t>
      </w:r>
      <w:r w:rsidRPr="00EB049E">
        <w:rPr>
          <w:rFonts w:ascii="Arial" w:hAnsi="Arial" w:cs="Arial"/>
          <w:bCs/>
          <w:color w:val="000000"/>
          <w:szCs w:val="24"/>
        </w:rPr>
        <w:t>Current infectious disease reports, v. 17, n. 9, p. 1-11, 2015.</w:t>
      </w:r>
    </w:p>
    <w:p w14:paraId="5E95D392" w14:textId="77777777" w:rsidR="00EB049E" w:rsidRPr="00EB049E" w:rsidRDefault="00EB049E" w:rsidP="00EB049E">
      <w:pPr>
        <w:rPr>
          <w:rFonts w:ascii="Arial" w:hAnsi="Arial" w:cs="Arial"/>
          <w:szCs w:val="24"/>
        </w:rPr>
      </w:pPr>
    </w:p>
    <w:p w14:paraId="7C73E300" w14:textId="34E27F2D" w:rsidR="00EB049E" w:rsidRDefault="00EB049E" w:rsidP="00EB049E">
      <w:pPr>
        <w:rPr>
          <w:rFonts w:ascii="Arial" w:hAnsi="Arial" w:cs="Arial"/>
          <w:bCs/>
          <w:color w:val="000000"/>
          <w:szCs w:val="24"/>
          <w:lang w:val="en-US"/>
        </w:rPr>
      </w:pPr>
      <w:r w:rsidRPr="00EB049E">
        <w:rPr>
          <w:rFonts w:ascii="Arial" w:hAnsi="Arial" w:cs="Arial"/>
          <w:szCs w:val="24"/>
        </w:rPr>
        <w:t xml:space="preserve">[2] </w:t>
      </w:r>
      <w:r w:rsidRPr="00EB049E">
        <w:rPr>
          <w:rFonts w:ascii="Arial" w:hAnsi="Arial" w:cs="Arial"/>
          <w:bCs/>
          <w:color w:val="000000"/>
          <w:szCs w:val="24"/>
        </w:rPr>
        <w:t xml:space="preserve">DOS SANTOS, Tamires; DE CASTRO, Lívia Furquim. </w:t>
      </w:r>
      <w:r w:rsidRPr="00EB049E">
        <w:rPr>
          <w:rFonts w:ascii="Arial" w:hAnsi="Arial" w:cs="Arial"/>
          <w:bCs/>
          <w:color w:val="000000"/>
          <w:szCs w:val="24"/>
          <w:lang w:val="en-US"/>
        </w:rPr>
        <w:t>Evaluation of a portable Ultraviolet C (UV-C) device for hospital surface decontamination. </w:t>
      </w:r>
      <w:proofErr w:type="spellStart"/>
      <w:r w:rsidRPr="00EB049E">
        <w:rPr>
          <w:rFonts w:ascii="Arial" w:hAnsi="Arial" w:cs="Arial"/>
          <w:bCs/>
          <w:color w:val="000000"/>
          <w:szCs w:val="24"/>
          <w:lang w:val="en-US"/>
        </w:rPr>
        <w:t>Photodiagnosis</w:t>
      </w:r>
      <w:proofErr w:type="spellEnd"/>
      <w:r w:rsidRPr="00EB049E">
        <w:rPr>
          <w:rFonts w:ascii="Arial" w:hAnsi="Arial" w:cs="Arial"/>
          <w:bCs/>
          <w:color w:val="000000"/>
          <w:szCs w:val="24"/>
          <w:lang w:val="en-US"/>
        </w:rPr>
        <w:t xml:space="preserve"> and Photodynamic Therapy, v. 33, p. 102161, 2021.</w:t>
      </w:r>
    </w:p>
    <w:p w14:paraId="7035B3D7" w14:textId="77777777" w:rsidR="00EB049E" w:rsidRPr="00EB049E" w:rsidRDefault="00EB049E" w:rsidP="00EB049E">
      <w:pPr>
        <w:rPr>
          <w:rFonts w:ascii="Arial" w:hAnsi="Arial" w:cs="Arial"/>
          <w:bCs/>
          <w:color w:val="000000"/>
          <w:szCs w:val="24"/>
          <w:lang w:val="en-US"/>
        </w:rPr>
      </w:pPr>
    </w:p>
    <w:p w14:paraId="04D86825" w14:textId="57413EC8" w:rsidR="00EB049E" w:rsidRDefault="00EB049E" w:rsidP="00EB049E">
      <w:pPr>
        <w:rPr>
          <w:rFonts w:ascii="Arial" w:hAnsi="Arial" w:cs="Arial"/>
          <w:color w:val="222222"/>
          <w:szCs w:val="24"/>
          <w:shd w:val="clear" w:color="auto" w:fill="FFFFFF"/>
          <w:lang w:val="en-US"/>
        </w:rPr>
      </w:pPr>
      <w:r w:rsidRPr="00EB049E">
        <w:rPr>
          <w:rFonts w:ascii="Arial" w:hAnsi="Arial" w:cs="Arial"/>
          <w:szCs w:val="24"/>
          <w:lang w:val="en-US"/>
        </w:rPr>
        <w:t xml:space="preserve">[3] </w:t>
      </w:r>
      <w:r w:rsidRPr="00EB049E">
        <w:rPr>
          <w:rFonts w:ascii="Arial" w:hAnsi="Arial" w:cs="Arial"/>
          <w:bCs/>
          <w:color w:val="000000"/>
          <w:szCs w:val="24"/>
          <w:lang w:val="en-US"/>
        </w:rPr>
        <w:t>HESSLING, Martin et al. The impact of far-UVC radiation (200–230 nm) on pathogens, cells, skin, and eyes–a collection and analysis of a hundred years of data. GMS hygiene and infection control, v. 16, 2021</w:t>
      </w:r>
      <w:r w:rsidRPr="00EB049E">
        <w:rPr>
          <w:rFonts w:ascii="Arial" w:hAnsi="Arial" w:cs="Arial"/>
          <w:color w:val="222222"/>
          <w:szCs w:val="24"/>
          <w:shd w:val="clear" w:color="auto" w:fill="FFFFFF"/>
          <w:lang w:val="en-US"/>
        </w:rPr>
        <w:t>.</w:t>
      </w:r>
    </w:p>
    <w:p w14:paraId="7D126C46" w14:textId="77777777" w:rsidR="00EB049E" w:rsidRPr="00EB049E" w:rsidRDefault="00EB049E" w:rsidP="00EB049E">
      <w:pPr>
        <w:rPr>
          <w:rFonts w:ascii="Arial" w:hAnsi="Arial" w:cs="Arial"/>
          <w:color w:val="000000"/>
          <w:szCs w:val="24"/>
          <w:lang w:val="en-US"/>
        </w:rPr>
      </w:pPr>
    </w:p>
    <w:p w14:paraId="7D2011B4" w14:textId="46D0AFAB" w:rsidR="00EB049E" w:rsidRDefault="00EB049E" w:rsidP="00EB049E">
      <w:pPr>
        <w:rPr>
          <w:rFonts w:ascii="Arial" w:hAnsi="Arial" w:cs="Arial"/>
          <w:bCs/>
          <w:color w:val="000000"/>
          <w:szCs w:val="24"/>
          <w:lang w:val="en-US"/>
        </w:rPr>
      </w:pPr>
      <w:r w:rsidRPr="00EB049E">
        <w:rPr>
          <w:rFonts w:ascii="Arial" w:hAnsi="Arial" w:cs="Arial"/>
          <w:color w:val="000000"/>
          <w:szCs w:val="24"/>
          <w:lang w:val="en-US"/>
        </w:rPr>
        <w:t xml:space="preserve">[4] </w:t>
      </w:r>
      <w:r w:rsidRPr="00EB049E">
        <w:rPr>
          <w:rFonts w:ascii="Arial" w:hAnsi="Arial" w:cs="Arial"/>
          <w:bCs/>
          <w:color w:val="000000"/>
          <w:szCs w:val="24"/>
          <w:lang w:val="en-US"/>
        </w:rPr>
        <w:t>KAIKI, Yuki et al. Methicillin-resistant Staphylococcus aureus contamination of hospital-use-only mobile phones and efficacy of 222-nm ultraviolet disinfection. American journal of infection control, v. 49, n. 6, p. 800-803, 2021.</w:t>
      </w:r>
    </w:p>
    <w:p w14:paraId="4EEFFEDF" w14:textId="77777777" w:rsidR="00EB049E" w:rsidRPr="00EB049E" w:rsidRDefault="00EB049E" w:rsidP="00EB049E">
      <w:pPr>
        <w:rPr>
          <w:rFonts w:ascii="Arial" w:hAnsi="Arial" w:cs="Arial"/>
          <w:bCs/>
          <w:color w:val="000000"/>
          <w:szCs w:val="24"/>
          <w:lang w:val="en-US"/>
        </w:rPr>
      </w:pPr>
    </w:p>
    <w:p w14:paraId="5254246B" w14:textId="77777777" w:rsidR="00EB049E" w:rsidRPr="00EB049E" w:rsidRDefault="00EB049E" w:rsidP="00EB049E">
      <w:pPr>
        <w:rPr>
          <w:rFonts w:ascii="Arial" w:hAnsi="Arial" w:cs="Arial"/>
          <w:color w:val="000000"/>
          <w:szCs w:val="24"/>
          <w:lang w:val="en-US"/>
        </w:rPr>
      </w:pPr>
      <w:r w:rsidRPr="00EB049E">
        <w:rPr>
          <w:rFonts w:ascii="Arial" w:hAnsi="Arial" w:cs="Arial"/>
          <w:color w:val="000000"/>
          <w:szCs w:val="24"/>
          <w:lang w:val="en-US"/>
        </w:rPr>
        <w:t xml:space="preserve">[5] Narayanan, DL, </w:t>
      </w:r>
      <w:proofErr w:type="spellStart"/>
      <w:r w:rsidRPr="00EB049E">
        <w:rPr>
          <w:rFonts w:ascii="Arial" w:hAnsi="Arial" w:cs="Arial"/>
          <w:color w:val="000000"/>
          <w:szCs w:val="24"/>
          <w:lang w:val="en-US"/>
        </w:rPr>
        <w:t>Saladi</w:t>
      </w:r>
      <w:proofErr w:type="spellEnd"/>
      <w:r w:rsidRPr="00EB049E">
        <w:rPr>
          <w:rFonts w:ascii="Arial" w:hAnsi="Arial" w:cs="Arial"/>
          <w:color w:val="000000"/>
          <w:szCs w:val="24"/>
          <w:lang w:val="en-US"/>
        </w:rPr>
        <w:t>, RN, &amp; Fox, JL (2010). </w:t>
      </w:r>
      <w:r w:rsidRPr="00EB049E">
        <w:rPr>
          <w:rFonts w:ascii="Arial" w:hAnsi="Arial" w:cs="Arial"/>
          <w:color w:val="000000"/>
          <w:szCs w:val="24"/>
        </w:rPr>
        <w:t>Radiação ultravioleta e câncer de pele. </w:t>
      </w:r>
      <w:proofErr w:type="spellStart"/>
      <w:r w:rsidRPr="00EB049E">
        <w:rPr>
          <w:rFonts w:ascii="Arial" w:hAnsi="Arial" w:cs="Arial"/>
          <w:color w:val="000000"/>
          <w:szCs w:val="24"/>
          <w:lang w:val="en-US"/>
        </w:rPr>
        <w:t>Revista</w:t>
      </w:r>
      <w:proofErr w:type="spellEnd"/>
      <w:r w:rsidRPr="00EB049E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EB049E">
        <w:rPr>
          <w:rFonts w:ascii="Arial" w:hAnsi="Arial" w:cs="Arial"/>
          <w:color w:val="000000"/>
          <w:szCs w:val="24"/>
          <w:lang w:val="en-US"/>
        </w:rPr>
        <w:t>Internacional</w:t>
      </w:r>
      <w:proofErr w:type="spellEnd"/>
      <w:r w:rsidRPr="00EB049E">
        <w:rPr>
          <w:rFonts w:ascii="Arial" w:hAnsi="Arial" w:cs="Arial"/>
          <w:color w:val="000000"/>
          <w:szCs w:val="24"/>
          <w:lang w:val="en-US"/>
        </w:rPr>
        <w:t xml:space="preserve"> de </w:t>
      </w:r>
      <w:proofErr w:type="spellStart"/>
      <w:r w:rsidRPr="00EB049E">
        <w:rPr>
          <w:rFonts w:ascii="Arial" w:hAnsi="Arial" w:cs="Arial"/>
          <w:color w:val="000000"/>
          <w:szCs w:val="24"/>
          <w:lang w:val="en-US"/>
        </w:rPr>
        <w:t>Dermatologia</w:t>
      </w:r>
      <w:proofErr w:type="spellEnd"/>
      <w:r w:rsidRPr="00EB049E">
        <w:rPr>
          <w:rFonts w:ascii="Arial" w:hAnsi="Arial" w:cs="Arial"/>
          <w:color w:val="000000"/>
          <w:szCs w:val="24"/>
          <w:lang w:val="en-US"/>
        </w:rPr>
        <w:t>, 49 (9), 978-986.</w:t>
      </w:r>
    </w:p>
    <w:p w14:paraId="01060ACC" w14:textId="6811A35A" w:rsidR="00EB049E" w:rsidRDefault="00EB049E" w:rsidP="00EB049E">
      <w:pPr>
        <w:rPr>
          <w:rFonts w:ascii="Arial" w:hAnsi="Arial" w:cs="Arial"/>
          <w:bCs/>
          <w:color w:val="000000"/>
          <w:szCs w:val="24"/>
          <w:lang w:val="en-US"/>
        </w:rPr>
      </w:pPr>
      <w:r w:rsidRPr="00EB049E">
        <w:rPr>
          <w:rFonts w:ascii="Arial" w:hAnsi="Arial" w:cs="Arial"/>
          <w:color w:val="000000"/>
          <w:szCs w:val="24"/>
          <w:lang w:val="en-US"/>
        </w:rPr>
        <w:t>[6]</w:t>
      </w:r>
      <w:r w:rsidRPr="00EB049E">
        <w:rPr>
          <w:rFonts w:ascii="Arial" w:hAnsi="Arial" w:cs="Arial"/>
          <w:color w:val="222222"/>
          <w:szCs w:val="24"/>
          <w:shd w:val="clear" w:color="auto" w:fill="FFFFFF"/>
          <w:lang w:val="en-US"/>
        </w:rPr>
        <w:t xml:space="preserve"> </w:t>
      </w:r>
      <w:r w:rsidRPr="00EB049E">
        <w:rPr>
          <w:rFonts w:ascii="Arial" w:hAnsi="Arial" w:cs="Arial"/>
          <w:bCs/>
          <w:color w:val="000000"/>
          <w:szCs w:val="24"/>
          <w:lang w:val="en-US"/>
        </w:rPr>
        <w:t>DIFFEY, Brian L. Sources and measurement of ultraviolet radiation. Methods, v. 28, n. 1, p. 4-13, 2002.</w:t>
      </w:r>
    </w:p>
    <w:p w14:paraId="07B49495" w14:textId="77777777" w:rsidR="00EB049E" w:rsidRPr="00EB049E" w:rsidRDefault="00EB049E" w:rsidP="00EB049E">
      <w:pPr>
        <w:rPr>
          <w:rFonts w:ascii="Arial" w:hAnsi="Arial" w:cs="Arial"/>
          <w:color w:val="000000"/>
          <w:szCs w:val="24"/>
          <w:lang w:val="en-US"/>
        </w:rPr>
      </w:pPr>
    </w:p>
    <w:p w14:paraId="5FD8D321" w14:textId="77777777" w:rsidR="00EB049E" w:rsidRPr="00EB049E" w:rsidRDefault="00EB049E" w:rsidP="00EB049E">
      <w:pPr>
        <w:rPr>
          <w:rFonts w:ascii="Arial" w:hAnsi="Arial" w:cs="Arial"/>
          <w:color w:val="000000"/>
          <w:szCs w:val="24"/>
          <w:lang w:val="en-US"/>
        </w:rPr>
      </w:pPr>
      <w:r w:rsidRPr="00EB049E">
        <w:rPr>
          <w:rFonts w:ascii="Arial" w:hAnsi="Arial" w:cs="Arial"/>
          <w:color w:val="000000"/>
          <w:szCs w:val="24"/>
          <w:lang w:val="en-US"/>
        </w:rPr>
        <w:t>[7] BLATCHLEY III, Ernest R. et al. Far UV-C radiation: An emerging tool for pandemic control. Critical Reviews in Environmental Science and Technology, p. 1-21, 2022.</w:t>
      </w:r>
    </w:p>
    <w:p w14:paraId="53DC6DAF" w14:textId="77777777" w:rsidR="009C7019" w:rsidRPr="00212E4F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9C7019" w:rsidRPr="00212E4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F90D" w14:textId="77777777" w:rsidR="002D54F0" w:rsidRDefault="002D54F0" w:rsidP="002455D1">
      <w:pPr>
        <w:spacing w:line="240" w:lineRule="auto"/>
      </w:pPr>
      <w:r>
        <w:separator/>
      </w:r>
    </w:p>
  </w:endnote>
  <w:endnote w:type="continuationSeparator" w:id="0">
    <w:p w14:paraId="2EE2B789" w14:textId="77777777" w:rsidR="002D54F0" w:rsidRDefault="002D54F0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0F04" w14:textId="77777777" w:rsidR="002D54F0" w:rsidRDefault="002D54F0" w:rsidP="002455D1">
      <w:pPr>
        <w:spacing w:line="240" w:lineRule="auto"/>
      </w:pPr>
      <w:r>
        <w:separator/>
      </w:r>
    </w:p>
  </w:footnote>
  <w:footnote w:type="continuationSeparator" w:id="0">
    <w:p w14:paraId="3E696C1F" w14:textId="77777777" w:rsidR="002D54F0" w:rsidRDefault="002D54F0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2195913">
    <w:abstractNumId w:val="4"/>
  </w:num>
  <w:num w:numId="2" w16cid:durableId="1256671275">
    <w:abstractNumId w:val="2"/>
  </w:num>
  <w:num w:numId="3" w16cid:durableId="483812488">
    <w:abstractNumId w:val="5"/>
  </w:num>
  <w:num w:numId="4" w16cid:durableId="52898245">
    <w:abstractNumId w:val="1"/>
  </w:num>
  <w:num w:numId="5" w16cid:durableId="849024792">
    <w:abstractNumId w:val="0"/>
  </w:num>
  <w:num w:numId="6" w16cid:durableId="733895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C3A1B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D54F0"/>
    <w:rsid w:val="002E2633"/>
    <w:rsid w:val="002E389D"/>
    <w:rsid w:val="00330320"/>
    <w:rsid w:val="003404D0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049E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8D19"/>
  <w15:docId w15:val="{D0A62727-70EF-4CF6-A635-C3B964AF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Lauro Duarte</cp:lastModifiedBy>
  <cp:revision>2</cp:revision>
  <dcterms:created xsi:type="dcterms:W3CDTF">2022-10-22T22:34:00Z</dcterms:created>
  <dcterms:modified xsi:type="dcterms:W3CDTF">2022-10-22T22:34:00Z</dcterms:modified>
</cp:coreProperties>
</file>