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B8A4" w14:textId="32C2BA5A" w:rsidR="001E3B34" w:rsidRPr="009569B5" w:rsidRDefault="001E3B34" w:rsidP="009569B5">
      <w:pPr>
        <w:spacing w:line="240" w:lineRule="auto"/>
        <w:ind w:firstLine="720"/>
        <w:jc w:val="center"/>
        <w:rPr>
          <w:b/>
          <w:bCs/>
          <w:sz w:val="26"/>
          <w:szCs w:val="26"/>
        </w:rPr>
      </w:pPr>
      <w:r w:rsidRPr="009569B5">
        <w:rPr>
          <w:b/>
          <w:bCs/>
          <w:sz w:val="26"/>
          <w:szCs w:val="26"/>
        </w:rPr>
        <w:t>FORMAÇÃO DE IDENTIDADES: UMA PERSPECTIVA HISTÓRICA DO ENSINO FOLCLÓRICO</w:t>
      </w:r>
    </w:p>
    <w:p w14:paraId="21E6B3A7" w14:textId="77777777" w:rsidR="00EE2F4E" w:rsidRDefault="00EE2F4E" w:rsidP="009569B5">
      <w:pPr>
        <w:pStyle w:val="LO-normal"/>
        <w:spacing w:line="240" w:lineRule="auto"/>
        <w:ind w:firstLine="720"/>
        <w:jc w:val="right"/>
        <w:rPr>
          <w:i/>
          <w:color w:val="000000"/>
          <w:sz w:val="24"/>
          <w:szCs w:val="24"/>
        </w:rPr>
      </w:pPr>
    </w:p>
    <w:p w14:paraId="5CD77FAA" w14:textId="4E6F60F0" w:rsidR="00837C82" w:rsidRDefault="001E3B34" w:rsidP="009569B5">
      <w:pPr>
        <w:pStyle w:val="LO-normal"/>
        <w:spacing w:line="240" w:lineRule="auto"/>
        <w:ind w:firstLine="720"/>
        <w:jc w:val="right"/>
        <w:rPr>
          <w:i/>
          <w:color w:val="000000"/>
          <w:sz w:val="24"/>
          <w:szCs w:val="24"/>
        </w:rPr>
      </w:pPr>
      <w:r>
        <w:rPr>
          <w:i/>
          <w:color w:val="000000"/>
          <w:sz w:val="24"/>
          <w:szCs w:val="24"/>
        </w:rPr>
        <w:t xml:space="preserve">Bianca Jucá </w:t>
      </w:r>
      <w:proofErr w:type="spellStart"/>
      <w:r>
        <w:rPr>
          <w:i/>
          <w:color w:val="000000"/>
          <w:sz w:val="24"/>
          <w:szCs w:val="24"/>
        </w:rPr>
        <w:t>Bender</w:t>
      </w:r>
      <w:proofErr w:type="spellEnd"/>
      <w:r w:rsidR="00705651">
        <w:rPr>
          <w:rStyle w:val="Refdenotaderodap"/>
          <w:i/>
          <w:color w:val="000000"/>
          <w:sz w:val="24"/>
          <w:szCs w:val="24"/>
        </w:rPr>
        <w:footnoteReference w:id="1"/>
      </w:r>
    </w:p>
    <w:p w14:paraId="524974B9" w14:textId="77777777" w:rsidR="00837C82" w:rsidRDefault="00837C82" w:rsidP="001E3B34">
      <w:pPr>
        <w:pStyle w:val="LO-normal"/>
        <w:spacing w:line="240" w:lineRule="auto"/>
        <w:ind w:firstLine="720"/>
        <w:jc w:val="both"/>
        <w:rPr>
          <w:color w:val="000000"/>
          <w:sz w:val="24"/>
          <w:szCs w:val="24"/>
        </w:rPr>
      </w:pPr>
    </w:p>
    <w:p w14:paraId="670FC07C" w14:textId="77777777" w:rsidR="00837C82" w:rsidRDefault="00837C82" w:rsidP="001E3B34">
      <w:pPr>
        <w:pStyle w:val="LO-normal"/>
        <w:spacing w:line="240" w:lineRule="auto"/>
        <w:ind w:firstLine="720"/>
        <w:jc w:val="both"/>
        <w:rPr>
          <w:color w:val="000000"/>
          <w:sz w:val="24"/>
          <w:szCs w:val="24"/>
        </w:rPr>
      </w:pPr>
    </w:p>
    <w:p w14:paraId="331E0500" w14:textId="77777777" w:rsidR="009136CE" w:rsidRPr="00FB3B22" w:rsidRDefault="00683C12" w:rsidP="009136CE">
      <w:pPr>
        <w:spacing w:line="240" w:lineRule="auto"/>
        <w:ind w:firstLine="720"/>
        <w:jc w:val="both"/>
        <w:rPr>
          <w:sz w:val="20"/>
          <w:szCs w:val="20"/>
        </w:rPr>
      </w:pPr>
      <w:r>
        <w:rPr>
          <w:b/>
          <w:color w:val="000000"/>
          <w:sz w:val="20"/>
          <w:szCs w:val="20"/>
        </w:rPr>
        <w:t>Resumo:</w:t>
      </w:r>
      <w:r>
        <w:rPr>
          <w:color w:val="000000"/>
          <w:sz w:val="20"/>
          <w:szCs w:val="20"/>
        </w:rPr>
        <w:t xml:space="preserve"> </w:t>
      </w:r>
      <w:r w:rsidR="001E3B34" w:rsidRPr="00FB3B22">
        <w:rPr>
          <w:sz w:val="20"/>
          <w:szCs w:val="20"/>
        </w:rPr>
        <w:t>O trabalho reflete sobre questões relativas ao ensino da cultura popular e do folclore dentro dos ambientes de educação formal e de como esses elementos podem contribuir para a formação das identidades de sociedades, tais quais a brasileira. A partir do momento que analisamos de perto como esses elementos fazem parte não só da cultura, mas também da política, poderemos realizar uma análise mais consciente do seu papel na formação da Identidade Nacional Brasileira, assim como, refletir sobre os meios utilizados para a reprodução dos costumes, modos de sentir, pensar e agir</w:t>
      </w:r>
      <w:r w:rsidR="001E3B34" w:rsidRPr="00FB3B22">
        <w:rPr>
          <w:rStyle w:val="Refdenotaderodap"/>
          <w:sz w:val="20"/>
          <w:szCs w:val="20"/>
        </w:rPr>
        <w:footnoteReference w:id="2"/>
      </w:r>
      <w:r w:rsidR="001E3B34" w:rsidRPr="00FB3B22">
        <w:rPr>
          <w:sz w:val="20"/>
          <w:szCs w:val="20"/>
        </w:rPr>
        <w:t xml:space="preserve"> de um povo.</w:t>
      </w:r>
      <w:r w:rsidR="009136CE">
        <w:rPr>
          <w:sz w:val="20"/>
          <w:szCs w:val="20"/>
        </w:rPr>
        <w:t xml:space="preserve"> </w:t>
      </w:r>
      <w:r w:rsidR="00A531DA">
        <w:rPr>
          <w:sz w:val="20"/>
          <w:szCs w:val="20"/>
        </w:rPr>
        <w:t>Discute ainda</w:t>
      </w:r>
      <w:r w:rsidR="001E3B34">
        <w:rPr>
          <w:sz w:val="20"/>
          <w:szCs w:val="20"/>
        </w:rPr>
        <w:t xml:space="preserve">, </w:t>
      </w:r>
      <w:r w:rsidR="001E3B34" w:rsidRPr="00FB3B22">
        <w:rPr>
          <w:sz w:val="20"/>
          <w:szCs w:val="20"/>
        </w:rPr>
        <w:t>sob uma perspectiva histórica</w:t>
      </w:r>
      <w:r w:rsidR="001E3B34">
        <w:rPr>
          <w:sz w:val="20"/>
          <w:szCs w:val="20"/>
        </w:rPr>
        <w:t>,</w:t>
      </w:r>
      <w:r w:rsidR="001E3B34" w:rsidRPr="00FB3B22">
        <w:rPr>
          <w:sz w:val="20"/>
          <w:szCs w:val="20"/>
        </w:rPr>
        <w:t xml:space="preserve"> como os Estados</w:t>
      </w:r>
      <w:r w:rsidR="00595982">
        <w:rPr>
          <w:sz w:val="20"/>
          <w:szCs w:val="20"/>
        </w:rPr>
        <w:t>, de maneira geral,</w:t>
      </w:r>
      <w:r w:rsidR="001E3B34" w:rsidRPr="00FB3B22">
        <w:rPr>
          <w:sz w:val="20"/>
          <w:szCs w:val="20"/>
        </w:rPr>
        <w:t xml:space="preserve"> utilizam esses elementos culturais</w:t>
      </w:r>
      <w:r w:rsidR="00B707E1">
        <w:rPr>
          <w:rStyle w:val="Refdenotaderodap"/>
          <w:sz w:val="20"/>
          <w:szCs w:val="20"/>
        </w:rPr>
        <w:footnoteReference w:id="3"/>
      </w:r>
      <w:r w:rsidR="001E3B34" w:rsidRPr="00FB3B22">
        <w:rPr>
          <w:sz w:val="20"/>
          <w:szCs w:val="20"/>
        </w:rPr>
        <w:t xml:space="preserve"> em suas estruturas para organizar uma certa coesão social que lhe foi benéfica em momentos anteriores – durante a afirmação dos Estados Nacionais - e continua sendo no presente</w:t>
      </w:r>
      <w:r w:rsidR="001E3B34">
        <w:rPr>
          <w:sz w:val="20"/>
          <w:szCs w:val="20"/>
        </w:rPr>
        <w:t>,</w:t>
      </w:r>
      <w:r w:rsidR="001E3B34" w:rsidRPr="00FB3B22">
        <w:rPr>
          <w:sz w:val="20"/>
          <w:szCs w:val="20"/>
        </w:rPr>
        <w:t xml:space="preserve"> a partir do momento</w:t>
      </w:r>
      <w:r w:rsidR="00A531DA">
        <w:rPr>
          <w:sz w:val="20"/>
          <w:szCs w:val="20"/>
        </w:rPr>
        <w:t xml:space="preserve"> em</w:t>
      </w:r>
      <w:r w:rsidR="001E3B34" w:rsidRPr="00FB3B22">
        <w:rPr>
          <w:sz w:val="20"/>
          <w:szCs w:val="20"/>
        </w:rPr>
        <w:t xml:space="preserve"> que reforçar uma semelhança é também reforçar uma diferença em relação </w:t>
      </w:r>
      <w:r w:rsidR="001E3B34">
        <w:rPr>
          <w:sz w:val="20"/>
          <w:szCs w:val="20"/>
        </w:rPr>
        <w:t>às outras sociedades</w:t>
      </w:r>
      <w:r w:rsidR="001E3B34" w:rsidRPr="00FB3B22">
        <w:rPr>
          <w:rStyle w:val="Refdenotaderodap"/>
          <w:sz w:val="20"/>
          <w:szCs w:val="20"/>
        </w:rPr>
        <w:footnoteReference w:id="4"/>
      </w:r>
      <w:r w:rsidR="001E3B34" w:rsidRPr="00FB3B22">
        <w:rPr>
          <w:sz w:val="20"/>
          <w:szCs w:val="20"/>
        </w:rPr>
        <w:t>.</w:t>
      </w:r>
      <w:r w:rsidR="009F5BB1">
        <w:rPr>
          <w:sz w:val="20"/>
          <w:szCs w:val="20"/>
        </w:rPr>
        <w:t xml:space="preserve"> </w:t>
      </w:r>
      <w:r w:rsidR="009136CE" w:rsidRPr="00FB3B22">
        <w:rPr>
          <w:sz w:val="20"/>
          <w:szCs w:val="20"/>
        </w:rPr>
        <w:t xml:space="preserve">Assim, </w:t>
      </w:r>
      <w:r w:rsidR="009136CE">
        <w:rPr>
          <w:sz w:val="20"/>
          <w:szCs w:val="20"/>
        </w:rPr>
        <w:t>estudar</w:t>
      </w:r>
      <w:r w:rsidR="009136CE" w:rsidRPr="00FB3B22">
        <w:rPr>
          <w:sz w:val="20"/>
          <w:szCs w:val="20"/>
        </w:rPr>
        <w:t xml:space="preserve"> sobre como essas práticas culturais são sistematizadas dentro das instituições formais de ensino pode ser esclarecedor em muitos aspectos, porém, precisamente neste trabalho, sobre as questões pertinentes à formação da identidade nacional, dando sentido às suas práticas cotidianas e continuidade à cultura local/nacional. A cultura local é intencionalmente </w:t>
      </w:r>
      <w:r w:rsidR="009136CE">
        <w:rPr>
          <w:sz w:val="20"/>
          <w:szCs w:val="20"/>
        </w:rPr>
        <w:t>citada</w:t>
      </w:r>
      <w:r w:rsidR="009136CE" w:rsidRPr="00FB3B22">
        <w:rPr>
          <w:sz w:val="20"/>
          <w:szCs w:val="20"/>
        </w:rPr>
        <w:t xml:space="preserve"> neste momento para evidenciar que embora o Brasil seja um país continental, com múltiplas culturas locais, ainda assim</w:t>
      </w:r>
      <w:r w:rsidR="009136CE">
        <w:rPr>
          <w:sz w:val="20"/>
          <w:szCs w:val="20"/>
        </w:rPr>
        <w:t>,</w:t>
      </w:r>
      <w:r w:rsidR="009136CE" w:rsidRPr="00FB3B22">
        <w:rPr>
          <w:sz w:val="20"/>
          <w:szCs w:val="20"/>
        </w:rPr>
        <w:t xml:space="preserve"> possui elementos culturais que perpassam, através da história, as diferentes regiões e de certa forma as integra legitimando o sentimento de pertencimento.</w:t>
      </w:r>
    </w:p>
    <w:p w14:paraId="5C5E9591" w14:textId="21B295F0" w:rsidR="00A531DA" w:rsidRPr="00B707E1" w:rsidRDefault="00A531DA" w:rsidP="009136CE">
      <w:pPr>
        <w:spacing w:line="240" w:lineRule="auto"/>
        <w:ind w:firstLine="720"/>
        <w:jc w:val="both"/>
        <w:rPr>
          <w:sz w:val="20"/>
          <w:szCs w:val="20"/>
        </w:rPr>
      </w:pPr>
    </w:p>
    <w:p w14:paraId="5F7582CF" w14:textId="59102B6B" w:rsidR="001E3B34" w:rsidRPr="00FB3B22" w:rsidRDefault="001E3B34" w:rsidP="001E3B34">
      <w:pPr>
        <w:spacing w:line="240" w:lineRule="auto"/>
        <w:ind w:firstLine="720"/>
        <w:jc w:val="both"/>
        <w:rPr>
          <w:sz w:val="20"/>
          <w:szCs w:val="20"/>
        </w:rPr>
      </w:pPr>
      <w:r w:rsidRPr="00FB3B22">
        <w:rPr>
          <w:sz w:val="20"/>
          <w:szCs w:val="20"/>
        </w:rPr>
        <w:t xml:space="preserve"> </w:t>
      </w:r>
    </w:p>
    <w:p w14:paraId="6FEB3F84" w14:textId="264FE450" w:rsidR="00837C82" w:rsidRPr="00595982" w:rsidRDefault="00683C12" w:rsidP="001E3B34">
      <w:pPr>
        <w:pStyle w:val="LO-normal"/>
        <w:spacing w:line="240" w:lineRule="auto"/>
        <w:ind w:firstLine="720"/>
        <w:jc w:val="both"/>
        <w:rPr>
          <w:bCs/>
          <w:color w:val="000000"/>
          <w:sz w:val="20"/>
          <w:szCs w:val="20"/>
        </w:rPr>
      </w:pPr>
      <w:r>
        <w:rPr>
          <w:b/>
          <w:sz w:val="20"/>
          <w:szCs w:val="20"/>
        </w:rPr>
        <w:t xml:space="preserve">Palavras-chave: </w:t>
      </w:r>
      <w:r w:rsidR="00595982">
        <w:rPr>
          <w:bCs/>
          <w:sz w:val="20"/>
          <w:szCs w:val="20"/>
        </w:rPr>
        <w:t>Cultura. Folclore. Identidade Nacional</w:t>
      </w:r>
      <w:r w:rsidR="00A531DA">
        <w:rPr>
          <w:bCs/>
          <w:sz w:val="20"/>
          <w:szCs w:val="20"/>
        </w:rPr>
        <w:t>.</w:t>
      </w:r>
    </w:p>
    <w:p w14:paraId="2EF0A862" w14:textId="77777777" w:rsidR="00837C82" w:rsidRDefault="00837C82" w:rsidP="001E3B34">
      <w:pPr>
        <w:pStyle w:val="LO-normal"/>
        <w:spacing w:line="240" w:lineRule="auto"/>
        <w:ind w:firstLine="720"/>
        <w:jc w:val="both"/>
        <w:rPr>
          <w:color w:val="000000"/>
          <w:sz w:val="24"/>
          <w:szCs w:val="24"/>
        </w:rPr>
      </w:pPr>
    </w:p>
    <w:p w14:paraId="61789423" w14:textId="77777777" w:rsidR="00837C82" w:rsidRPr="009569B5" w:rsidRDefault="00683C12" w:rsidP="001E3B34">
      <w:pPr>
        <w:pStyle w:val="LO-normal"/>
        <w:spacing w:line="240" w:lineRule="auto"/>
        <w:ind w:firstLine="720"/>
        <w:jc w:val="both"/>
        <w:rPr>
          <w:b/>
          <w:color w:val="000000"/>
          <w:sz w:val="20"/>
          <w:szCs w:val="20"/>
        </w:rPr>
      </w:pPr>
      <w:bookmarkStart w:id="0" w:name="_Hlk85210731"/>
      <w:r w:rsidRPr="009569B5">
        <w:rPr>
          <w:b/>
          <w:color w:val="000000"/>
          <w:sz w:val="20"/>
          <w:szCs w:val="20"/>
        </w:rPr>
        <w:t>Referências Bibliográficas</w:t>
      </w:r>
    </w:p>
    <w:p w14:paraId="69D7E911" w14:textId="77777777" w:rsidR="00837C82" w:rsidRDefault="00837C82" w:rsidP="001E3B34">
      <w:pPr>
        <w:pStyle w:val="LO-normal"/>
        <w:spacing w:line="240" w:lineRule="auto"/>
        <w:ind w:firstLine="720"/>
        <w:jc w:val="both"/>
        <w:rPr>
          <w:b/>
          <w:color w:val="000000"/>
          <w:sz w:val="24"/>
          <w:szCs w:val="24"/>
        </w:rPr>
      </w:pPr>
    </w:p>
    <w:p w14:paraId="01969EB7" w14:textId="14A01010" w:rsidR="00A531DA" w:rsidRDefault="00A531DA" w:rsidP="00897A8D">
      <w:pPr>
        <w:pStyle w:val="LO-normal"/>
        <w:spacing w:line="240" w:lineRule="auto"/>
        <w:jc w:val="both"/>
        <w:rPr>
          <w:color w:val="000000"/>
          <w:sz w:val="20"/>
          <w:szCs w:val="20"/>
        </w:rPr>
      </w:pPr>
      <w:r>
        <w:rPr>
          <w:color w:val="000000"/>
          <w:sz w:val="20"/>
          <w:szCs w:val="20"/>
        </w:rPr>
        <w:t xml:space="preserve">CARNEIRO, Edson. </w:t>
      </w:r>
      <w:r w:rsidRPr="00A531DA">
        <w:rPr>
          <w:b/>
          <w:bCs/>
          <w:color w:val="000000"/>
          <w:sz w:val="20"/>
          <w:szCs w:val="20"/>
        </w:rPr>
        <w:t>Dinâmica do Folclore</w:t>
      </w:r>
      <w:r>
        <w:rPr>
          <w:color w:val="000000"/>
          <w:sz w:val="20"/>
          <w:szCs w:val="20"/>
        </w:rPr>
        <w:t>. 3</w:t>
      </w:r>
      <w:r w:rsidR="009569B5">
        <w:rPr>
          <w:color w:val="000000"/>
          <w:sz w:val="20"/>
          <w:szCs w:val="20"/>
        </w:rPr>
        <w:t xml:space="preserve">. </w:t>
      </w:r>
      <w:r>
        <w:rPr>
          <w:color w:val="000000"/>
          <w:sz w:val="20"/>
          <w:szCs w:val="20"/>
        </w:rPr>
        <w:t>ed. São Paulo: WMF Martins Fontes, 2008.</w:t>
      </w:r>
    </w:p>
    <w:p w14:paraId="1206A21C" w14:textId="708D035F" w:rsidR="00837C82" w:rsidRDefault="00595982" w:rsidP="00897A8D">
      <w:pPr>
        <w:pStyle w:val="LO-normal"/>
        <w:spacing w:line="240" w:lineRule="auto"/>
        <w:jc w:val="both"/>
        <w:rPr>
          <w:color w:val="000000"/>
          <w:sz w:val="20"/>
          <w:szCs w:val="20"/>
        </w:rPr>
      </w:pPr>
      <w:r w:rsidRPr="00A531DA">
        <w:rPr>
          <w:color w:val="000000"/>
          <w:sz w:val="20"/>
          <w:szCs w:val="20"/>
        </w:rPr>
        <w:t xml:space="preserve">ORTIZ, Renato. Anotações sobre o universal e a diversidade. </w:t>
      </w:r>
      <w:r w:rsidRPr="00A531DA">
        <w:rPr>
          <w:b/>
          <w:bCs/>
          <w:color w:val="000000"/>
          <w:sz w:val="20"/>
          <w:szCs w:val="20"/>
        </w:rPr>
        <w:t>Revista Brasileira de Educação</w:t>
      </w:r>
      <w:r w:rsidRPr="00A531DA">
        <w:rPr>
          <w:color w:val="000000"/>
          <w:sz w:val="20"/>
          <w:szCs w:val="20"/>
        </w:rPr>
        <w:t>, Campinas, v. 12, p</w:t>
      </w:r>
      <w:r w:rsidR="00A531DA" w:rsidRPr="00A531DA">
        <w:rPr>
          <w:color w:val="000000"/>
          <w:sz w:val="20"/>
          <w:szCs w:val="20"/>
        </w:rPr>
        <w:t>. 7-16, 2007.</w:t>
      </w:r>
    </w:p>
    <w:p w14:paraId="327F4C49" w14:textId="77777777" w:rsidR="00897A8D" w:rsidRPr="00897A8D" w:rsidRDefault="00897A8D" w:rsidP="00897A8D">
      <w:pPr>
        <w:pStyle w:val="Textodenotaderodap"/>
        <w:spacing w:after="200"/>
        <w:jc w:val="both"/>
        <w:rPr>
          <w:rFonts w:cs="Arial"/>
          <w:szCs w:val="20"/>
        </w:rPr>
      </w:pPr>
      <w:r w:rsidRPr="00897A8D">
        <w:rPr>
          <w:rFonts w:cs="Arial"/>
          <w:szCs w:val="20"/>
          <w:shd w:val="clear" w:color="auto" w:fill="FFFFFF"/>
        </w:rPr>
        <w:t>THOMPSON, E. P. “Folclore, Antropologia e História Social”. In: ______.</w:t>
      </w:r>
      <w:r w:rsidRPr="00897A8D">
        <w:rPr>
          <w:rStyle w:val="apple-converted-space"/>
          <w:rFonts w:cs="Arial"/>
          <w:szCs w:val="20"/>
          <w:shd w:val="clear" w:color="auto" w:fill="FFFFFF"/>
        </w:rPr>
        <w:t> </w:t>
      </w:r>
      <w:r w:rsidRPr="00897A8D">
        <w:rPr>
          <w:rStyle w:val="Forte"/>
          <w:rFonts w:cs="Arial"/>
          <w:i/>
          <w:szCs w:val="20"/>
          <w:shd w:val="clear" w:color="auto" w:fill="FFFFFF"/>
        </w:rPr>
        <w:t>As peculiaridades dos ingleses e outros artigos</w:t>
      </w:r>
      <w:r w:rsidRPr="00897A8D">
        <w:rPr>
          <w:rFonts w:cs="Arial"/>
          <w:bCs/>
          <w:i/>
          <w:szCs w:val="20"/>
          <w:shd w:val="clear" w:color="auto" w:fill="FFFFFF"/>
        </w:rPr>
        <w:t>.</w:t>
      </w:r>
      <w:r w:rsidRPr="00897A8D">
        <w:rPr>
          <w:rFonts w:cs="Arial"/>
          <w:szCs w:val="20"/>
          <w:shd w:val="clear" w:color="auto" w:fill="FFFFFF"/>
        </w:rPr>
        <w:t xml:space="preserve"> Organização Antônio Luigi Negro e Sergio Silva. Campinas, SP: Ed. da Unicamp, 2001.</w:t>
      </w:r>
      <w:bookmarkEnd w:id="0"/>
    </w:p>
    <w:p w14:paraId="6CC73D15" w14:textId="77777777" w:rsidR="00897A8D" w:rsidRPr="00A531DA" w:rsidRDefault="00897A8D" w:rsidP="001E3B34">
      <w:pPr>
        <w:pStyle w:val="LO-normal"/>
        <w:spacing w:line="240" w:lineRule="auto"/>
        <w:ind w:firstLine="720"/>
        <w:jc w:val="both"/>
        <w:rPr>
          <w:b/>
          <w:bCs/>
          <w:color w:val="000000"/>
          <w:sz w:val="20"/>
          <w:szCs w:val="20"/>
        </w:rPr>
      </w:pPr>
    </w:p>
    <w:sectPr w:rsidR="00897A8D" w:rsidRPr="00A531DA" w:rsidSect="001E3B34">
      <w:headerReference w:type="default" r:id="rId7"/>
      <w:footerReference w:type="default" r:id="rId8"/>
      <w:pgSz w:w="11906" w:h="16838" w:code="9"/>
      <w:pgMar w:top="1418" w:right="1134" w:bottom="1418" w:left="1418"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5C78" w14:textId="77777777" w:rsidR="00AB4BA8" w:rsidRDefault="00AB4BA8">
      <w:pPr>
        <w:spacing w:line="240" w:lineRule="auto"/>
      </w:pPr>
      <w:r>
        <w:separator/>
      </w:r>
    </w:p>
  </w:endnote>
  <w:endnote w:type="continuationSeparator" w:id="0">
    <w:p w14:paraId="243E523C" w14:textId="77777777" w:rsidR="00AB4BA8" w:rsidRDefault="00AB4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5341" w14:textId="77777777" w:rsidR="00837C82" w:rsidRDefault="00683C12">
    <w:pPr>
      <w:pStyle w:val="LO-normal"/>
      <w:tabs>
        <w:tab w:val="center" w:pos="4252"/>
        <w:tab w:val="right" w:pos="8504"/>
      </w:tabs>
      <w:spacing w:line="240" w:lineRule="auto"/>
      <w:jc w:val="right"/>
      <w:rPr>
        <w:color w:val="000000"/>
      </w:rPr>
    </w:pPr>
    <w:r>
      <w:fldChar w:fldCharType="begin"/>
    </w:r>
    <w:r>
      <w:instrText>PAGE</w:instrText>
    </w:r>
    <w:r>
      <w:fldChar w:fldCharType="separate"/>
    </w:r>
    <w:r>
      <w:t>1</w:t>
    </w:r>
    <w:r>
      <w:fldChar w:fldCharType="end"/>
    </w:r>
  </w:p>
  <w:p w14:paraId="41638AC1" w14:textId="77777777" w:rsidR="00837C82" w:rsidRDefault="00683C12">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IV </w:t>
    </w:r>
    <w:r>
      <w:rPr>
        <w:rFonts w:ascii="Roboto" w:eastAsia="Roboto" w:hAnsi="Roboto" w:cs="Roboto"/>
        <w:color w:val="000000"/>
        <w:sz w:val="16"/>
        <w:szCs w:val="16"/>
        <w:highlight w:val="white"/>
      </w:rPr>
      <w:t xml:space="preserve">Seminário Discente PPGEDU – Universidade Federal Fluminense </w:t>
    </w:r>
  </w:p>
  <w:p w14:paraId="22CED30D" w14:textId="77777777" w:rsidR="00837C82" w:rsidRDefault="00683C12">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50 anos de PGGEDU: Em defesa da Educação Pública </w:t>
    </w:r>
  </w:p>
  <w:p w14:paraId="73835164" w14:textId="77777777" w:rsidR="00837C82" w:rsidRDefault="00683C12">
    <w:pPr>
      <w:pStyle w:val="LO-normal"/>
      <w:jc w:val="center"/>
      <w:rPr>
        <w:color w:val="000000"/>
        <w:sz w:val="16"/>
        <w:szCs w:val="16"/>
      </w:rPr>
    </w:pPr>
    <w:r>
      <w:rPr>
        <w:rFonts w:ascii="Roboto" w:eastAsia="Roboto" w:hAnsi="Roboto" w:cs="Roboto"/>
        <w:color w:val="000000"/>
        <w:sz w:val="16"/>
        <w:szCs w:val="16"/>
        <w:highlight w:val="white"/>
      </w:rPr>
      <w:t>Niterói – RJ, 23</w:t>
    </w:r>
    <w:r>
      <w:rPr>
        <w:rFonts w:ascii="Roboto" w:eastAsia="Roboto" w:hAnsi="Roboto" w:cs="Roboto"/>
        <w:sz w:val="16"/>
        <w:szCs w:val="16"/>
        <w:highlight w:val="white"/>
      </w:rPr>
      <w:t>,</w:t>
    </w:r>
    <w:r>
      <w:rPr>
        <w:rFonts w:ascii="Roboto" w:eastAsia="Roboto" w:hAnsi="Roboto" w:cs="Roboto"/>
        <w:color w:val="000000"/>
        <w:sz w:val="16"/>
        <w:szCs w:val="16"/>
        <w:highlight w:val="white"/>
      </w:rPr>
      <w:t xml:space="preserve">24 e </w:t>
    </w:r>
    <w:proofErr w:type="gramStart"/>
    <w:r>
      <w:rPr>
        <w:rFonts w:ascii="Roboto" w:eastAsia="Roboto" w:hAnsi="Roboto" w:cs="Roboto"/>
        <w:color w:val="000000"/>
        <w:sz w:val="16"/>
        <w:szCs w:val="16"/>
        <w:highlight w:val="white"/>
      </w:rPr>
      <w:t>25  de</w:t>
    </w:r>
    <w:proofErr w:type="gramEnd"/>
    <w:r>
      <w:rPr>
        <w:rFonts w:ascii="Roboto" w:eastAsia="Roboto" w:hAnsi="Roboto" w:cs="Roboto"/>
        <w:sz w:val="16"/>
        <w:szCs w:val="16"/>
        <w:highlight w:val="white"/>
      </w:rPr>
      <w:t xml:space="preserve"> novembro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804A" w14:textId="77777777" w:rsidR="00AB4BA8" w:rsidRDefault="00AB4BA8">
      <w:pPr>
        <w:spacing w:line="240" w:lineRule="auto"/>
      </w:pPr>
      <w:r>
        <w:separator/>
      </w:r>
    </w:p>
  </w:footnote>
  <w:footnote w:type="continuationSeparator" w:id="0">
    <w:p w14:paraId="0B78E1BD" w14:textId="77777777" w:rsidR="00AB4BA8" w:rsidRDefault="00AB4BA8">
      <w:pPr>
        <w:spacing w:line="240" w:lineRule="auto"/>
      </w:pPr>
      <w:r>
        <w:continuationSeparator/>
      </w:r>
    </w:p>
  </w:footnote>
  <w:footnote w:id="1">
    <w:p w14:paraId="729C07AD" w14:textId="2CEAF780" w:rsidR="00705651" w:rsidRDefault="00705651" w:rsidP="00705651">
      <w:pPr>
        <w:pStyle w:val="Textodenotaderodap"/>
        <w:jc w:val="both"/>
      </w:pPr>
      <w:r>
        <w:rPr>
          <w:rStyle w:val="Refdenotaderodap"/>
        </w:rPr>
        <w:footnoteRef/>
      </w:r>
      <w:r>
        <w:t xml:space="preserve"> Mestranda do Programa de Pós Graduação em Educação – Universidade Federal Fluminense.</w:t>
      </w:r>
    </w:p>
    <w:p w14:paraId="1007699C" w14:textId="6040D09C" w:rsidR="00705651" w:rsidRDefault="00705651" w:rsidP="00705651">
      <w:pPr>
        <w:pStyle w:val="Textodenotaderodap"/>
        <w:jc w:val="both"/>
      </w:pPr>
      <w:r>
        <w:t>biabender@hotmail.com</w:t>
      </w:r>
    </w:p>
  </w:footnote>
  <w:footnote w:id="2">
    <w:p w14:paraId="347CCAF2" w14:textId="36D5A088" w:rsidR="001E3B34" w:rsidRDefault="001E3B34" w:rsidP="009F5BB1">
      <w:pPr>
        <w:pStyle w:val="Textodenotaderodap"/>
        <w:jc w:val="both"/>
      </w:pPr>
      <w:r>
        <w:rPr>
          <w:rStyle w:val="Refdenotaderodap"/>
        </w:rPr>
        <w:footnoteRef/>
      </w:r>
      <w:r w:rsidR="007D77E3">
        <w:t xml:space="preserve"> </w:t>
      </w:r>
      <w:r>
        <w:t xml:space="preserve">Carneiro defende a ideia de que a maneira como um povo se comporta faz parte da cultura </w:t>
      </w:r>
      <w:r w:rsidR="007D77E3">
        <w:t xml:space="preserve">na qual </w:t>
      </w:r>
      <w:r>
        <w:t>estão inseridos. Dentro desta lógica todos são responsáveis por “ensinar”, mesmo que de maneira inconsciente</w:t>
      </w:r>
      <w:r w:rsidR="00897A8D">
        <w:t>,</w:t>
      </w:r>
      <w:r>
        <w:t xml:space="preserve"> a cultura, os costumes e regras para os novatos. </w:t>
      </w:r>
    </w:p>
  </w:footnote>
  <w:footnote w:id="3">
    <w:p w14:paraId="646625CF" w14:textId="7B8CD918" w:rsidR="00B707E1" w:rsidRDefault="00B707E1" w:rsidP="009F5BB1">
      <w:pPr>
        <w:pStyle w:val="Textodenotaderodap"/>
        <w:jc w:val="both"/>
      </w:pPr>
      <w:r>
        <w:rPr>
          <w:rStyle w:val="Refdenotaderodap"/>
        </w:rPr>
        <w:footnoteRef/>
      </w:r>
      <w:r>
        <w:t xml:space="preserve"> Os conceitos</w:t>
      </w:r>
      <w:r w:rsidR="007D77E3">
        <w:t xml:space="preserve"> da</w:t>
      </w:r>
      <w:r>
        <w:t xml:space="preserve"> História Social de</w:t>
      </w:r>
      <w:r w:rsidR="007D77E3">
        <w:t xml:space="preserve">fendidos por </w:t>
      </w:r>
      <w:r>
        <w:t xml:space="preserve">Thompson nos ajudam a compreender como a cultura é fundamental para o entendimento de questões relativas à sociedade como ética, normas e de como esses temas são fundamentais para o entendimento de uma “história vista de baixo”. </w:t>
      </w:r>
    </w:p>
  </w:footnote>
  <w:footnote w:id="4">
    <w:p w14:paraId="3282738A" w14:textId="06DE464E" w:rsidR="001E3B34" w:rsidRDefault="001E3B34" w:rsidP="009F5BB1">
      <w:pPr>
        <w:pStyle w:val="Textodenotaderodap"/>
        <w:jc w:val="both"/>
      </w:pPr>
      <w:r>
        <w:rPr>
          <w:rStyle w:val="Refdenotaderodap"/>
        </w:rPr>
        <w:footnoteRef/>
      </w:r>
      <w:r>
        <w:t xml:space="preserve"> Ortiz </w:t>
      </w:r>
      <w:r w:rsidR="007D77E3">
        <w:t xml:space="preserve">entende </w:t>
      </w:r>
      <w:r>
        <w:t xml:space="preserve">a cultura como elemento universal que age paradoxalmente como elemento de diferença definindo os limites de cada sociedade.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8DC0" w14:textId="77777777" w:rsidR="00837C82" w:rsidRDefault="00683C12">
    <w:pPr>
      <w:pStyle w:val="LO-normal"/>
      <w:jc w:val="center"/>
      <w:rPr>
        <w:color w:val="000000"/>
      </w:rPr>
    </w:pPr>
    <w:r>
      <w:rPr>
        <w:noProof/>
      </w:rPr>
      <w:drawing>
        <wp:inline distT="0" distB="0" distL="0" distR="0" wp14:anchorId="69CDE0B1" wp14:editId="1A31CAC8">
          <wp:extent cx="5939790" cy="1104900"/>
          <wp:effectExtent l="0" t="0" r="0" b="0"/>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93979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82"/>
    <w:rsid w:val="001D730B"/>
    <w:rsid w:val="001E3B34"/>
    <w:rsid w:val="00541C4F"/>
    <w:rsid w:val="00595982"/>
    <w:rsid w:val="0065545C"/>
    <w:rsid w:val="00683C12"/>
    <w:rsid w:val="00700E58"/>
    <w:rsid w:val="00705651"/>
    <w:rsid w:val="007D77E3"/>
    <w:rsid w:val="00837C82"/>
    <w:rsid w:val="00897A8D"/>
    <w:rsid w:val="009136CE"/>
    <w:rsid w:val="009569B5"/>
    <w:rsid w:val="009F5BB1"/>
    <w:rsid w:val="00A531DA"/>
    <w:rsid w:val="00AB4BA8"/>
    <w:rsid w:val="00B707E1"/>
    <w:rsid w:val="00BB257C"/>
    <w:rsid w:val="00EE2F4E"/>
    <w:rsid w:val="00FF47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B99D"/>
  <w15:docId w15:val="{065C654F-B4B3-4BDD-9AF8-00D7D6A4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uiPriority w:val="9"/>
    <w:qFormat/>
    <w:pPr>
      <w:keepNext/>
      <w:keepLines/>
      <w:spacing w:before="400" w:after="120"/>
      <w:outlineLvl w:val="0"/>
    </w:pPr>
    <w:rPr>
      <w:color w:val="000000"/>
      <w:sz w:val="40"/>
      <w:szCs w:val="40"/>
    </w:rPr>
  </w:style>
  <w:style w:type="paragraph" w:styleId="Ttulo2">
    <w:name w:val="heading 2"/>
    <w:basedOn w:val="LO-normal"/>
    <w:next w:val="LO-normal"/>
    <w:uiPriority w:val="9"/>
    <w:semiHidden/>
    <w:unhideWhenUsed/>
    <w:qFormat/>
    <w:pPr>
      <w:keepNext/>
      <w:keepLines/>
      <w:spacing w:before="360" w:after="120"/>
      <w:outlineLvl w:val="1"/>
    </w:pPr>
    <w:rPr>
      <w:color w:val="000000"/>
      <w:sz w:val="32"/>
      <w:szCs w:val="32"/>
    </w:rPr>
  </w:style>
  <w:style w:type="paragraph" w:styleId="Ttulo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outlineLvl w:val="4"/>
    </w:pPr>
    <w:rPr>
      <w:color w:val="666666"/>
    </w:rPr>
  </w:style>
  <w:style w:type="paragraph" w:styleId="Ttulo6">
    <w:name w:val="heading 6"/>
    <w:basedOn w:val="LO-normal"/>
    <w:next w:val="LO-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uiPriority w:val="10"/>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uiPriority w:val="11"/>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notaderodap">
    <w:name w:val="footnote text"/>
    <w:basedOn w:val="Normal"/>
    <w:link w:val="TextodenotaderodapChar"/>
    <w:uiPriority w:val="99"/>
    <w:unhideWhenUsed/>
    <w:rsid w:val="001E3B34"/>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qFormat/>
    <w:rsid w:val="001E3B34"/>
    <w:rPr>
      <w:rFonts w:cs="Mangal"/>
      <w:sz w:val="20"/>
      <w:szCs w:val="18"/>
    </w:rPr>
  </w:style>
  <w:style w:type="character" w:styleId="Refdenotaderodap">
    <w:name w:val="footnote reference"/>
    <w:basedOn w:val="Fontepargpadro"/>
    <w:uiPriority w:val="99"/>
    <w:semiHidden/>
    <w:unhideWhenUsed/>
    <w:rsid w:val="001E3B34"/>
    <w:rPr>
      <w:vertAlign w:val="superscript"/>
    </w:rPr>
  </w:style>
  <w:style w:type="character" w:customStyle="1" w:styleId="apple-converted-space">
    <w:name w:val="apple-converted-space"/>
    <w:basedOn w:val="Fontepargpadro"/>
    <w:qFormat/>
    <w:rsid w:val="00897A8D"/>
  </w:style>
  <w:style w:type="character" w:styleId="Forte">
    <w:name w:val="Strong"/>
    <w:basedOn w:val="Fontepargpadro"/>
    <w:uiPriority w:val="22"/>
    <w:qFormat/>
    <w:rsid w:val="00897A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AB15-C88B-41C8-9B1D-6C89BCB2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333</Words>
  <Characters>1931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BIANCA JUCA BENDER</cp:lastModifiedBy>
  <cp:revision>5</cp:revision>
  <dcterms:created xsi:type="dcterms:W3CDTF">2021-10-14T22:32:00Z</dcterms:created>
  <dcterms:modified xsi:type="dcterms:W3CDTF">2021-10-16T15:46:00Z</dcterms:modified>
  <dc:language>pt-BR</dc:language>
</cp:coreProperties>
</file>