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C41DF5" w14:textId="77777777" w:rsidR="004C0A5E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ANÁLISE COMPARATIVA DE ALGORITMOS DE CLASSIFICAÇÃO SUPERVISIONADA NA RESERVA EXTRATIVISTA MARINHA CUINARANA, PARÁ</w:t>
      </w:r>
    </w:p>
    <w:p w14:paraId="14BE0A26" w14:textId="77777777" w:rsidR="004C0A5E" w:rsidRDefault="004C0A5E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</w:p>
    <w:p w14:paraId="5998103C" w14:textId="77777777" w:rsidR="004C0A5E" w:rsidRDefault="00000000">
      <w:pPr>
        <w:shd w:val="clear" w:color="auto" w:fill="FFFFFF"/>
        <w:tabs>
          <w:tab w:val="left" w:pos="2500"/>
        </w:tabs>
        <w:jc w:val="center"/>
        <w:rPr>
          <w:rFonts w:ascii="Gadugi" w:eastAsia="Gadugi" w:hAnsi="Gadugi" w:cs="Gadugi"/>
          <w:sz w:val="24"/>
          <w:szCs w:val="24"/>
          <w:vertAlign w:val="superscript"/>
        </w:rPr>
      </w:pPr>
      <w:r>
        <w:rPr>
          <w:sz w:val="24"/>
          <w:szCs w:val="24"/>
        </w:rPr>
        <w:t>Euller Pimentel Teixeira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>, Gustavo Kaê Lima Gouveia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, Ruan Matheus Barroso Silva³, Bianca Cristine Lima Gouveia</w:t>
      </w:r>
      <w:r>
        <w:rPr>
          <w:sz w:val="24"/>
          <w:szCs w:val="24"/>
          <w:vertAlign w:val="superscript"/>
        </w:rPr>
        <w:t>4</w:t>
      </w:r>
      <w:r>
        <w:rPr>
          <w:sz w:val="24"/>
          <w:szCs w:val="24"/>
        </w:rPr>
        <w:t>, Taynara Santos Amaral</w:t>
      </w:r>
      <w:r>
        <w:rPr>
          <w:sz w:val="24"/>
          <w:szCs w:val="24"/>
          <w:vertAlign w:val="superscript"/>
        </w:rPr>
        <w:t>5</w:t>
      </w:r>
      <w:r>
        <w:rPr>
          <w:sz w:val="24"/>
          <w:szCs w:val="24"/>
        </w:rPr>
        <w:t>, Maria Luiza Nascimento Dias</w:t>
      </w:r>
      <w:r>
        <w:rPr>
          <w:sz w:val="24"/>
          <w:szCs w:val="24"/>
          <w:vertAlign w:val="superscript"/>
        </w:rPr>
        <w:t>6</w:t>
      </w:r>
    </w:p>
    <w:p w14:paraId="39B3A760" w14:textId="77777777" w:rsidR="004C0A5E" w:rsidRDefault="004C0A5E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</w:p>
    <w:p w14:paraId="3C28DA4D" w14:textId="77777777" w:rsidR="004C0A5E" w:rsidRDefault="00000000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>Graduado em Engenharia Ambiental e Energias Renováveis. Universidade Federal Rural da Amazônia. Email: euller.pimentel19@gmail.com.</w:t>
      </w:r>
    </w:p>
    <w:p w14:paraId="064BA04E" w14:textId="77777777" w:rsidR="004C0A5E" w:rsidRDefault="00000000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Graduado em Engenharia Ambiental e Energias Renováveis. Universidade Federal Rural da Amazônia.</w:t>
      </w:r>
    </w:p>
    <w:p w14:paraId="1E518C22" w14:textId="77777777" w:rsidR="004C0A5E" w:rsidRDefault="00000000">
      <w:pPr>
        <w:shd w:val="clear" w:color="auto" w:fill="FFFFFF"/>
        <w:tabs>
          <w:tab w:val="left" w:pos="2500"/>
        </w:tabs>
        <w:jc w:val="center"/>
        <w:rPr>
          <w:sz w:val="24"/>
          <w:szCs w:val="24"/>
          <w:vertAlign w:val="superscript"/>
        </w:rPr>
      </w:pP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>Graduado em Ciências Contábeis. Universidade Federal Rural da Amazônia.</w:t>
      </w:r>
      <w:r>
        <w:rPr>
          <w:sz w:val="24"/>
          <w:szCs w:val="24"/>
          <w:vertAlign w:val="superscript"/>
        </w:rPr>
        <w:t xml:space="preserve"> </w:t>
      </w:r>
    </w:p>
    <w:p w14:paraId="3979A5E1" w14:textId="77777777" w:rsidR="004C0A5E" w:rsidRDefault="00000000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4</w:t>
      </w:r>
      <w:r>
        <w:rPr>
          <w:sz w:val="24"/>
          <w:szCs w:val="24"/>
        </w:rPr>
        <w:t>Graduanda em Administração. Universidade Federal Rural da Amazônia.</w:t>
      </w:r>
    </w:p>
    <w:p w14:paraId="0ADD850E" w14:textId="77777777" w:rsidR="004C0A5E" w:rsidRDefault="00000000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5</w:t>
      </w:r>
      <w:r>
        <w:rPr>
          <w:sz w:val="24"/>
          <w:szCs w:val="24"/>
        </w:rPr>
        <w:t>Mestre em Ciências Ambientais. Universidade Federal do Pará.</w:t>
      </w:r>
    </w:p>
    <w:p w14:paraId="6F46152B" w14:textId="77777777" w:rsidR="004C0A5E" w:rsidRDefault="00000000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6</w:t>
      </w:r>
      <w:r>
        <w:rPr>
          <w:sz w:val="24"/>
          <w:szCs w:val="24"/>
        </w:rPr>
        <w:t>Doutoranda do Programa de Pós-graduação em Ciências Ambientais. Universidade Federal do Pará.</w:t>
      </w:r>
    </w:p>
    <w:p w14:paraId="6EA6FD77" w14:textId="77777777" w:rsidR="004C0A5E" w:rsidRDefault="004C0A5E">
      <w:pPr>
        <w:keepLines/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10" w:lineRule="auto"/>
        <w:jc w:val="center"/>
        <w:rPr>
          <w:sz w:val="24"/>
          <w:szCs w:val="24"/>
        </w:rPr>
      </w:pPr>
    </w:p>
    <w:p w14:paraId="1756BF56" w14:textId="77777777" w:rsidR="004C0A5E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RESUMO</w:t>
      </w:r>
    </w:p>
    <w:p w14:paraId="75F6F884" w14:textId="77777777" w:rsidR="004C0A5E" w:rsidRDefault="00000000">
      <w:pPr>
        <w:widowControl/>
        <w:jc w:val="both"/>
      </w:pPr>
      <w:bookmarkStart w:id="0" w:name="_heading=h.zi3iiri698t" w:colFirst="0" w:colLast="0"/>
      <w:bookmarkEnd w:id="0"/>
      <w:r>
        <w:rPr>
          <w:sz w:val="24"/>
          <w:szCs w:val="24"/>
        </w:rPr>
        <w:t>O presente artigo aborda o mapeamento do uso e cobertura do solo na Reserva Extrativista Marinha Cuinarana, localizada em Magalhães Barata, Pará, utilizando imagens do satélite Sentinel-2 e técnicas de classificação supervisionada. O objetivo foi avaliar quatro algoritmos de classificação (</w:t>
      </w:r>
      <w:r>
        <w:rPr>
          <w:i/>
          <w:sz w:val="24"/>
          <w:szCs w:val="24"/>
        </w:rPr>
        <w:t>Random Forest</w:t>
      </w:r>
      <w:r>
        <w:rPr>
          <w:sz w:val="24"/>
          <w:szCs w:val="24"/>
        </w:rPr>
        <w:t xml:space="preserve"> (RF), </w:t>
      </w:r>
      <w:r>
        <w:rPr>
          <w:i/>
          <w:sz w:val="24"/>
          <w:szCs w:val="24"/>
        </w:rPr>
        <w:t>Library for Support Vector Machines</w:t>
      </w:r>
      <w:r>
        <w:rPr>
          <w:sz w:val="24"/>
          <w:szCs w:val="24"/>
        </w:rPr>
        <w:t xml:space="preserve"> (LibSVM), </w:t>
      </w:r>
      <w:r>
        <w:rPr>
          <w:i/>
          <w:sz w:val="24"/>
          <w:szCs w:val="24"/>
        </w:rPr>
        <w:t>Classification and Regression Trees</w:t>
      </w:r>
      <w:r>
        <w:rPr>
          <w:sz w:val="24"/>
          <w:szCs w:val="24"/>
        </w:rPr>
        <w:t xml:space="preserve"> (CART) e </w:t>
      </w:r>
      <w:r>
        <w:rPr>
          <w:i/>
          <w:sz w:val="24"/>
          <w:szCs w:val="24"/>
        </w:rPr>
        <w:t>Minimum Distance Euclidean</w:t>
      </w:r>
      <w:r>
        <w:rPr>
          <w:sz w:val="24"/>
          <w:szCs w:val="24"/>
        </w:rPr>
        <w:t xml:space="preserve"> (MMD)) para identificar qual apresenta melhor desempenho na área de estudo. Foram identificadas cinco classes principais de uso e cobertura da terra: Vegetação, Água, Solo Exposto, Campos Naturais e Nuvem. A classe vegetação, composta predominantemente por áreas extensas de manguezais, foi mais representativa, abrangendo entre 65,52% e 73,01% da área total, seguida pela classe Água (21,51% a 23,40%), relacionada aos rios Cuinarana e Marapanim. A qualidade das classificações foi avaliada por meio da matriz de confusão, resultando em índices Kappa considerados “excelentes” para todos os métodos, exceto para a classe “Nuvem” no MMD, que apresentou Acurácia do Produtor de 70,9%, demonstrando menor capacidade de distinção. Visualmente, as classificações LibSVM e RF apresentaram definição espacial mais clara e coerência das classes. Conclui-se que a combinação da imagem Sentinel-2 com técnicas de classificação supervisionada é eficaz para o monitoramento ambiental, destacando-se o LibSVM para a área estudada, possibilitando um mapeamento mais preciso, capaz de subsidiar ações de gestão e conservação nas áreas de Reservas Extrativistas costeiras.</w:t>
      </w:r>
      <w:r>
        <w:t xml:space="preserve"> </w:t>
      </w:r>
    </w:p>
    <w:p w14:paraId="1EA8DB96" w14:textId="77777777" w:rsidR="004C0A5E" w:rsidRDefault="004C0A5E">
      <w:pPr>
        <w:widowControl/>
        <w:jc w:val="both"/>
      </w:pPr>
      <w:bookmarkStart w:id="1" w:name="_heading=h.9hjfg78i4cvx" w:colFirst="0" w:colLast="0"/>
      <w:bookmarkEnd w:id="1"/>
    </w:p>
    <w:p w14:paraId="4EFCD83E" w14:textId="77777777" w:rsidR="004C0A5E" w:rsidRDefault="00000000">
      <w:pPr>
        <w:shd w:val="clear" w:color="auto" w:fill="FFFFFF"/>
        <w:tabs>
          <w:tab w:val="left" w:pos="2500"/>
        </w:tabs>
        <w:jc w:val="both"/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 xml:space="preserve">Palavras-chave: </w:t>
      </w:r>
      <w:r>
        <w:rPr>
          <w:sz w:val="24"/>
          <w:szCs w:val="24"/>
        </w:rPr>
        <w:t>Unidade de Conservação. Classificação Supervisionada. Geoprocessamento.</w:t>
      </w:r>
      <w:r>
        <w:rPr>
          <w:color w:val="FF0000"/>
          <w:sz w:val="24"/>
          <w:szCs w:val="24"/>
        </w:rPr>
        <w:t xml:space="preserve"> </w:t>
      </w:r>
    </w:p>
    <w:p w14:paraId="550098B1" w14:textId="77777777" w:rsidR="004C0A5E" w:rsidRDefault="004C0A5E">
      <w:pP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</w:p>
    <w:p w14:paraId="12EE93CC" w14:textId="77777777" w:rsidR="004C0A5E" w:rsidRDefault="00000000">
      <w:pP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  <w:r>
        <w:rPr>
          <w:b/>
          <w:sz w:val="24"/>
          <w:szCs w:val="24"/>
        </w:rPr>
        <w:t>Área de Interesse do Simpósio</w:t>
      </w:r>
      <w:r>
        <w:rPr>
          <w:sz w:val="24"/>
          <w:szCs w:val="24"/>
        </w:rPr>
        <w:t xml:space="preserve">: Metodologias, geotecnologias, estatística, e divulgação (popularização da ciência). </w:t>
      </w:r>
    </w:p>
    <w:p w14:paraId="65A8B640" w14:textId="77777777" w:rsidR="004C0A5E" w:rsidRDefault="004C0A5E">
      <w:pP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</w:p>
    <w:p w14:paraId="20D46AE4" w14:textId="77777777" w:rsidR="00AF09F7" w:rsidRDefault="00AF09F7">
      <w:pP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</w:p>
    <w:p w14:paraId="1464977C" w14:textId="77777777" w:rsidR="004C0A5E" w:rsidRDefault="00000000">
      <w:pPr>
        <w:widowControl/>
        <w:spacing w:after="4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1. INTRODUÇÃO</w:t>
      </w:r>
    </w:p>
    <w:p w14:paraId="7214288A" w14:textId="77777777" w:rsidR="004C0A5E" w:rsidRDefault="00000000">
      <w:pPr>
        <w:widowControl/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mapeamento do uso e da cobertura da terra é uma ferramenta fundamental para a compreensão e mitigação dos impactos ambientais resultantes das mudanças na terra (Romero </w:t>
      </w:r>
      <w:r>
        <w:rPr>
          <w:i/>
          <w:sz w:val="24"/>
          <w:szCs w:val="24"/>
        </w:rPr>
        <w:t>et al</w:t>
      </w:r>
      <w:r>
        <w:rPr>
          <w:sz w:val="24"/>
          <w:szCs w:val="24"/>
        </w:rPr>
        <w:t>., 2019). Entretanto, ainda persistem desafios para interpretar de maneira eficiente as imagens de satélite, principalmente quanto à escolha do algoritmo de classificação mais adequado às características espectrais da área de estudo (Martins; Poelking, 2023).</w:t>
      </w:r>
    </w:p>
    <w:p w14:paraId="0A6434B1" w14:textId="77777777" w:rsidR="004C0A5E" w:rsidRDefault="00000000">
      <w:pPr>
        <w:widowControl/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As ferramentas do geoprocessamento tornaram-se fundamentais para o planejamento, monitoramento e gestão ambiental (Silva; Orlanda, 2024). Nesse sentido, o Sensoriamento Remoto (SR) destaca-se dentre as principais técnicas para aquisição e análise de informações espaciais, amplamente utilizado para o planejamento e tomada de decisões socioeconômicas e de gestão política (Tavares </w:t>
      </w:r>
      <w:r>
        <w:rPr>
          <w:i/>
          <w:sz w:val="24"/>
          <w:szCs w:val="24"/>
        </w:rPr>
        <w:t>et al</w:t>
      </w:r>
      <w:r>
        <w:rPr>
          <w:sz w:val="24"/>
          <w:szCs w:val="24"/>
        </w:rPr>
        <w:t>., 2019). O SR facilita a aquisição de dados espaciais de alta precisão e detalhe, possibilitando análises complexas em escalas e dimensões que antes eram extremamente difíceis de capturar e sistematizar (Santori, 2021). Consequentemente, o SR é uma ferramenta essencial no contexto dos processos de classificação supervisionada de imagens.</w:t>
      </w:r>
    </w:p>
    <w:p w14:paraId="414615D6" w14:textId="77777777" w:rsidR="004C0A5E" w:rsidRDefault="00000000">
      <w:pPr>
        <w:widowControl/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O processamento digital de imagens multiespectrais envolve uma série de procedimentos, entre os quais se destaca a classificação, etapa que permite a transformação de valores espectrais em informações temáticas (Santos; Lima, 2019). Dentre as técnicas existentes, a classificação supervisionada distingue-se pelo uso de amostragem de pixels guiada por um analista, que é responsável por delimitar áreas representativas de cada classe presente na imagem. Esses dados são então utilizados para treinar um algoritmo, conhecido como classificador, que é empregado para classificar o restante da imagem (Florenzano, 2011).</w:t>
      </w:r>
    </w:p>
    <w:p w14:paraId="38C07AAD" w14:textId="77777777" w:rsidR="004C0A5E" w:rsidRDefault="00000000">
      <w:pPr>
        <w:widowControl/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Reserva Extrativista Marinha (RESEX-MAR) de Cuinarana constitui um componente da rede de áreas protegidas da região do Salgado Paraense, abrangendo manguezais, campos naturais e ambientes estuarinos. </w:t>
      </w:r>
      <w:r>
        <w:rPr>
          <w:sz w:val="24"/>
          <w:szCs w:val="24"/>
        </w:rPr>
        <w:tab/>
        <w:t>Diante disso, o presente trabalho teve o objetivo de avaliar e comparar os desempenhos de quatro algoritmos de classificação supervisionada (RF, LibSVM, CART e MMD) para o mapeamento do uso e cobertura da terra da RESEX-MAR Cuinarana em Magalhães Barata - PA.</w:t>
      </w:r>
    </w:p>
    <w:p w14:paraId="4B2F00B6" w14:textId="77777777" w:rsidR="004C0A5E" w:rsidRDefault="004C0A5E">
      <w:pPr>
        <w:pBdr>
          <w:bottom w:val="none" w:sz="0" w:space="8" w:color="000000"/>
        </w:pBdr>
        <w:shd w:val="clear" w:color="auto" w:fill="FFFFFF"/>
        <w:tabs>
          <w:tab w:val="left" w:pos="704"/>
        </w:tabs>
        <w:spacing w:line="360" w:lineRule="auto"/>
        <w:jc w:val="both"/>
        <w:rPr>
          <w:sz w:val="24"/>
          <w:szCs w:val="24"/>
        </w:rPr>
      </w:pPr>
    </w:p>
    <w:p w14:paraId="54FA431B" w14:textId="77777777" w:rsidR="00CD4EB5" w:rsidRDefault="00CD4EB5">
      <w:pPr>
        <w:pBdr>
          <w:bottom w:val="none" w:sz="0" w:space="8" w:color="000000"/>
        </w:pBdr>
        <w:shd w:val="clear" w:color="auto" w:fill="FFFFFF"/>
        <w:tabs>
          <w:tab w:val="left" w:pos="704"/>
        </w:tabs>
        <w:spacing w:line="360" w:lineRule="auto"/>
        <w:jc w:val="both"/>
        <w:rPr>
          <w:sz w:val="24"/>
          <w:szCs w:val="24"/>
        </w:rPr>
      </w:pPr>
    </w:p>
    <w:p w14:paraId="653B12FE" w14:textId="77777777" w:rsidR="004C0A5E" w:rsidRDefault="00000000">
      <w:pPr>
        <w:pBdr>
          <w:bottom w:val="none" w:sz="0" w:space="8" w:color="000000"/>
        </w:pBdr>
        <w:shd w:val="clear" w:color="auto" w:fill="FFFFFF"/>
        <w:tabs>
          <w:tab w:val="left" w:pos="699"/>
        </w:tabs>
        <w:spacing w:line="360" w:lineRule="auto"/>
        <w:jc w:val="both"/>
        <w:rPr>
          <w:color w:val="FF0000"/>
          <w:sz w:val="24"/>
          <w:szCs w:val="24"/>
        </w:rPr>
      </w:pPr>
      <w:r>
        <w:rPr>
          <w:b/>
          <w:sz w:val="24"/>
          <w:szCs w:val="24"/>
        </w:rPr>
        <w:lastRenderedPageBreak/>
        <w:t>2. MATERIAL E MÉTODOS</w:t>
      </w:r>
    </w:p>
    <w:p w14:paraId="2654820D" w14:textId="77777777" w:rsidR="004C0A5E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2.1. ÁREA DE ESTUDO</w:t>
      </w:r>
    </w:p>
    <w:p w14:paraId="130DF628" w14:textId="77777777" w:rsidR="004C0A5E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ind w:firstLine="700"/>
        <w:jc w:val="both"/>
        <w:rPr>
          <w:sz w:val="24"/>
          <w:szCs w:val="24"/>
        </w:rPr>
      </w:pPr>
      <w:r>
        <w:rPr>
          <w:sz w:val="24"/>
          <w:szCs w:val="24"/>
        </w:rPr>
        <w:t>A RESEX-MAR Cuinarana (Figura 1), possui uma extensão territorial de 11.036,41ha (Brasil, 2014) e localiza-se na microrregião do Salgado, Nordeste do Pará, no município de Magalhães Barata, cujas coordenadas geográficas da sede municipal são 00º47'38"S e 47º35'55"W (Silva, 2019), distante cerca de 156 km da capital do Estado do Pará, Belém (IBGE, 2025).</w:t>
      </w:r>
    </w:p>
    <w:p w14:paraId="19A9104F" w14:textId="257FADA0" w:rsidR="004C0A5E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ind w:firstLine="700"/>
        <w:jc w:val="center"/>
      </w:pPr>
      <w:r>
        <w:t>Figura 1 – Localização da área de estudo.</w:t>
      </w:r>
      <w:r w:rsidR="00CD4EB5">
        <w:rPr>
          <w:noProof/>
        </w:rPr>
        <w:drawing>
          <wp:inline distT="0" distB="0" distL="0" distR="0" wp14:anchorId="2E34A0AD" wp14:editId="56E36504">
            <wp:extent cx="3419475" cy="2519680"/>
            <wp:effectExtent l="19050" t="19050" r="28575" b="13970"/>
            <wp:docPr id="531871700" name="Imagem 1" descr="Map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871700" name="Imagem 1" descr="Mapa&#10;&#10;O conteúdo gerado por IA pode estar incorreto.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4" r="2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910" cy="2520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E36DE3" w14:textId="77777777" w:rsidR="004C0A5E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after="120"/>
      </w:pPr>
      <w:r>
        <w:t>Fonte: Autores (2025).</w:t>
      </w:r>
    </w:p>
    <w:p w14:paraId="00FB4003" w14:textId="77777777" w:rsidR="004C0A5E" w:rsidRDefault="00000000">
      <w:pPr>
        <w:widowControl/>
        <w:spacing w:line="360" w:lineRule="auto"/>
        <w:ind w:right="-2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2.2. PROCEDIMENTOS METODOLÓGICOS</w:t>
      </w:r>
    </w:p>
    <w:p w14:paraId="41D35C73" w14:textId="77777777" w:rsidR="004C0A5E" w:rsidRDefault="00000000">
      <w:pPr>
        <w:widowControl/>
        <w:spacing w:line="360" w:lineRule="auto"/>
        <w:ind w:right="-2"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processamento digital da imagem consistiu em três etapas: pré-processamento, processamento e pós-processamento. No pré-processamento foi realizada a seleção de uma imagem </w:t>
      </w:r>
      <w:r>
        <w:rPr>
          <w:i/>
          <w:sz w:val="24"/>
          <w:szCs w:val="24"/>
        </w:rPr>
        <w:t>Sentinel</w:t>
      </w:r>
      <w:r>
        <w:rPr>
          <w:sz w:val="24"/>
          <w:szCs w:val="24"/>
        </w:rPr>
        <w:t xml:space="preserve">-2 na plataforma </w:t>
      </w:r>
      <w:r>
        <w:rPr>
          <w:i/>
          <w:sz w:val="24"/>
          <w:szCs w:val="24"/>
        </w:rPr>
        <w:t>Google Earth Engine</w:t>
      </w:r>
      <w:r>
        <w:rPr>
          <w:sz w:val="24"/>
          <w:szCs w:val="24"/>
        </w:rPr>
        <w:t xml:space="preserve"> (GEE), utilizando scripts na linguagem JavaScript.  Foram definidos critérios de filtragem que incluíram o período de imageamento compreendido entre 01/09/2023 e 30/12/2023, e a cobertura de nuvens menor que 10%. A imagem selecionada correspondeu ao produto Sentinel-2, nível 2A, sensor </w:t>
      </w:r>
      <w:r>
        <w:rPr>
          <w:i/>
          <w:sz w:val="24"/>
          <w:szCs w:val="24"/>
        </w:rPr>
        <w:t xml:space="preserve">MultiSpectral Instrument </w:t>
      </w:r>
      <w:r>
        <w:rPr>
          <w:sz w:val="24"/>
          <w:szCs w:val="24"/>
        </w:rPr>
        <w:t>(MSI), do dia 12/09/2023 (ID: COPERNICUS/S2_HARMONIZED/20230912T133839_20230912T133836). </w:t>
      </w:r>
    </w:p>
    <w:p w14:paraId="648E8BCE" w14:textId="77777777" w:rsidR="004C0A5E" w:rsidRDefault="00000000">
      <w:pPr>
        <w:widowControl/>
        <w:spacing w:line="360" w:lineRule="auto"/>
        <w:ind w:right="-2"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Por conseguinte, foi importado o arquivo vetorial da área de estudo no GEE, delimitando e recortando a cena para a RESEX Cuinarana. As composições RGB foram geradas em etapas </w:t>
      </w:r>
      <w:r>
        <w:rPr>
          <w:sz w:val="24"/>
          <w:szCs w:val="24"/>
        </w:rPr>
        <w:lastRenderedPageBreak/>
        <w:t>posteriores de classificação. Os dados vetoriais utilizados foram obtidos através do Instituto Chico Mendes de Conservação da Biodiversidade (ICMBio) e do Instituto Brasileiro de Geografia e Estatística (IBGE), ambos disponíveis de forma gratuita nos bancos de dados das suas plataformas digitais.</w:t>
      </w:r>
    </w:p>
    <w:p w14:paraId="4B9655F2" w14:textId="77777777" w:rsidR="004C0A5E" w:rsidRDefault="00000000">
      <w:pPr>
        <w:widowControl/>
        <w:spacing w:after="8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 etapa de processamento, foram definidas as regiões de amostragem (treinamento) e executadas as  classificações supervisionadas. Para a exportação das imagens foi definida a resolução espacial de 10 m. Por fim, na etapa de pós-processamento foi realizado o mapeamento dos resultados, o que incluiu a produção dos mapas, análise e interpretação dos dados adquiridos. As confecções dos mapas ocorreram através do software livre QGIS versão 3.22.6. </w:t>
      </w:r>
    </w:p>
    <w:p w14:paraId="616C0545" w14:textId="77777777" w:rsidR="004C0A5E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2.3. CLASSIFICAÇÃO SUPERVISIONADA</w:t>
      </w:r>
    </w:p>
    <w:p w14:paraId="0813188A" w14:textId="77777777" w:rsidR="004C0A5E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Foram realizadas as classificações supervisionadas utilizando 4 classificadores disponíveis no GEE: o RF, LibSVM, CART e MMD.  Para a classificação foram coletadas 200 amostras de treinamento para cada classe, visto que o total das amostras (1000) se mostraram representativas em toda área de estudo.</w:t>
      </w:r>
    </w:p>
    <w:p w14:paraId="5FA10BE5" w14:textId="263D1F53" w:rsidR="004C0A5E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Os resultados das classificações foram comparados entre si com base na área total de cada classe e nos índices obtidos por meio da Matriz de Confusão, que forneceu automaticamente as métricas de Índice </w:t>
      </w:r>
      <w:r>
        <w:rPr>
          <w:i/>
          <w:sz w:val="24"/>
          <w:szCs w:val="24"/>
        </w:rPr>
        <w:t>Kappa</w:t>
      </w:r>
      <w:r>
        <w:rPr>
          <w:sz w:val="24"/>
          <w:szCs w:val="24"/>
        </w:rPr>
        <w:t xml:space="preserve"> (K), a Acurácia Geral (AG), Acurácia do Usuário (AU) e a Acurácia do Produtor (AP). Os valores obtidos pelo K, foram analisados (Tabela 1), conforme os intervalos e níveis de concordância estabelecidos por Fonseca (2000).</w:t>
      </w:r>
    </w:p>
    <w:p w14:paraId="40523F03" w14:textId="77777777" w:rsidR="004C0A5E" w:rsidRDefault="00000000">
      <w:pPr>
        <w:widowControl/>
        <w:jc w:val="center"/>
      </w:pPr>
      <w:bookmarkStart w:id="2" w:name="_heading=h.kjpicm2yb9yt" w:colFirst="0" w:colLast="0"/>
      <w:bookmarkEnd w:id="2"/>
      <w:r>
        <w:t>Tabela 1 – Intervalo de qualidade de classificação segundo o índice Kappa.</w:t>
      </w:r>
    </w:p>
    <w:tbl>
      <w:tblPr>
        <w:tblStyle w:val="a3"/>
        <w:tblW w:w="652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96"/>
        <w:gridCol w:w="3125"/>
      </w:tblGrid>
      <w:tr w:rsidR="004C0A5E" w14:paraId="68AE0687" w14:textId="77777777">
        <w:trPr>
          <w:jc w:val="center"/>
        </w:trPr>
        <w:tc>
          <w:tcPr>
            <w:tcW w:w="3396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</w:tcPr>
          <w:p w14:paraId="2E48225E" w14:textId="77777777" w:rsidR="004C0A5E" w:rsidRDefault="000000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Valor do índice Kappa (K)</w:t>
            </w:r>
          </w:p>
        </w:tc>
        <w:tc>
          <w:tcPr>
            <w:tcW w:w="3125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</w:tcPr>
          <w:p w14:paraId="205B468B" w14:textId="77777777" w:rsidR="004C0A5E" w:rsidRDefault="000000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Qualidade da Classificação</w:t>
            </w:r>
          </w:p>
        </w:tc>
      </w:tr>
      <w:tr w:rsidR="004C0A5E" w14:paraId="0AD9CE6E" w14:textId="77777777">
        <w:trPr>
          <w:jc w:val="center"/>
        </w:trPr>
        <w:tc>
          <w:tcPr>
            <w:tcW w:w="3396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773D668B" w14:textId="77777777" w:rsidR="004C0A5E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0,00-0,20</w:t>
            </w:r>
          </w:p>
        </w:tc>
        <w:tc>
          <w:tcPr>
            <w:tcW w:w="312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0993EC38" w14:textId="77777777" w:rsidR="004C0A5E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Ruim</w:t>
            </w:r>
          </w:p>
        </w:tc>
      </w:tr>
      <w:tr w:rsidR="004C0A5E" w14:paraId="3A89E01A" w14:textId="77777777">
        <w:trPr>
          <w:jc w:val="center"/>
        </w:trPr>
        <w:tc>
          <w:tcPr>
            <w:tcW w:w="3396" w:type="dxa"/>
            <w:tcBorders>
              <w:top w:val="nil"/>
              <w:left w:val="nil"/>
              <w:bottom w:val="nil"/>
              <w:right w:val="nil"/>
            </w:tcBorders>
          </w:tcPr>
          <w:p w14:paraId="60D0FA45" w14:textId="77777777" w:rsidR="004C0A5E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0,21-0,40</w:t>
            </w:r>
          </w:p>
        </w:tc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</w:tcPr>
          <w:p w14:paraId="4C1E1EA1" w14:textId="77777777" w:rsidR="004C0A5E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Razoável</w:t>
            </w:r>
          </w:p>
        </w:tc>
      </w:tr>
      <w:tr w:rsidR="004C0A5E" w14:paraId="7D774CA1" w14:textId="77777777">
        <w:trPr>
          <w:jc w:val="center"/>
        </w:trPr>
        <w:tc>
          <w:tcPr>
            <w:tcW w:w="3396" w:type="dxa"/>
            <w:tcBorders>
              <w:top w:val="nil"/>
              <w:left w:val="nil"/>
              <w:bottom w:val="nil"/>
              <w:right w:val="nil"/>
            </w:tcBorders>
          </w:tcPr>
          <w:p w14:paraId="56672893" w14:textId="77777777" w:rsidR="004C0A5E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0,41-0,60</w:t>
            </w:r>
          </w:p>
        </w:tc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</w:tcPr>
          <w:p w14:paraId="4E8C7528" w14:textId="77777777" w:rsidR="004C0A5E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Boa</w:t>
            </w:r>
          </w:p>
        </w:tc>
      </w:tr>
      <w:tr w:rsidR="004C0A5E" w14:paraId="73F3EFFC" w14:textId="77777777">
        <w:trPr>
          <w:jc w:val="center"/>
        </w:trPr>
        <w:tc>
          <w:tcPr>
            <w:tcW w:w="3396" w:type="dxa"/>
            <w:tcBorders>
              <w:top w:val="nil"/>
              <w:left w:val="nil"/>
              <w:bottom w:val="nil"/>
              <w:right w:val="nil"/>
            </w:tcBorders>
          </w:tcPr>
          <w:p w14:paraId="64C3B92B" w14:textId="77777777" w:rsidR="004C0A5E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0,61-0,80</w:t>
            </w:r>
          </w:p>
        </w:tc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</w:tcPr>
          <w:p w14:paraId="43A38A0D" w14:textId="77777777" w:rsidR="004C0A5E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Muito boa</w:t>
            </w:r>
          </w:p>
        </w:tc>
      </w:tr>
      <w:tr w:rsidR="004C0A5E" w14:paraId="4BAE3836" w14:textId="77777777">
        <w:trPr>
          <w:jc w:val="center"/>
        </w:trPr>
        <w:tc>
          <w:tcPr>
            <w:tcW w:w="339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04A7986" w14:textId="77777777" w:rsidR="004C0A5E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0,81-1,00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42507EE" w14:textId="77777777" w:rsidR="004C0A5E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Excelente</w:t>
            </w:r>
          </w:p>
        </w:tc>
      </w:tr>
    </w:tbl>
    <w:p w14:paraId="75AF481B" w14:textId="77777777" w:rsidR="004C0A5E" w:rsidRDefault="00000000">
      <w:pPr>
        <w:widowControl/>
        <w:spacing w:after="200"/>
      </w:pPr>
      <w:r>
        <w:t>Fonte: Adaptado de Fonseca (2000).</w:t>
      </w:r>
    </w:p>
    <w:p w14:paraId="606E2181" w14:textId="77777777" w:rsidR="004C0A5E" w:rsidRDefault="00000000">
      <w:pPr>
        <w:widowControl/>
        <w:spacing w:line="360" w:lineRule="auto"/>
        <w:ind w:right="-2"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K expressa o grau de concordância entre os dados classificados e as amostras de referência, variando de 0 a 1, gerando um aspecto de confiabilidade e precisão da classificação. Valores mais próximos de 1, indicam maior qualidade da classificação (Perroca; Gaidzinski, </w:t>
      </w:r>
      <w:r>
        <w:rPr>
          <w:sz w:val="24"/>
          <w:szCs w:val="24"/>
        </w:rPr>
        <w:lastRenderedPageBreak/>
        <w:t>2003). Os métodos utilizados seguiram Gamba e Luchiari (2005), em consonância com Santos (2021), como estudos primordiais para auxiliar na pesquisa.</w:t>
      </w:r>
    </w:p>
    <w:p w14:paraId="7C0828B4" w14:textId="77777777" w:rsidR="004C0A5E" w:rsidRDefault="004C0A5E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jc w:val="both"/>
        <w:rPr>
          <w:b/>
          <w:sz w:val="24"/>
          <w:szCs w:val="24"/>
        </w:rPr>
      </w:pPr>
    </w:p>
    <w:p w14:paraId="600E6F3C" w14:textId="77777777" w:rsidR="004C0A5E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jc w:val="both"/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>3. RESULTADOS E DISCUSSÃO</w:t>
      </w:r>
    </w:p>
    <w:p w14:paraId="24CE35BA" w14:textId="77777777" w:rsidR="004C0A5E" w:rsidRDefault="00000000">
      <w:pPr>
        <w:widowControl/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A aplicação dos quatro métodos de classificação supervisionada resultou no mapeamento das classes de uso e cobertura da terra da área de estudo, permitindo compreender a distribuição espacial das classes e comparar visualmente as informações resultantes. A caracterização identificou 5 classes, denominadas: Vegetação, Água, Solo Exposto, Campos Naturais e Nuvem, dispostas na Figura 2.</w:t>
      </w:r>
    </w:p>
    <w:p w14:paraId="15EFEDC0" w14:textId="77777777" w:rsidR="004C0A5E" w:rsidRDefault="00000000">
      <w:pPr>
        <w:widowControl/>
        <w:spacing w:line="360" w:lineRule="auto"/>
        <w:jc w:val="center"/>
      </w:pPr>
      <w:r>
        <w:t>Figura 2 - Classificações supervisionadas realizadas na área de estudo.</w:t>
      </w:r>
    </w:p>
    <w:p w14:paraId="308095AC" w14:textId="146D853B" w:rsidR="004C0A5E" w:rsidRDefault="00CD4EB5">
      <w:pPr>
        <w:widowControl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489CDB4F" wp14:editId="33D6EA33">
            <wp:extent cx="3564926" cy="2520000"/>
            <wp:effectExtent l="19050" t="19050" r="16510" b="13970"/>
            <wp:docPr id="872995413" name="Imagem 2" descr="Map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995413" name="Imagem 2" descr="Mapa&#10;&#10;O conteúdo gerado por IA pode estar incorreto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926" cy="252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FAC6CB" w14:textId="77777777" w:rsidR="004C0A5E" w:rsidRDefault="00000000">
      <w:pPr>
        <w:widowControl/>
        <w:spacing w:line="360" w:lineRule="auto"/>
        <w:ind w:right="-2"/>
        <w:rPr>
          <w:sz w:val="26"/>
          <w:szCs w:val="26"/>
        </w:rPr>
      </w:pPr>
      <w:r>
        <w:t>Fonte: Autores (2025).</w:t>
      </w:r>
    </w:p>
    <w:p w14:paraId="62A93562" w14:textId="77777777" w:rsidR="004C0A5E" w:rsidRDefault="00000000">
      <w:pPr>
        <w:widowControl/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As classes foram representadas conforme a legenda, em que “Vegetação” foi representada no mapa pela coloração verde, a classe “Água” pelo tom azul, a classe “Solo Exposto” pela cor rosa claro, a classe “Campos Naturais” pelo tom de rosa escuro e a classe “Nuvem” pelo tom de cinza claro.</w:t>
      </w:r>
    </w:p>
    <w:p w14:paraId="1071D010" w14:textId="77777777" w:rsidR="004C0A5E" w:rsidRDefault="00000000">
      <w:pPr>
        <w:widowControl/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Os resultados referentes às áreas de uso e cobertura do solo e suas porcentagens, de acordo com cada método de classificação supervisionada, podem ser visualizadas na Tabela 1. A análise comparativa dos métodos evidencia uma predominância das classes Vegetação e Água, que juntos representam mais de 88% da área de estudo.</w:t>
      </w:r>
    </w:p>
    <w:p w14:paraId="7947B905" w14:textId="77777777" w:rsidR="004C0A5E" w:rsidRDefault="00000000">
      <w:pPr>
        <w:widowControl/>
        <w:spacing w:line="360" w:lineRule="auto"/>
        <w:ind w:firstLine="426"/>
        <w:jc w:val="both"/>
      </w:pPr>
      <w:r>
        <w:t>Tabela 2 - Áreas das classes de uso e cobertura do solo em hectares (ha) e porcentagem (%).</w:t>
      </w:r>
    </w:p>
    <w:tbl>
      <w:tblPr>
        <w:tblStyle w:val="a4"/>
        <w:tblW w:w="9356" w:type="dxa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1718"/>
        <w:gridCol w:w="125"/>
        <w:gridCol w:w="1134"/>
        <w:gridCol w:w="709"/>
        <w:gridCol w:w="1134"/>
        <w:gridCol w:w="850"/>
        <w:gridCol w:w="1134"/>
        <w:gridCol w:w="709"/>
        <w:gridCol w:w="1134"/>
        <w:gridCol w:w="709"/>
      </w:tblGrid>
      <w:tr w:rsidR="004C0A5E" w14:paraId="1FD650E9" w14:textId="77777777" w:rsidTr="004C0A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8" w:type="dxa"/>
            <w:tcBorders>
              <w:top w:val="single" w:sz="4" w:space="0" w:color="000000"/>
              <w:bottom w:val="single" w:sz="8" w:space="0" w:color="000000"/>
            </w:tcBorders>
          </w:tcPr>
          <w:p w14:paraId="4F91F265" w14:textId="77777777" w:rsidR="004C0A5E" w:rsidRDefault="004C0A5E">
            <w:pPr>
              <w:widowControl/>
              <w:rPr>
                <w:sz w:val="22"/>
                <w:szCs w:val="22"/>
              </w:rPr>
            </w:pPr>
          </w:p>
        </w:tc>
        <w:tc>
          <w:tcPr>
            <w:tcW w:w="1968" w:type="dxa"/>
            <w:gridSpan w:val="3"/>
            <w:tcBorders>
              <w:top w:val="single" w:sz="4" w:space="0" w:color="000000"/>
              <w:bottom w:val="single" w:sz="8" w:space="0" w:color="000000"/>
            </w:tcBorders>
          </w:tcPr>
          <w:p w14:paraId="2D0CF704" w14:textId="77777777" w:rsidR="004C0A5E" w:rsidRDefault="00000000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RF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bottom w:val="single" w:sz="8" w:space="0" w:color="000000"/>
            </w:tcBorders>
          </w:tcPr>
          <w:p w14:paraId="656D24A0" w14:textId="77777777" w:rsidR="004C0A5E" w:rsidRDefault="00000000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CART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bottom w:val="single" w:sz="8" w:space="0" w:color="000000"/>
            </w:tcBorders>
          </w:tcPr>
          <w:p w14:paraId="2722F59A" w14:textId="77777777" w:rsidR="004C0A5E" w:rsidRDefault="00000000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LibSVM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bottom w:val="single" w:sz="8" w:space="0" w:color="000000"/>
            </w:tcBorders>
          </w:tcPr>
          <w:p w14:paraId="0334E8DE" w14:textId="77777777" w:rsidR="004C0A5E" w:rsidRDefault="00000000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MMD</w:t>
            </w:r>
          </w:p>
        </w:tc>
      </w:tr>
      <w:tr w:rsidR="004C0A5E" w14:paraId="4A0DDC2A" w14:textId="77777777" w:rsidTr="004C0A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gridSpan w:val="2"/>
            <w:tcBorders>
              <w:top w:val="single" w:sz="8" w:space="0" w:color="000000"/>
            </w:tcBorders>
            <w:shd w:val="clear" w:color="auto" w:fill="FFFFFF"/>
          </w:tcPr>
          <w:p w14:paraId="7BEAC054" w14:textId="77777777" w:rsidR="004C0A5E" w:rsidRDefault="004C0A5E">
            <w:pPr>
              <w:widowControl/>
              <w:jc w:val="right"/>
              <w:rPr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8" w:space="0" w:color="000000"/>
            </w:tcBorders>
            <w:shd w:val="clear" w:color="auto" w:fill="FFFFFF"/>
          </w:tcPr>
          <w:p w14:paraId="77E14482" w14:textId="77777777" w:rsidR="004C0A5E" w:rsidRDefault="0000000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ha</w:t>
            </w:r>
          </w:p>
        </w:tc>
        <w:tc>
          <w:tcPr>
            <w:tcW w:w="709" w:type="dxa"/>
            <w:tcBorders>
              <w:top w:val="single" w:sz="8" w:space="0" w:color="000000"/>
            </w:tcBorders>
            <w:shd w:val="clear" w:color="auto" w:fill="FFFFFF"/>
          </w:tcPr>
          <w:p w14:paraId="180E21F2" w14:textId="77777777" w:rsidR="004C0A5E" w:rsidRDefault="0000000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%</w:t>
            </w:r>
          </w:p>
        </w:tc>
        <w:tc>
          <w:tcPr>
            <w:tcW w:w="1134" w:type="dxa"/>
            <w:tcBorders>
              <w:top w:val="single" w:sz="8" w:space="0" w:color="000000"/>
            </w:tcBorders>
            <w:shd w:val="clear" w:color="auto" w:fill="FFFFFF"/>
          </w:tcPr>
          <w:p w14:paraId="7138F7FC" w14:textId="77777777" w:rsidR="004C0A5E" w:rsidRDefault="0000000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ha</w:t>
            </w:r>
          </w:p>
        </w:tc>
        <w:tc>
          <w:tcPr>
            <w:tcW w:w="850" w:type="dxa"/>
            <w:tcBorders>
              <w:top w:val="single" w:sz="8" w:space="0" w:color="000000"/>
            </w:tcBorders>
            <w:shd w:val="clear" w:color="auto" w:fill="FFFFFF"/>
          </w:tcPr>
          <w:p w14:paraId="318E6BCB" w14:textId="77777777" w:rsidR="004C0A5E" w:rsidRDefault="0000000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%</w:t>
            </w:r>
          </w:p>
        </w:tc>
        <w:tc>
          <w:tcPr>
            <w:tcW w:w="1134" w:type="dxa"/>
            <w:tcBorders>
              <w:top w:val="single" w:sz="8" w:space="0" w:color="000000"/>
            </w:tcBorders>
            <w:shd w:val="clear" w:color="auto" w:fill="FFFFFF"/>
          </w:tcPr>
          <w:p w14:paraId="3FCA1E4B" w14:textId="77777777" w:rsidR="004C0A5E" w:rsidRDefault="0000000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ha</w:t>
            </w:r>
          </w:p>
        </w:tc>
        <w:tc>
          <w:tcPr>
            <w:tcW w:w="709" w:type="dxa"/>
            <w:tcBorders>
              <w:top w:val="single" w:sz="8" w:space="0" w:color="000000"/>
            </w:tcBorders>
            <w:shd w:val="clear" w:color="auto" w:fill="FFFFFF"/>
          </w:tcPr>
          <w:p w14:paraId="47F8EB07" w14:textId="77777777" w:rsidR="004C0A5E" w:rsidRDefault="0000000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%</w:t>
            </w:r>
          </w:p>
        </w:tc>
        <w:tc>
          <w:tcPr>
            <w:tcW w:w="1134" w:type="dxa"/>
            <w:tcBorders>
              <w:top w:val="single" w:sz="8" w:space="0" w:color="000000"/>
            </w:tcBorders>
            <w:shd w:val="clear" w:color="auto" w:fill="FFFFFF"/>
          </w:tcPr>
          <w:p w14:paraId="335D45D5" w14:textId="77777777" w:rsidR="004C0A5E" w:rsidRDefault="0000000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ha</w:t>
            </w:r>
          </w:p>
        </w:tc>
        <w:tc>
          <w:tcPr>
            <w:tcW w:w="709" w:type="dxa"/>
            <w:tcBorders>
              <w:top w:val="single" w:sz="8" w:space="0" w:color="000000"/>
            </w:tcBorders>
            <w:shd w:val="clear" w:color="auto" w:fill="FFFFFF"/>
          </w:tcPr>
          <w:p w14:paraId="1C4CD180" w14:textId="77777777" w:rsidR="004C0A5E" w:rsidRDefault="0000000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%</w:t>
            </w:r>
          </w:p>
        </w:tc>
      </w:tr>
      <w:tr w:rsidR="004C0A5E" w14:paraId="64561770" w14:textId="77777777" w:rsidTr="004C0A5E">
        <w:trPr>
          <w:trHeight w:val="3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gridSpan w:val="2"/>
            <w:shd w:val="clear" w:color="auto" w:fill="FFFFFF"/>
          </w:tcPr>
          <w:p w14:paraId="10C407BC" w14:textId="77777777" w:rsidR="004C0A5E" w:rsidRDefault="00000000">
            <w:pPr>
              <w:widowControl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Vegetação</w:t>
            </w:r>
          </w:p>
        </w:tc>
        <w:tc>
          <w:tcPr>
            <w:tcW w:w="1134" w:type="dxa"/>
            <w:shd w:val="clear" w:color="auto" w:fill="FFFFFF"/>
          </w:tcPr>
          <w:p w14:paraId="4B696DEB" w14:textId="77777777" w:rsidR="004C0A5E" w:rsidRDefault="0000000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7433,89</w:t>
            </w:r>
          </w:p>
        </w:tc>
        <w:tc>
          <w:tcPr>
            <w:tcW w:w="709" w:type="dxa"/>
            <w:shd w:val="clear" w:color="auto" w:fill="FFFFFF"/>
          </w:tcPr>
          <w:p w14:paraId="26AABA2C" w14:textId="77777777" w:rsidR="004C0A5E" w:rsidRDefault="0000000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67,35</w:t>
            </w:r>
          </w:p>
        </w:tc>
        <w:tc>
          <w:tcPr>
            <w:tcW w:w="1134" w:type="dxa"/>
            <w:shd w:val="clear" w:color="auto" w:fill="FFFFFF"/>
          </w:tcPr>
          <w:p w14:paraId="7EB4EFBD" w14:textId="77777777" w:rsidR="004C0A5E" w:rsidRDefault="0000000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7232,39</w:t>
            </w:r>
          </w:p>
        </w:tc>
        <w:tc>
          <w:tcPr>
            <w:tcW w:w="850" w:type="dxa"/>
            <w:shd w:val="clear" w:color="auto" w:fill="FFFFFF"/>
          </w:tcPr>
          <w:p w14:paraId="7E5E29FB" w14:textId="77777777" w:rsidR="004C0A5E" w:rsidRDefault="0000000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65,52</w:t>
            </w:r>
          </w:p>
        </w:tc>
        <w:tc>
          <w:tcPr>
            <w:tcW w:w="1134" w:type="dxa"/>
            <w:shd w:val="clear" w:color="auto" w:fill="FFFFFF"/>
          </w:tcPr>
          <w:p w14:paraId="7D7D79FE" w14:textId="77777777" w:rsidR="004C0A5E" w:rsidRDefault="0000000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7588,09</w:t>
            </w:r>
          </w:p>
        </w:tc>
        <w:tc>
          <w:tcPr>
            <w:tcW w:w="709" w:type="dxa"/>
            <w:shd w:val="clear" w:color="auto" w:fill="FFFFFF"/>
          </w:tcPr>
          <w:p w14:paraId="51BDF032" w14:textId="77777777" w:rsidR="004C0A5E" w:rsidRDefault="0000000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68,75</w:t>
            </w:r>
          </w:p>
        </w:tc>
        <w:tc>
          <w:tcPr>
            <w:tcW w:w="1134" w:type="dxa"/>
            <w:shd w:val="clear" w:color="auto" w:fill="FFFFFF"/>
          </w:tcPr>
          <w:p w14:paraId="7EB48FCB" w14:textId="77777777" w:rsidR="004C0A5E" w:rsidRDefault="0000000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8058,84</w:t>
            </w:r>
          </w:p>
        </w:tc>
        <w:tc>
          <w:tcPr>
            <w:tcW w:w="709" w:type="dxa"/>
            <w:shd w:val="clear" w:color="auto" w:fill="FFFFFF"/>
          </w:tcPr>
          <w:p w14:paraId="6FFD5295" w14:textId="77777777" w:rsidR="004C0A5E" w:rsidRDefault="0000000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73,01</w:t>
            </w:r>
          </w:p>
        </w:tc>
      </w:tr>
      <w:tr w:rsidR="004C0A5E" w14:paraId="03E98460" w14:textId="77777777" w:rsidTr="004C0A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gridSpan w:val="2"/>
            <w:shd w:val="clear" w:color="auto" w:fill="FFFFFF"/>
          </w:tcPr>
          <w:p w14:paraId="55CE0086" w14:textId="77777777" w:rsidR="004C0A5E" w:rsidRDefault="00000000">
            <w:pPr>
              <w:widowControl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Água</w:t>
            </w:r>
          </w:p>
        </w:tc>
        <w:tc>
          <w:tcPr>
            <w:tcW w:w="1134" w:type="dxa"/>
            <w:shd w:val="clear" w:color="auto" w:fill="FFFFFF"/>
          </w:tcPr>
          <w:p w14:paraId="5AF6F08A" w14:textId="77777777" w:rsidR="004C0A5E" w:rsidRDefault="0000000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2582,89</w:t>
            </w:r>
          </w:p>
        </w:tc>
        <w:tc>
          <w:tcPr>
            <w:tcW w:w="709" w:type="dxa"/>
            <w:shd w:val="clear" w:color="auto" w:fill="FFFFFF"/>
          </w:tcPr>
          <w:p w14:paraId="4E76D27F" w14:textId="77777777" w:rsidR="004C0A5E" w:rsidRDefault="0000000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23,40</w:t>
            </w:r>
          </w:p>
        </w:tc>
        <w:tc>
          <w:tcPr>
            <w:tcW w:w="1134" w:type="dxa"/>
            <w:shd w:val="clear" w:color="auto" w:fill="FFFFFF"/>
          </w:tcPr>
          <w:p w14:paraId="3F762F59" w14:textId="77777777" w:rsidR="004C0A5E" w:rsidRDefault="0000000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2564,09</w:t>
            </w:r>
          </w:p>
        </w:tc>
        <w:tc>
          <w:tcPr>
            <w:tcW w:w="850" w:type="dxa"/>
            <w:shd w:val="clear" w:color="auto" w:fill="FFFFFF"/>
          </w:tcPr>
          <w:p w14:paraId="340341AC" w14:textId="77777777" w:rsidR="004C0A5E" w:rsidRDefault="0000000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23,23</w:t>
            </w:r>
          </w:p>
        </w:tc>
        <w:tc>
          <w:tcPr>
            <w:tcW w:w="1134" w:type="dxa"/>
            <w:shd w:val="clear" w:color="auto" w:fill="FFFFFF"/>
          </w:tcPr>
          <w:p w14:paraId="7BFB433D" w14:textId="77777777" w:rsidR="004C0A5E" w:rsidRDefault="0000000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2374,33</w:t>
            </w:r>
          </w:p>
        </w:tc>
        <w:tc>
          <w:tcPr>
            <w:tcW w:w="709" w:type="dxa"/>
            <w:shd w:val="clear" w:color="auto" w:fill="FFFFFF"/>
          </w:tcPr>
          <w:p w14:paraId="714F809B" w14:textId="77777777" w:rsidR="004C0A5E" w:rsidRDefault="0000000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21,51</w:t>
            </w:r>
          </w:p>
        </w:tc>
        <w:tc>
          <w:tcPr>
            <w:tcW w:w="1134" w:type="dxa"/>
            <w:shd w:val="clear" w:color="auto" w:fill="FFFFFF"/>
          </w:tcPr>
          <w:p w14:paraId="1205A77B" w14:textId="77777777" w:rsidR="004C0A5E" w:rsidRDefault="0000000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2484,08</w:t>
            </w:r>
          </w:p>
        </w:tc>
        <w:tc>
          <w:tcPr>
            <w:tcW w:w="709" w:type="dxa"/>
            <w:shd w:val="clear" w:color="auto" w:fill="FFFFFF"/>
          </w:tcPr>
          <w:p w14:paraId="7DF6E62F" w14:textId="77777777" w:rsidR="004C0A5E" w:rsidRDefault="0000000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22,51</w:t>
            </w:r>
          </w:p>
        </w:tc>
      </w:tr>
      <w:tr w:rsidR="004C0A5E" w14:paraId="019E904F" w14:textId="77777777" w:rsidTr="004C0A5E">
        <w:trPr>
          <w:trHeight w:val="3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gridSpan w:val="2"/>
            <w:shd w:val="clear" w:color="auto" w:fill="FFFFFF"/>
          </w:tcPr>
          <w:p w14:paraId="30880E8C" w14:textId="77777777" w:rsidR="004C0A5E" w:rsidRDefault="00000000">
            <w:pPr>
              <w:widowControl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Solo Exposto</w:t>
            </w:r>
          </w:p>
        </w:tc>
        <w:tc>
          <w:tcPr>
            <w:tcW w:w="1134" w:type="dxa"/>
            <w:shd w:val="clear" w:color="auto" w:fill="FFFFFF"/>
          </w:tcPr>
          <w:p w14:paraId="6EA2E91F" w14:textId="77777777" w:rsidR="004C0A5E" w:rsidRDefault="0000000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83,199</w:t>
            </w:r>
          </w:p>
        </w:tc>
        <w:tc>
          <w:tcPr>
            <w:tcW w:w="709" w:type="dxa"/>
            <w:shd w:val="clear" w:color="auto" w:fill="FFFFFF"/>
          </w:tcPr>
          <w:p w14:paraId="7AD64969" w14:textId="77777777" w:rsidR="004C0A5E" w:rsidRDefault="0000000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0,75</w:t>
            </w:r>
          </w:p>
        </w:tc>
        <w:tc>
          <w:tcPr>
            <w:tcW w:w="1134" w:type="dxa"/>
            <w:shd w:val="clear" w:color="auto" w:fill="FFFFFF"/>
          </w:tcPr>
          <w:p w14:paraId="09CB4ACB" w14:textId="77777777" w:rsidR="004C0A5E" w:rsidRDefault="0000000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469,073</w:t>
            </w:r>
          </w:p>
        </w:tc>
        <w:tc>
          <w:tcPr>
            <w:tcW w:w="850" w:type="dxa"/>
            <w:shd w:val="clear" w:color="auto" w:fill="FFFFFF"/>
          </w:tcPr>
          <w:p w14:paraId="5700F4C8" w14:textId="77777777" w:rsidR="004C0A5E" w:rsidRDefault="0000000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4,25</w:t>
            </w:r>
          </w:p>
        </w:tc>
        <w:tc>
          <w:tcPr>
            <w:tcW w:w="1134" w:type="dxa"/>
            <w:shd w:val="clear" w:color="auto" w:fill="FFFFFF"/>
          </w:tcPr>
          <w:p w14:paraId="5ABB8ED8" w14:textId="77777777" w:rsidR="004C0A5E" w:rsidRDefault="0000000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115,71</w:t>
            </w:r>
          </w:p>
        </w:tc>
        <w:tc>
          <w:tcPr>
            <w:tcW w:w="709" w:type="dxa"/>
            <w:shd w:val="clear" w:color="auto" w:fill="FFFFFF"/>
          </w:tcPr>
          <w:p w14:paraId="6863EDC7" w14:textId="77777777" w:rsidR="004C0A5E" w:rsidRDefault="0000000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1,05</w:t>
            </w:r>
          </w:p>
        </w:tc>
        <w:tc>
          <w:tcPr>
            <w:tcW w:w="1134" w:type="dxa"/>
            <w:shd w:val="clear" w:color="auto" w:fill="FFFFFF"/>
          </w:tcPr>
          <w:p w14:paraId="5CA5C80E" w14:textId="77777777" w:rsidR="004C0A5E" w:rsidRDefault="0000000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100,873</w:t>
            </w:r>
          </w:p>
        </w:tc>
        <w:tc>
          <w:tcPr>
            <w:tcW w:w="709" w:type="dxa"/>
            <w:shd w:val="clear" w:color="auto" w:fill="FFFFFF"/>
          </w:tcPr>
          <w:p w14:paraId="5EF895FA" w14:textId="77777777" w:rsidR="004C0A5E" w:rsidRDefault="0000000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0,91</w:t>
            </w:r>
          </w:p>
        </w:tc>
      </w:tr>
      <w:tr w:rsidR="004C0A5E" w14:paraId="388F311A" w14:textId="77777777" w:rsidTr="004C0A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gridSpan w:val="2"/>
            <w:shd w:val="clear" w:color="auto" w:fill="FFFFFF"/>
          </w:tcPr>
          <w:p w14:paraId="3B12DD2C" w14:textId="77777777" w:rsidR="004C0A5E" w:rsidRDefault="00000000">
            <w:pPr>
              <w:widowControl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Campos Naturais</w:t>
            </w:r>
          </w:p>
        </w:tc>
        <w:tc>
          <w:tcPr>
            <w:tcW w:w="1134" w:type="dxa"/>
            <w:shd w:val="clear" w:color="auto" w:fill="FFFFFF"/>
          </w:tcPr>
          <w:p w14:paraId="5DBBBCD9" w14:textId="77777777" w:rsidR="004C0A5E" w:rsidRDefault="0000000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532,533</w:t>
            </w:r>
          </w:p>
        </w:tc>
        <w:tc>
          <w:tcPr>
            <w:tcW w:w="709" w:type="dxa"/>
            <w:shd w:val="clear" w:color="auto" w:fill="FFFFFF"/>
          </w:tcPr>
          <w:p w14:paraId="0648AA4D" w14:textId="77777777" w:rsidR="004C0A5E" w:rsidRDefault="0000000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4,82</w:t>
            </w:r>
          </w:p>
        </w:tc>
        <w:tc>
          <w:tcPr>
            <w:tcW w:w="1134" w:type="dxa"/>
            <w:shd w:val="clear" w:color="auto" w:fill="FFFFFF"/>
          </w:tcPr>
          <w:p w14:paraId="2CB9FACE" w14:textId="77777777" w:rsidR="004C0A5E" w:rsidRDefault="0000000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468,509</w:t>
            </w:r>
          </w:p>
        </w:tc>
        <w:tc>
          <w:tcPr>
            <w:tcW w:w="850" w:type="dxa"/>
            <w:shd w:val="clear" w:color="auto" w:fill="FFFFFF"/>
          </w:tcPr>
          <w:p w14:paraId="75D77877" w14:textId="77777777" w:rsidR="004C0A5E" w:rsidRDefault="0000000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4,24</w:t>
            </w:r>
          </w:p>
        </w:tc>
        <w:tc>
          <w:tcPr>
            <w:tcW w:w="1134" w:type="dxa"/>
            <w:shd w:val="clear" w:color="auto" w:fill="FFFFFF"/>
          </w:tcPr>
          <w:p w14:paraId="66355FF2" w14:textId="77777777" w:rsidR="004C0A5E" w:rsidRDefault="0000000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528,36</w:t>
            </w:r>
          </w:p>
        </w:tc>
        <w:tc>
          <w:tcPr>
            <w:tcW w:w="709" w:type="dxa"/>
            <w:shd w:val="clear" w:color="auto" w:fill="FFFFFF"/>
          </w:tcPr>
          <w:p w14:paraId="28AEA45A" w14:textId="77777777" w:rsidR="004C0A5E" w:rsidRDefault="0000000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4,79</w:t>
            </w:r>
          </w:p>
        </w:tc>
        <w:tc>
          <w:tcPr>
            <w:tcW w:w="1134" w:type="dxa"/>
            <w:shd w:val="clear" w:color="auto" w:fill="FFFFFF"/>
          </w:tcPr>
          <w:p w14:paraId="4EE3D794" w14:textId="77777777" w:rsidR="004C0A5E" w:rsidRDefault="0000000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311,308</w:t>
            </w:r>
          </w:p>
        </w:tc>
        <w:tc>
          <w:tcPr>
            <w:tcW w:w="709" w:type="dxa"/>
            <w:shd w:val="clear" w:color="auto" w:fill="FFFFFF"/>
          </w:tcPr>
          <w:p w14:paraId="15D21C2A" w14:textId="77777777" w:rsidR="004C0A5E" w:rsidRDefault="0000000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2,82</w:t>
            </w:r>
          </w:p>
        </w:tc>
      </w:tr>
      <w:tr w:rsidR="004C0A5E" w14:paraId="4339AAD6" w14:textId="77777777" w:rsidTr="004C0A5E">
        <w:trPr>
          <w:trHeight w:val="3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gridSpan w:val="2"/>
            <w:shd w:val="clear" w:color="auto" w:fill="FFFFFF"/>
          </w:tcPr>
          <w:p w14:paraId="685B94F9" w14:textId="77777777" w:rsidR="004C0A5E" w:rsidRDefault="00000000">
            <w:pPr>
              <w:widowControl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Nuvem</w:t>
            </w:r>
          </w:p>
        </w:tc>
        <w:tc>
          <w:tcPr>
            <w:tcW w:w="1134" w:type="dxa"/>
            <w:shd w:val="clear" w:color="auto" w:fill="FFFFFF"/>
          </w:tcPr>
          <w:p w14:paraId="1C6F0F31" w14:textId="77777777" w:rsidR="004C0A5E" w:rsidRDefault="0000000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405,27</w:t>
            </w:r>
          </w:p>
        </w:tc>
        <w:tc>
          <w:tcPr>
            <w:tcW w:w="709" w:type="dxa"/>
            <w:shd w:val="clear" w:color="auto" w:fill="FFFFFF"/>
          </w:tcPr>
          <w:p w14:paraId="6BA69281" w14:textId="77777777" w:rsidR="004C0A5E" w:rsidRDefault="0000000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3,67</w:t>
            </w:r>
          </w:p>
        </w:tc>
        <w:tc>
          <w:tcPr>
            <w:tcW w:w="1134" w:type="dxa"/>
            <w:shd w:val="clear" w:color="auto" w:fill="FFFFFF"/>
          </w:tcPr>
          <w:p w14:paraId="704F588B" w14:textId="77777777" w:rsidR="004C0A5E" w:rsidRDefault="0000000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303,713</w:t>
            </w:r>
          </w:p>
        </w:tc>
        <w:tc>
          <w:tcPr>
            <w:tcW w:w="850" w:type="dxa"/>
            <w:shd w:val="clear" w:color="auto" w:fill="FFFFFF"/>
          </w:tcPr>
          <w:p w14:paraId="2F04CC1A" w14:textId="77777777" w:rsidR="004C0A5E" w:rsidRDefault="0000000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2,75</w:t>
            </w:r>
          </w:p>
        </w:tc>
        <w:tc>
          <w:tcPr>
            <w:tcW w:w="1134" w:type="dxa"/>
            <w:shd w:val="clear" w:color="auto" w:fill="FFFFFF"/>
          </w:tcPr>
          <w:p w14:paraId="6616C1CF" w14:textId="77777777" w:rsidR="004C0A5E" w:rsidRDefault="0000000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431,29</w:t>
            </w:r>
          </w:p>
        </w:tc>
        <w:tc>
          <w:tcPr>
            <w:tcW w:w="709" w:type="dxa"/>
            <w:shd w:val="clear" w:color="auto" w:fill="FFFFFF"/>
          </w:tcPr>
          <w:p w14:paraId="1215FD2A" w14:textId="77777777" w:rsidR="004C0A5E" w:rsidRDefault="0000000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3,91</w:t>
            </w:r>
          </w:p>
        </w:tc>
        <w:tc>
          <w:tcPr>
            <w:tcW w:w="1134" w:type="dxa"/>
            <w:shd w:val="clear" w:color="auto" w:fill="FFFFFF"/>
          </w:tcPr>
          <w:p w14:paraId="709DFB5D" w14:textId="77777777" w:rsidR="004C0A5E" w:rsidRDefault="0000000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82,676</w:t>
            </w:r>
          </w:p>
        </w:tc>
        <w:tc>
          <w:tcPr>
            <w:tcW w:w="709" w:type="dxa"/>
            <w:shd w:val="clear" w:color="auto" w:fill="FFFFFF"/>
          </w:tcPr>
          <w:p w14:paraId="77C10715" w14:textId="77777777" w:rsidR="004C0A5E" w:rsidRDefault="0000000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0,75</w:t>
            </w:r>
          </w:p>
        </w:tc>
      </w:tr>
      <w:tr w:rsidR="004C0A5E" w14:paraId="576EFD2F" w14:textId="77777777" w:rsidTr="004C0A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gridSpan w:val="2"/>
            <w:tcBorders>
              <w:bottom w:val="single" w:sz="4" w:space="0" w:color="000000"/>
            </w:tcBorders>
            <w:shd w:val="clear" w:color="auto" w:fill="FFFFFF"/>
          </w:tcPr>
          <w:p w14:paraId="165BB77A" w14:textId="77777777" w:rsidR="004C0A5E" w:rsidRDefault="00000000">
            <w:pPr>
              <w:widowControl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Total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FFFFFF"/>
          </w:tcPr>
          <w:p w14:paraId="579A6DBB" w14:textId="77777777" w:rsidR="004C0A5E" w:rsidRDefault="0000000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11037,78</w:t>
            </w:r>
          </w:p>
        </w:tc>
        <w:tc>
          <w:tcPr>
            <w:tcW w:w="709" w:type="dxa"/>
            <w:tcBorders>
              <w:bottom w:val="single" w:sz="4" w:space="0" w:color="000000"/>
            </w:tcBorders>
            <w:shd w:val="clear" w:color="auto" w:fill="FFFFFF"/>
          </w:tcPr>
          <w:p w14:paraId="5A70716E" w14:textId="77777777" w:rsidR="004C0A5E" w:rsidRDefault="0000000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FFFFFF"/>
          </w:tcPr>
          <w:p w14:paraId="26BC6247" w14:textId="77777777" w:rsidR="004C0A5E" w:rsidRDefault="0000000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11037,78</w:t>
            </w:r>
          </w:p>
        </w:tc>
        <w:tc>
          <w:tcPr>
            <w:tcW w:w="850" w:type="dxa"/>
            <w:tcBorders>
              <w:bottom w:val="single" w:sz="4" w:space="0" w:color="000000"/>
            </w:tcBorders>
            <w:shd w:val="clear" w:color="auto" w:fill="FFFFFF"/>
          </w:tcPr>
          <w:p w14:paraId="2413050D" w14:textId="77777777" w:rsidR="004C0A5E" w:rsidRDefault="0000000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FFFFFF"/>
          </w:tcPr>
          <w:p w14:paraId="08B5939A" w14:textId="77777777" w:rsidR="004C0A5E" w:rsidRDefault="0000000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11037,78</w:t>
            </w:r>
          </w:p>
        </w:tc>
        <w:tc>
          <w:tcPr>
            <w:tcW w:w="709" w:type="dxa"/>
            <w:tcBorders>
              <w:bottom w:val="single" w:sz="4" w:space="0" w:color="000000"/>
            </w:tcBorders>
            <w:shd w:val="clear" w:color="auto" w:fill="FFFFFF"/>
          </w:tcPr>
          <w:p w14:paraId="38EC202F" w14:textId="77777777" w:rsidR="004C0A5E" w:rsidRDefault="0000000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FFFFFF"/>
          </w:tcPr>
          <w:p w14:paraId="559B8F7A" w14:textId="77777777" w:rsidR="004C0A5E" w:rsidRDefault="0000000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11037,78</w:t>
            </w:r>
          </w:p>
        </w:tc>
        <w:tc>
          <w:tcPr>
            <w:tcW w:w="709" w:type="dxa"/>
            <w:tcBorders>
              <w:bottom w:val="single" w:sz="4" w:space="0" w:color="000000"/>
            </w:tcBorders>
            <w:shd w:val="clear" w:color="auto" w:fill="FFFFFF"/>
          </w:tcPr>
          <w:p w14:paraId="4BDC2472" w14:textId="77777777" w:rsidR="004C0A5E" w:rsidRDefault="00000000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</w:t>
            </w:r>
          </w:p>
        </w:tc>
      </w:tr>
    </w:tbl>
    <w:p w14:paraId="57F3D0C2" w14:textId="77777777" w:rsidR="004C0A5E" w:rsidRDefault="00000000">
      <w:pPr>
        <w:widowControl/>
        <w:spacing w:line="360" w:lineRule="auto"/>
      </w:pPr>
      <w:r>
        <w:t>Fonte: Autores (2025).</w:t>
      </w:r>
    </w:p>
    <w:p w14:paraId="3F9C96C4" w14:textId="60E99955" w:rsidR="004C0A5E" w:rsidRDefault="00000000">
      <w:pPr>
        <w:widowControl/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Analisando a Tabela </w:t>
      </w:r>
      <w:r w:rsidR="00B002F7">
        <w:rPr>
          <w:sz w:val="24"/>
          <w:szCs w:val="24"/>
        </w:rPr>
        <w:t>2</w:t>
      </w:r>
      <w:r>
        <w:rPr>
          <w:sz w:val="24"/>
          <w:szCs w:val="24"/>
        </w:rPr>
        <w:t xml:space="preserve">, nota-se que a classe “Vegetação” apresentou a maior área e porcentagem em todos os métodos (67,35% (RF), 65,52% (CART), 68,75% (LibSVM), 73,01% (MMD)). Isso ocorre devido às extensas áreas de manguezais abrangidas pela unidade de conservação. Este resultado corrobora com Teixeira (2022), o qual enfatiza que </w:t>
      </w:r>
      <w:r w:rsidR="007D69D1">
        <w:rPr>
          <w:sz w:val="24"/>
          <w:szCs w:val="24"/>
        </w:rPr>
        <w:t>os</w:t>
      </w:r>
      <w:r>
        <w:rPr>
          <w:sz w:val="24"/>
          <w:szCs w:val="24"/>
        </w:rPr>
        <w:t xml:space="preserve"> manguezais são uma das principais classes formadoras da paisagem da região. Esses dados podem ser visualizados melhor na Figura 3, que mostra a relação entre os </w:t>
      </w:r>
      <w:r w:rsidR="00063AD6">
        <w:rPr>
          <w:sz w:val="24"/>
          <w:szCs w:val="24"/>
        </w:rPr>
        <w:t>algoritmos</w:t>
      </w:r>
      <w:r>
        <w:rPr>
          <w:sz w:val="24"/>
          <w:szCs w:val="24"/>
        </w:rPr>
        <w:t xml:space="preserve"> e </w:t>
      </w:r>
      <w:r w:rsidR="00063AD6">
        <w:rPr>
          <w:sz w:val="24"/>
          <w:szCs w:val="24"/>
        </w:rPr>
        <w:t xml:space="preserve">a área total das </w:t>
      </w:r>
      <w:r>
        <w:rPr>
          <w:sz w:val="24"/>
          <w:szCs w:val="24"/>
        </w:rPr>
        <w:t>classes.</w:t>
      </w:r>
    </w:p>
    <w:p w14:paraId="7550B371" w14:textId="77777777" w:rsidR="004C0A5E" w:rsidRDefault="00000000">
      <w:pPr>
        <w:widowControl/>
        <w:jc w:val="center"/>
      </w:pPr>
      <w:r>
        <w:t>Figura 3 - Classes de uso e cobertura do solo para cada método.</w:t>
      </w:r>
    </w:p>
    <w:p w14:paraId="3400F8E0" w14:textId="77777777" w:rsidR="004C0A5E" w:rsidRDefault="00000000">
      <w:pPr>
        <w:widowControl/>
        <w:spacing w:line="360" w:lineRule="auto"/>
        <w:jc w:val="center"/>
      </w:pPr>
      <w:r>
        <w:rPr>
          <w:noProof/>
        </w:rPr>
        <w:drawing>
          <wp:inline distT="0" distB="0" distL="0" distR="0" wp14:anchorId="149EFAF8" wp14:editId="458D2351">
            <wp:extent cx="4048125" cy="2217347"/>
            <wp:effectExtent l="19050" t="19050" r="9525" b="12065"/>
            <wp:docPr id="2027638826" name="image6.png" descr="Gráfico, Gráfico de barras&#10;&#10;O conteúdo gerado por IA pode estar incorre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Gráfico, Gráfico de barras&#10;&#10;O conteúdo gerado por IA pode estar incorreto."/>
                    <pic:cNvPicPr preferRelativeResize="0"/>
                  </pic:nvPicPr>
                  <pic:blipFill>
                    <a:blip r:embed="rId9"/>
                    <a:srcRect b="4593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22173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5888E9" w14:textId="77777777" w:rsidR="004C0A5E" w:rsidRDefault="00000000">
      <w:pPr>
        <w:widowControl/>
        <w:spacing w:line="360" w:lineRule="auto"/>
      </w:pPr>
      <w:r>
        <w:t>Fonte: autores (2025).</w:t>
      </w:r>
    </w:p>
    <w:p w14:paraId="73891CD2" w14:textId="77777777" w:rsidR="004C0A5E" w:rsidRDefault="00000000">
      <w:pPr>
        <w:widowControl/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 Nesse contexto, a classe “Água” é a segunda em extensão em todos os métodos RF, CART, LibSVM e MMD com 23,40%, 23,23%, 21,51% e 22,51, respectivamente, devido a reserva ser banhada pelo rio Marapanim o principal curso d’água da bacia hidrográfica que abrange a região e pelo rio Cuinarana sendo um dos seus principais afluentes (Mendes; Soares; Quintairos, 2022). </w:t>
      </w:r>
    </w:p>
    <w:p w14:paraId="6E239DBF" w14:textId="77777777" w:rsidR="004C0A5E" w:rsidRDefault="00000000">
      <w:pPr>
        <w:widowControl/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Posteriormente foram gerados o K e AG que podem ser observados na Tabela 3, além de AU e AP a partir da matriz de confusão. A análise da matriz de confusão gerada permitiu analisar os resultados estatísticos das classificações, obtendo resultados positivos para K, considerados “Excelente” para todos os classificadores,</w:t>
      </w:r>
      <w:r>
        <w:rPr>
          <w:rFonts w:ascii="Calibri" w:eastAsia="Calibri" w:hAnsi="Calibri" w:cs="Calibri"/>
        </w:rPr>
        <w:t xml:space="preserve"> </w:t>
      </w:r>
      <w:r>
        <w:rPr>
          <w:sz w:val="24"/>
          <w:szCs w:val="24"/>
        </w:rPr>
        <w:t>conforme os intervalos e níveis de concordância estabelecidos por Fonseca (2000).</w:t>
      </w:r>
    </w:p>
    <w:p w14:paraId="67679328" w14:textId="77777777" w:rsidR="004C0A5E" w:rsidRDefault="00000000">
      <w:pPr>
        <w:widowControl/>
        <w:spacing w:line="276" w:lineRule="auto"/>
        <w:jc w:val="center"/>
      </w:pPr>
      <w:bookmarkStart w:id="3" w:name="_heading=h.c6fqpdm72kqk" w:colFirst="0" w:colLast="0"/>
      <w:bookmarkEnd w:id="3"/>
      <w:r>
        <w:t>Tabela 3 - Validação estatística da classificação supervisionada na área de estudo.</w:t>
      </w:r>
    </w:p>
    <w:sdt>
      <w:sdtPr>
        <w:rPr>
          <w:b w:val="0"/>
          <w:sz w:val="22"/>
          <w:szCs w:val="22"/>
        </w:rPr>
        <w:tag w:val="goog_rdk_0"/>
        <w:id w:val="-1254149127"/>
        <w:lock w:val="contentLocked"/>
      </w:sdtPr>
      <w:sdtContent>
        <w:tbl>
          <w:tblPr>
            <w:tblStyle w:val="a5"/>
            <w:tblW w:w="8080" w:type="dxa"/>
            <w:jc w:val="center"/>
            <w:tblInd w:w="0" w:type="dxa"/>
            <w:tblLayout w:type="fixed"/>
            <w:tblLook w:val="04A0" w:firstRow="1" w:lastRow="0" w:firstColumn="1" w:lastColumn="0" w:noHBand="0" w:noVBand="1"/>
          </w:tblPr>
          <w:tblGrid>
            <w:gridCol w:w="1135"/>
            <w:gridCol w:w="1984"/>
            <w:gridCol w:w="1843"/>
            <w:gridCol w:w="3118"/>
          </w:tblGrid>
          <w:tr w:rsidR="004C0A5E" w14:paraId="4A2604ED" w14:textId="77777777" w:rsidTr="004C0A5E">
            <w:tr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trHeight w:val="325"/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135" w:type="dxa"/>
                <w:tcBorders>
                  <w:top w:val="single" w:sz="4" w:space="0" w:color="000000"/>
                  <w:bottom w:val="single" w:sz="4" w:space="0" w:color="000000"/>
                </w:tcBorders>
              </w:tcPr>
              <w:p w14:paraId="0B855F98" w14:textId="77777777" w:rsidR="004C0A5E" w:rsidRDefault="00000000">
                <w:pPr>
                  <w:widowControl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Métodos</w:t>
                </w:r>
              </w:p>
            </w:tc>
            <w:tc>
              <w:tcPr>
                <w:tcW w:w="1984" w:type="dxa"/>
                <w:tcBorders>
                  <w:top w:val="single" w:sz="4" w:space="0" w:color="000000"/>
                  <w:bottom w:val="single" w:sz="4" w:space="0" w:color="000000"/>
                </w:tcBorders>
              </w:tcPr>
              <w:p w14:paraId="16B0F994" w14:textId="77777777" w:rsidR="004C0A5E" w:rsidRDefault="00000000">
                <w:pPr>
                  <w:widowControl/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AG</w:t>
                </w:r>
              </w:p>
            </w:tc>
            <w:tc>
              <w:tcPr>
                <w:tcW w:w="1843" w:type="dxa"/>
                <w:tcBorders>
                  <w:top w:val="single" w:sz="4" w:space="0" w:color="000000"/>
                  <w:bottom w:val="single" w:sz="4" w:space="0" w:color="000000"/>
                </w:tcBorders>
              </w:tcPr>
              <w:p w14:paraId="1E634E74" w14:textId="77777777" w:rsidR="004C0A5E" w:rsidRDefault="00000000">
                <w:pPr>
                  <w:widowControl/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i/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K</w:t>
                </w:r>
              </w:p>
            </w:tc>
            <w:tc>
              <w:tcPr>
                <w:tcW w:w="3118" w:type="dxa"/>
                <w:tcBorders>
                  <w:top w:val="single" w:sz="4" w:space="0" w:color="000000"/>
                  <w:bottom w:val="single" w:sz="4" w:space="0" w:color="000000"/>
                </w:tcBorders>
              </w:tcPr>
              <w:p w14:paraId="62C567A5" w14:textId="77777777" w:rsidR="004C0A5E" w:rsidRDefault="00000000">
                <w:pPr>
                  <w:widowControl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Qualidade da Classificação</w:t>
                </w:r>
              </w:p>
            </w:tc>
          </w:tr>
          <w:tr w:rsidR="004C0A5E" w14:paraId="0E5AE23C" w14:textId="77777777" w:rsidTr="004C0A5E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307"/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135" w:type="dxa"/>
                <w:shd w:val="clear" w:color="auto" w:fill="auto"/>
              </w:tcPr>
              <w:p w14:paraId="2F97C5BA" w14:textId="77777777" w:rsidR="004C0A5E" w:rsidRDefault="00000000">
                <w:pPr>
                  <w:widowControl/>
                  <w:jc w:val="center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RF</w:t>
                </w:r>
              </w:p>
            </w:tc>
            <w:tc>
              <w:tcPr>
                <w:tcW w:w="1984" w:type="dxa"/>
                <w:shd w:val="clear" w:color="auto" w:fill="auto"/>
              </w:tcPr>
              <w:p w14:paraId="6C892AF0" w14:textId="77777777" w:rsidR="004C0A5E" w:rsidRDefault="00000000">
                <w:pPr>
                  <w:widowControl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98,3</w:t>
                </w:r>
              </w:p>
            </w:tc>
            <w:tc>
              <w:tcPr>
                <w:tcW w:w="1843" w:type="dxa"/>
                <w:shd w:val="clear" w:color="auto" w:fill="auto"/>
              </w:tcPr>
              <w:p w14:paraId="65412622" w14:textId="77777777" w:rsidR="004C0A5E" w:rsidRDefault="00000000">
                <w:pPr>
                  <w:widowControl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0,98</w:t>
                </w:r>
              </w:p>
            </w:tc>
            <w:tc>
              <w:tcPr>
                <w:tcW w:w="3118" w:type="dxa"/>
                <w:shd w:val="clear" w:color="auto" w:fill="auto"/>
              </w:tcPr>
              <w:p w14:paraId="0F60C464" w14:textId="77777777" w:rsidR="004C0A5E" w:rsidRDefault="00000000">
                <w:pPr>
                  <w:widowControl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Excelente</w:t>
                </w:r>
              </w:p>
            </w:tc>
          </w:tr>
          <w:tr w:rsidR="004C0A5E" w14:paraId="1A6CA5AF" w14:textId="77777777" w:rsidTr="004C0A5E">
            <w:trPr>
              <w:trHeight w:val="307"/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135" w:type="dxa"/>
              </w:tcPr>
              <w:p w14:paraId="4FA5CA39" w14:textId="77777777" w:rsidR="004C0A5E" w:rsidRDefault="00000000">
                <w:pPr>
                  <w:widowControl/>
                  <w:jc w:val="center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CART</w:t>
                </w:r>
              </w:p>
            </w:tc>
            <w:tc>
              <w:tcPr>
                <w:tcW w:w="1984" w:type="dxa"/>
              </w:tcPr>
              <w:p w14:paraId="264BCFEA" w14:textId="77777777" w:rsidR="004C0A5E" w:rsidRDefault="00000000">
                <w:pPr>
                  <w:widowControl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97,2</w:t>
                </w:r>
              </w:p>
            </w:tc>
            <w:tc>
              <w:tcPr>
                <w:tcW w:w="1843" w:type="dxa"/>
              </w:tcPr>
              <w:p w14:paraId="45740A5E" w14:textId="77777777" w:rsidR="004C0A5E" w:rsidRDefault="00000000">
                <w:pPr>
                  <w:widowControl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0,96</w:t>
                </w:r>
              </w:p>
            </w:tc>
            <w:tc>
              <w:tcPr>
                <w:tcW w:w="3118" w:type="dxa"/>
              </w:tcPr>
              <w:p w14:paraId="0FBE8122" w14:textId="77777777" w:rsidR="004C0A5E" w:rsidRDefault="00000000">
                <w:pPr>
                  <w:widowControl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Excelente</w:t>
                </w:r>
              </w:p>
            </w:tc>
          </w:tr>
          <w:tr w:rsidR="004C0A5E" w14:paraId="5340F733" w14:textId="77777777" w:rsidTr="004C0A5E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307"/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135" w:type="dxa"/>
                <w:shd w:val="clear" w:color="auto" w:fill="auto"/>
              </w:tcPr>
              <w:p w14:paraId="551CE41E" w14:textId="77777777" w:rsidR="004C0A5E" w:rsidRDefault="00000000">
                <w:pPr>
                  <w:widowControl/>
                  <w:jc w:val="center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LibSVM</w:t>
                </w:r>
              </w:p>
            </w:tc>
            <w:tc>
              <w:tcPr>
                <w:tcW w:w="1984" w:type="dxa"/>
                <w:shd w:val="clear" w:color="auto" w:fill="auto"/>
              </w:tcPr>
              <w:p w14:paraId="50683FEB" w14:textId="77777777" w:rsidR="004C0A5E" w:rsidRDefault="00000000">
                <w:pPr>
                  <w:widowControl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99,1</w:t>
                </w:r>
              </w:p>
            </w:tc>
            <w:tc>
              <w:tcPr>
                <w:tcW w:w="1843" w:type="dxa"/>
                <w:shd w:val="clear" w:color="auto" w:fill="auto"/>
              </w:tcPr>
              <w:p w14:paraId="4A68FF39" w14:textId="77777777" w:rsidR="004C0A5E" w:rsidRDefault="00000000">
                <w:pPr>
                  <w:widowControl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0,98</w:t>
                </w:r>
              </w:p>
            </w:tc>
            <w:tc>
              <w:tcPr>
                <w:tcW w:w="3118" w:type="dxa"/>
                <w:shd w:val="clear" w:color="auto" w:fill="auto"/>
              </w:tcPr>
              <w:p w14:paraId="39141A47" w14:textId="77777777" w:rsidR="004C0A5E" w:rsidRDefault="00000000">
                <w:pPr>
                  <w:widowControl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Excelente</w:t>
                </w:r>
              </w:p>
            </w:tc>
          </w:tr>
          <w:tr w:rsidR="004C0A5E" w14:paraId="0F75FF51" w14:textId="77777777" w:rsidTr="004C0A5E">
            <w:trPr>
              <w:trHeight w:val="307"/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135" w:type="dxa"/>
                <w:tcBorders>
                  <w:bottom w:val="single" w:sz="4" w:space="0" w:color="000000"/>
                </w:tcBorders>
              </w:tcPr>
              <w:p w14:paraId="7E583E75" w14:textId="77777777" w:rsidR="004C0A5E" w:rsidRDefault="00000000">
                <w:pPr>
                  <w:widowControl/>
                  <w:jc w:val="center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MMD</w:t>
                </w:r>
              </w:p>
            </w:tc>
            <w:tc>
              <w:tcPr>
                <w:tcW w:w="1984" w:type="dxa"/>
                <w:tcBorders>
                  <w:bottom w:val="single" w:sz="4" w:space="0" w:color="000000"/>
                </w:tcBorders>
              </w:tcPr>
              <w:p w14:paraId="1A611407" w14:textId="77777777" w:rsidR="004C0A5E" w:rsidRDefault="00000000">
                <w:pPr>
                  <w:widowControl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93,9</w:t>
                </w:r>
              </w:p>
            </w:tc>
            <w:tc>
              <w:tcPr>
                <w:tcW w:w="1843" w:type="dxa"/>
                <w:tcBorders>
                  <w:bottom w:val="single" w:sz="4" w:space="0" w:color="000000"/>
                </w:tcBorders>
              </w:tcPr>
              <w:p w14:paraId="194A1E65" w14:textId="77777777" w:rsidR="004C0A5E" w:rsidRDefault="00000000">
                <w:pPr>
                  <w:widowControl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0,92</w:t>
                </w:r>
              </w:p>
            </w:tc>
            <w:tc>
              <w:tcPr>
                <w:tcW w:w="3118" w:type="dxa"/>
                <w:tcBorders>
                  <w:bottom w:val="single" w:sz="4" w:space="0" w:color="000000"/>
                </w:tcBorders>
              </w:tcPr>
              <w:p w14:paraId="4B7CD7F7" w14:textId="77777777" w:rsidR="004C0A5E" w:rsidRDefault="00000000">
                <w:pPr>
                  <w:widowControl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Excelente</w:t>
                </w:r>
              </w:p>
            </w:tc>
          </w:tr>
        </w:tbl>
      </w:sdtContent>
    </w:sdt>
    <w:p w14:paraId="3CD07F12" w14:textId="77777777" w:rsidR="004C0A5E" w:rsidRDefault="00000000">
      <w:pPr>
        <w:widowControl/>
        <w:spacing w:line="360" w:lineRule="auto"/>
      </w:pPr>
      <w:r>
        <w:t>Fonte: Autores (2025).</w:t>
      </w:r>
    </w:p>
    <w:p w14:paraId="25A7BBAB" w14:textId="77777777" w:rsidR="004C0A5E" w:rsidRDefault="00000000">
      <w:pPr>
        <w:widowControl/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Segundo os resultados de AG e K, o melhor método de classificação supervisionada para a área de estudo foi o LibSVM, com AG de 99,1% e 0,98 de K. Em seguida, destacou-se o método RF com 98,3% e 0,98 de AG e K, respectivamente. Os métodos CART e MMD foram os que apresentaram os menores valores de AG e K, sendo 97,2% (AG) e 0,96 (K) para o método CART, e 93,9% (AG) e 0,92 (K) para o MMD.</w:t>
      </w:r>
    </w:p>
    <w:p w14:paraId="2ED758B4" w14:textId="77777777" w:rsidR="004C0A5E" w:rsidRDefault="00000000">
      <w:pPr>
        <w:widowControl/>
        <w:spacing w:line="360" w:lineRule="auto"/>
        <w:ind w:firstLine="708"/>
        <w:jc w:val="both"/>
      </w:pPr>
      <w:bookmarkStart w:id="4" w:name="_heading=h.k2i4s95kxe1s" w:colFirst="0" w:colLast="0"/>
      <w:bookmarkEnd w:id="4"/>
      <w:r>
        <w:rPr>
          <w:sz w:val="24"/>
          <w:szCs w:val="24"/>
        </w:rPr>
        <w:t>Os dados de AP e AU (Tabela 4) mostram que a maioria das classes tiveram resultados elevados, com exceção do resultado de AP para a classe “Nuvem” no método MMD, que correspondeu a 70,9%, indicando que 29,1% das áreas correspondentes a essa classe não foram identificadas corretamente pelo algoritmo, ao passo que o resultado de AU foi de 93,9%, indicando que o usuário apontou incorretamente somente 6,1% dos pixels correspondentes a essa classe. Esses dados resultantes são semelhantes aos de Santos (2021) que apresentou valores menores para o método MMD na RESEX-MAR de Soure.</w:t>
      </w:r>
    </w:p>
    <w:p w14:paraId="1672B31B" w14:textId="77777777" w:rsidR="004C0A5E" w:rsidRDefault="00000000">
      <w:pPr>
        <w:widowControl/>
        <w:spacing w:line="360" w:lineRule="auto"/>
        <w:jc w:val="center"/>
      </w:pPr>
      <w:r>
        <w:t>Tabela 4 - Acurácia do Usuário (%) e Acurácia do Produtor (%).</w:t>
      </w:r>
    </w:p>
    <w:sdt>
      <w:sdtPr>
        <w:rPr>
          <w:b w:val="0"/>
          <w:sz w:val="22"/>
          <w:szCs w:val="22"/>
        </w:rPr>
        <w:tag w:val="goog_rdk_1"/>
        <w:id w:val="-943814440"/>
        <w:lock w:val="contentLocked"/>
      </w:sdtPr>
      <w:sdtContent>
        <w:tbl>
          <w:tblPr>
            <w:tblStyle w:val="a6"/>
            <w:tblW w:w="8133" w:type="dxa"/>
            <w:jc w:val="center"/>
            <w:tblInd w:w="0" w:type="dxa"/>
            <w:tblLayout w:type="fixed"/>
            <w:tblLook w:val="04A0" w:firstRow="1" w:lastRow="0" w:firstColumn="1" w:lastColumn="0" w:noHBand="0" w:noVBand="1"/>
          </w:tblPr>
          <w:tblGrid>
            <w:gridCol w:w="2122"/>
            <w:gridCol w:w="758"/>
            <w:gridCol w:w="454"/>
            <w:gridCol w:w="305"/>
            <w:gridCol w:w="755"/>
            <w:gridCol w:w="758"/>
            <w:gridCol w:w="252"/>
            <w:gridCol w:w="506"/>
            <w:gridCol w:w="758"/>
            <w:gridCol w:w="252"/>
            <w:gridCol w:w="354"/>
            <w:gridCol w:w="606"/>
            <w:gridCol w:w="152"/>
            <w:gridCol w:w="101"/>
          </w:tblGrid>
          <w:tr w:rsidR="004C0A5E" w14:paraId="03A66D28" w14:textId="77777777" w:rsidTr="004C0A5E">
            <w:tr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trHeight w:val="325"/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122" w:type="dxa"/>
                <w:tcBorders>
                  <w:top w:val="single" w:sz="4" w:space="0" w:color="000000"/>
                  <w:bottom w:val="single" w:sz="4" w:space="0" w:color="000000"/>
                </w:tcBorders>
              </w:tcPr>
              <w:p w14:paraId="494DD1C0" w14:textId="77777777" w:rsidR="004C0A5E" w:rsidRDefault="004C0A5E">
                <w:pPr>
                  <w:widowControl/>
                  <w:rPr>
                    <w:sz w:val="22"/>
                    <w:szCs w:val="22"/>
                  </w:rPr>
                </w:pPr>
              </w:p>
            </w:tc>
            <w:tc>
              <w:tcPr>
                <w:tcW w:w="1212" w:type="dxa"/>
                <w:gridSpan w:val="2"/>
                <w:tcBorders>
                  <w:top w:val="single" w:sz="4" w:space="0" w:color="000000"/>
                  <w:bottom w:val="single" w:sz="4" w:space="0" w:color="000000"/>
                </w:tcBorders>
              </w:tcPr>
              <w:p w14:paraId="49747C67" w14:textId="77777777" w:rsidR="004C0A5E" w:rsidRDefault="00000000">
                <w:pPr>
                  <w:widowControl/>
                  <w:ind w:left="27" w:right="-246"/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RF</w:t>
                </w:r>
              </w:p>
            </w:tc>
            <w:tc>
              <w:tcPr>
                <w:tcW w:w="305" w:type="dxa"/>
                <w:tcBorders>
                  <w:top w:val="single" w:sz="4" w:space="0" w:color="000000"/>
                  <w:bottom w:val="single" w:sz="4" w:space="0" w:color="000000"/>
                </w:tcBorders>
              </w:tcPr>
              <w:p w14:paraId="14D56A77" w14:textId="77777777" w:rsidR="004C0A5E" w:rsidRDefault="004C0A5E">
                <w:pPr>
                  <w:widowControl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</w:p>
            </w:tc>
            <w:tc>
              <w:tcPr>
                <w:tcW w:w="1513" w:type="dxa"/>
                <w:gridSpan w:val="2"/>
                <w:tcBorders>
                  <w:top w:val="single" w:sz="4" w:space="0" w:color="000000"/>
                  <w:bottom w:val="single" w:sz="4" w:space="0" w:color="000000"/>
                </w:tcBorders>
              </w:tcPr>
              <w:p w14:paraId="5A62120C" w14:textId="77777777" w:rsidR="004C0A5E" w:rsidRDefault="00000000">
                <w:pPr>
                  <w:widowControl/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CART</w:t>
                </w:r>
              </w:p>
            </w:tc>
            <w:tc>
              <w:tcPr>
                <w:tcW w:w="252" w:type="dxa"/>
                <w:tcBorders>
                  <w:top w:val="single" w:sz="4" w:space="0" w:color="000000"/>
                  <w:bottom w:val="single" w:sz="4" w:space="0" w:color="000000"/>
                </w:tcBorders>
              </w:tcPr>
              <w:p w14:paraId="7F5B46C0" w14:textId="77777777" w:rsidR="004C0A5E" w:rsidRDefault="004C0A5E">
                <w:pPr>
                  <w:widowControl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</w:p>
            </w:tc>
            <w:tc>
              <w:tcPr>
                <w:tcW w:w="1264" w:type="dxa"/>
                <w:gridSpan w:val="2"/>
                <w:tcBorders>
                  <w:top w:val="single" w:sz="4" w:space="0" w:color="000000"/>
                  <w:bottom w:val="single" w:sz="4" w:space="0" w:color="000000"/>
                </w:tcBorders>
              </w:tcPr>
              <w:p w14:paraId="6BB61F45" w14:textId="77777777" w:rsidR="004C0A5E" w:rsidRDefault="00000000">
                <w:pPr>
                  <w:widowControl/>
                  <w:jc w:val="right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LibSVM</w:t>
                </w:r>
              </w:p>
            </w:tc>
            <w:tc>
              <w:tcPr>
                <w:tcW w:w="252" w:type="dxa"/>
                <w:tcBorders>
                  <w:top w:val="single" w:sz="4" w:space="0" w:color="000000"/>
                  <w:bottom w:val="single" w:sz="4" w:space="0" w:color="000000"/>
                </w:tcBorders>
              </w:tcPr>
              <w:p w14:paraId="44DA8D15" w14:textId="77777777" w:rsidR="004C0A5E" w:rsidRDefault="004C0A5E">
                <w:pPr>
                  <w:widowControl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</w:p>
            </w:tc>
            <w:tc>
              <w:tcPr>
                <w:tcW w:w="960" w:type="dxa"/>
                <w:gridSpan w:val="2"/>
                <w:tcBorders>
                  <w:top w:val="single" w:sz="4" w:space="0" w:color="000000"/>
                  <w:bottom w:val="single" w:sz="4" w:space="0" w:color="000000"/>
                </w:tcBorders>
              </w:tcPr>
              <w:p w14:paraId="0F633194" w14:textId="77777777" w:rsidR="004C0A5E" w:rsidRDefault="00000000">
                <w:pPr>
                  <w:widowControl/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MMD</w:t>
                </w:r>
              </w:p>
            </w:tc>
            <w:tc>
              <w:tcPr>
                <w:tcW w:w="253" w:type="dxa"/>
                <w:gridSpan w:val="2"/>
                <w:tcBorders>
                  <w:top w:val="single" w:sz="4" w:space="0" w:color="000000"/>
                  <w:bottom w:val="single" w:sz="4" w:space="0" w:color="000000"/>
                </w:tcBorders>
              </w:tcPr>
              <w:p w14:paraId="6B71B129" w14:textId="77777777" w:rsidR="004C0A5E" w:rsidRDefault="004C0A5E">
                <w:pPr>
                  <w:widowControl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</w:p>
            </w:tc>
          </w:tr>
          <w:tr w:rsidR="004C0A5E" w14:paraId="00ACAC2A" w14:textId="77777777" w:rsidTr="004C0A5E">
            <w:trPr>
              <w:gridAfter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wAfter w:w="101" w:type="dxa"/>
              <w:trHeight w:val="325"/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122" w:type="dxa"/>
                <w:shd w:val="clear" w:color="auto" w:fill="auto"/>
              </w:tcPr>
              <w:p w14:paraId="22B6435E" w14:textId="77777777" w:rsidR="004C0A5E" w:rsidRDefault="004C0A5E">
                <w:pPr>
                  <w:widowControl/>
                  <w:rPr>
                    <w:sz w:val="22"/>
                    <w:szCs w:val="22"/>
                  </w:rPr>
                </w:pPr>
              </w:p>
            </w:tc>
            <w:tc>
              <w:tcPr>
                <w:tcW w:w="758" w:type="dxa"/>
                <w:shd w:val="clear" w:color="auto" w:fill="auto"/>
              </w:tcPr>
              <w:p w14:paraId="45432A97" w14:textId="77777777" w:rsidR="004C0A5E" w:rsidRDefault="00000000">
                <w:pPr>
                  <w:widowControl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AU</w:t>
                </w:r>
              </w:p>
            </w:tc>
            <w:tc>
              <w:tcPr>
                <w:tcW w:w="759" w:type="dxa"/>
                <w:gridSpan w:val="2"/>
                <w:shd w:val="clear" w:color="auto" w:fill="auto"/>
              </w:tcPr>
              <w:p w14:paraId="3CC5BA99" w14:textId="77777777" w:rsidR="004C0A5E" w:rsidRDefault="00000000">
                <w:pPr>
                  <w:widowControl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AP</w:t>
                </w:r>
              </w:p>
            </w:tc>
            <w:tc>
              <w:tcPr>
                <w:tcW w:w="755" w:type="dxa"/>
                <w:shd w:val="clear" w:color="auto" w:fill="auto"/>
              </w:tcPr>
              <w:p w14:paraId="08944DF6" w14:textId="77777777" w:rsidR="004C0A5E" w:rsidRDefault="00000000">
                <w:pPr>
                  <w:widowControl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AU</w:t>
                </w:r>
              </w:p>
            </w:tc>
            <w:tc>
              <w:tcPr>
                <w:tcW w:w="758" w:type="dxa"/>
                <w:shd w:val="clear" w:color="auto" w:fill="auto"/>
              </w:tcPr>
              <w:p w14:paraId="3C7F89B2" w14:textId="77777777" w:rsidR="004C0A5E" w:rsidRDefault="00000000">
                <w:pPr>
                  <w:widowControl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AP</w:t>
                </w:r>
              </w:p>
            </w:tc>
            <w:tc>
              <w:tcPr>
                <w:tcW w:w="758" w:type="dxa"/>
                <w:gridSpan w:val="2"/>
                <w:shd w:val="clear" w:color="auto" w:fill="auto"/>
              </w:tcPr>
              <w:p w14:paraId="03D23567" w14:textId="77777777" w:rsidR="004C0A5E" w:rsidRDefault="00000000">
                <w:pPr>
                  <w:widowControl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AU</w:t>
                </w:r>
              </w:p>
            </w:tc>
            <w:tc>
              <w:tcPr>
                <w:tcW w:w="758" w:type="dxa"/>
                <w:shd w:val="clear" w:color="auto" w:fill="auto"/>
              </w:tcPr>
              <w:p w14:paraId="32576BB0" w14:textId="77777777" w:rsidR="004C0A5E" w:rsidRDefault="00000000">
                <w:pPr>
                  <w:widowControl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AP</w:t>
                </w:r>
              </w:p>
            </w:tc>
            <w:tc>
              <w:tcPr>
                <w:tcW w:w="606" w:type="dxa"/>
                <w:gridSpan w:val="2"/>
                <w:shd w:val="clear" w:color="auto" w:fill="auto"/>
              </w:tcPr>
              <w:p w14:paraId="5ECB0C69" w14:textId="77777777" w:rsidR="004C0A5E" w:rsidRDefault="00000000">
                <w:pPr>
                  <w:widowControl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AU</w:t>
                </w:r>
              </w:p>
            </w:tc>
            <w:tc>
              <w:tcPr>
                <w:tcW w:w="758" w:type="dxa"/>
                <w:gridSpan w:val="2"/>
                <w:shd w:val="clear" w:color="auto" w:fill="auto"/>
              </w:tcPr>
              <w:p w14:paraId="2EA8114E" w14:textId="77777777" w:rsidR="004C0A5E" w:rsidRDefault="00000000">
                <w:pPr>
                  <w:widowControl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AP</w:t>
                </w:r>
              </w:p>
            </w:tc>
          </w:tr>
          <w:tr w:rsidR="004C0A5E" w14:paraId="38D0935D" w14:textId="77777777" w:rsidTr="004C0A5E">
            <w:trPr>
              <w:gridAfter w:val="1"/>
              <w:wAfter w:w="101" w:type="dxa"/>
              <w:trHeight w:val="307"/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122" w:type="dxa"/>
              </w:tcPr>
              <w:p w14:paraId="7B557E07" w14:textId="77777777" w:rsidR="004C0A5E" w:rsidRDefault="00000000">
                <w:pPr>
                  <w:widowControl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Vegetação</w:t>
                </w:r>
              </w:p>
            </w:tc>
            <w:tc>
              <w:tcPr>
                <w:tcW w:w="758" w:type="dxa"/>
              </w:tcPr>
              <w:p w14:paraId="19D0CA48" w14:textId="77777777" w:rsidR="004C0A5E" w:rsidRDefault="00000000">
                <w:pPr>
                  <w:widowControl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100</w:t>
                </w:r>
              </w:p>
            </w:tc>
            <w:tc>
              <w:tcPr>
                <w:tcW w:w="759" w:type="dxa"/>
                <w:gridSpan w:val="2"/>
              </w:tcPr>
              <w:p w14:paraId="79ECF535" w14:textId="77777777" w:rsidR="004C0A5E" w:rsidRDefault="00000000">
                <w:pPr>
                  <w:widowControl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100</w:t>
                </w:r>
              </w:p>
            </w:tc>
            <w:tc>
              <w:tcPr>
                <w:tcW w:w="755" w:type="dxa"/>
              </w:tcPr>
              <w:p w14:paraId="1287F648" w14:textId="77777777" w:rsidR="004C0A5E" w:rsidRDefault="00000000">
                <w:pPr>
                  <w:widowControl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98,6</w:t>
                </w:r>
              </w:p>
            </w:tc>
            <w:tc>
              <w:tcPr>
                <w:tcW w:w="758" w:type="dxa"/>
              </w:tcPr>
              <w:p w14:paraId="04FFDDBC" w14:textId="77777777" w:rsidR="004C0A5E" w:rsidRDefault="00000000">
                <w:pPr>
                  <w:widowControl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94,7</w:t>
                </w:r>
              </w:p>
            </w:tc>
            <w:tc>
              <w:tcPr>
                <w:tcW w:w="758" w:type="dxa"/>
                <w:gridSpan w:val="2"/>
              </w:tcPr>
              <w:p w14:paraId="66EA23E6" w14:textId="77777777" w:rsidR="004C0A5E" w:rsidRDefault="00000000">
                <w:pPr>
                  <w:widowControl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98,7</w:t>
                </w:r>
              </w:p>
            </w:tc>
            <w:tc>
              <w:tcPr>
                <w:tcW w:w="758" w:type="dxa"/>
              </w:tcPr>
              <w:p w14:paraId="3F702E02" w14:textId="77777777" w:rsidR="004C0A5E" w:rsidRDefault="00000000">
                <w:pPr>
                  <w:widowControl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100</w:t>
                </w:r>
              </w:p>
            </w:tc>
            <w:tc>
              <w:tcPr>
                <w:tcW w:w="606" w:type="dxa"/>
                <w:gridSpan w:val="2"/>
              </w:tcPr>
              <w:p w14:paraId="4DA1DB71" w14:textId="77777777" w:rsidR="004C0A5E" w:rsidRDefault="00000000">
                <w:pPr>
                  <w:widowControl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87,3</w:t>
                </w:r>
              </w:p>
            </w:tc>
            <w:tc>
              <w:tcPr>
                <w:tcW w:w="758" w:type="dxa"/>
                <w:gridSpan w:val="2"/>
              </w:tcPr>
              <w:p w14:paraId="556C5A49" w14:textId="77777777" w:rsidR="004C0A5E" w:rsidRDefault="00000000">
                <w:pPr>
                  <w:widowControl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100</w:t>
                </w:r>
              </w:p>
            </w:tc>
          </w:tr>
          <w:tr w:rsidR="004C0A5E" w14:paraId="2D655D75" w14:textId="77777777" w:rsidTr="004C0A5E">
            <w:trPr>
              <w:gridAfter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wAfter w:w="101" w:type="dxa"/>
              <w:trHeight w:val="307"/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122" w:type="dxa"/>
                <w:shd w:val="clear" w:color="auto" w:fill="auto"/>
              </w:tcPr>
              <w:p w14:paraId="34B21F64" w14:textId="77777777" w:rsidR="004C0A5E" w:rsidRDefault="00000000">
                <w:pPr>
                  <w:widowControl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Água</w:t>
                </w:r>
              </w:p>
            </w:tc>
            <w:tc>
              <w:tcPr>
                <w:tcW w:w="758" w:type="dxa"/>
                <w:shd w:val="clear" w:color="auto" w:fill="auto"/>
              </w:tcPr>
              <w:p w14:paraId="306B198B" w14:textId="77777777" w:rsidR="004C0A5E" w:rsidRDefault="00000000">
                <w:pPr>
                  <w:widowControl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100</w:t>
                </w:r>
              </w:p>
            </w:tc>
            <w:tc>
              <w:tcPr>
                <w:tcW w:w="759" w:type="dxa"/>
                <w:gridSpan w:val="2"/>
                <w:shd w:val="clear" w:color="auto" w:fill="auto"/>
              </w:tcPr>
              <w:p w14:paraId="17BFB7A6" w14:textId="77777777" w:rsidR="004C0A5E" w:rsidRDefault="00000000">
                <w:pPr>
                  <w:widowControl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97,7</w:t>
                </w:r>
              </w:p>
            </w:tc>
            <w:tc>
              <w:tcPr>
                <w:tcW w:w="755" w:type="dxa"/>
                <w:shd w:val="clear" w:color="auto" w:fill="auto"/>
              </w:tcPr>
              <w:p w14:paraId="30F52017" w14:textId="77777777" w:rsidR="004C0A5E" w:rsidRDefault="00000000">
                <w:pPr>
                  <w:widowControl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98,6</w:t>
                </w:r>
              </w:p>
            </w:tc>
            <w:tc>
              <w:tcPr>
                <w:tcW w:w="758" w:type="dxa"/>
                <w:shd w:val="clear" w:color="auto" w:fill="auto"/>
              </w:tcPr>
              <w:p w14:paraId="46DCE274" w14:textId="77777777" w:rsidR="004C0A5E" w:rsidRDefault="00000000">
                <w:pPr>
                  <w:widowControl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97,3</w:t>
                </w:r>
              </w:p>
            </w:tc>
            <w:tc>
              <w:tcPr>
                <w:tcW w:w="758" w:type="dxa"/>
                <w:gridSpan w:val="2"/>
                <w:shd w:val="clear" w:color="auto" w:fill="auto"/>
              </w:tcPr>
              <w:p w14:paraId="22E85CA6" w14:textId="77777777" w:rsidR="004C0A5E" w:rsidRDefault="00000000">
                <w:pPr>
                  <w:widowControl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100</w:t>
                </w:r>
              </w:p>
            </w:tc>
            <w:tc>
              <w:tcPr>
                <w:tcW w:w="758" w:type="dxa"/>
                <w:shd w:val="clear" w:color="auto" w:fill="auto"/>
              </w:tcPr>
              <w:p w14:paraId="47372458" w14:textId="77777777" w:rsidR="004C0A5E" w:rsidRDefault="00000000">
                <w:pPr>
                  <w:widowControl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100</w:t>
                </w:r>
              </w:p>
            </w:tc>
            <w:tc>
              <w:tcPr>
                <w:tcW w:w="606" w:type="dxa"/>
                <w:gridSpan w:val="2"/>
                <w:shd w:val="clear" w:color="auto" w:fill="auto"/>
              </w:tcPr>
              <w:p w14:paraId="297A2E38" w14:textId="77777777" w:rsidR="004C0A5E" w:rsidRDefault="00000000">
                <w:pPr>
                  <w:widowControl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91,4</w:t>
                </w:r>
              </w:p>
            </w:tc>
            <w:tc>
              <w:tcPr>
                <w:tcW w:w="758" w:type="dxa"/>
                <w:gridSpan w:val="2"/>
                <w:shd w:val="clear" w:color="auto" w:fill="auto"/>
              </w:tcPr>
              <w:p w14:paraId="4F4BE38C" w14:textId="77777777" w:rsidR="004C0A5E" w:rsidRDefault="00000000">
                <w:pPr>
                  <w:widowControl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98,6</w:t>
                </w:r>
              </w:p>
            </w:tc>
          </w:tr>
          <w:tr w:rsidR="004C0A5E" w14:paraId="53DBA6C9" w14:textId="77777777" w:rsidTr="004C0A5E">
            <w:trPr>
              <w:gridAfter w:val="1"/>
              <w:wAfter w:w="101" w:type="dxa"/>
              <w:trHeight w:val="307"/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122" w:type="dxa"/>
              </w:tcPr>
              <w:p w14:paraId="24BF250D" w14:textId="77777777" w:rsidR="004C0A5E" w:rsidRDefault="00000000">
                <w:pPr>
                  <w:widowControl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Solo Exposto</w:t>
                </w:r>
              </w:p>
            </w:tc>
            <w:tc>
              <w:tcPr>
                <w:tcW w:w="758" w:type="dxa"/>
              </w:tcPr>
              <w:p w14:paraId="53FD2B81" w14:textId="77777777" w:rsidR="004C0A5E" w:rsidRDefault="00000000">
                <w:pPr>
                  <w:widowControl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98,8</w:t>
                </w:r>
              </w:p>
            </w:tc>
            <w:tc>
              <w:tcPr>
                <w:tcW w:w="759" w:type="dxa"/>
                <w:gridSpan w:val="2"/>
              </w:tcPr>
              <w:p w14:paraId="327ACE27" w14:textId="77777777" w:rsidR="004C0A5E" w:rsidRDefault="00000000">
                <w:pPr>
                  <w:widowControl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96,7</w:t>
                </w:r>
              </w:p>
            </w:tc>
            <w:tc>
              <w:tcPr>
                <w:tcW w:w="755" w:type="dxa"/>
              </w:tcPr>
              <w:p w14:paraId="2C43834A" w14:textId="77777777" w:rsidR="004C0A5E" w:rsidRDefault="00000000">
                <w:pPr>
                  <w:widowControl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93,9</w:t>
                </w:r>
              </w:p>
            </w:tc>
            <w:tc>
              <w:tcPr>
                <w:tcW w:w="758" w:type="dxa"/>
              </w:tcPr>
              <w:p w14:paraId="35106E8C" w14:textId="77777777" w:rsidR="004C0A5E" w:rsidRDefault="00000000">
                <w:pPr>
                  <w:widowControl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97,1</w:t>
                </w:r>
              </w:p>
            </w:tc>
            <w:tc>
              <w:tcPr>
                <w:tcW w:w="758" w:type="dxa"/>
                <w:gridSpan w:val="2"/>
              </w:tcPr>
              <w:p w14:paraId="526DC155" w14:textId="77777777" w:rsidR="004C0A5E" w:rsidRDefault="00000000">
                <w:pPr>
                  <w:widowControl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100</w:t>
                </w:r>
              </w:p>
            </w:tc>
            <w:tc>
              <w:tcPr>
                <w:tcW w:w="758" w:type="dxa"/>
              </w:tcPr>
              <w:p w14:paraId="579EB6DD" w14:textId="77777777" w:rsidR="004C0A5E" w:rsidRDefault="00000000">
                <w:pPr>
                  <w:widowControl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100</w:t>
                </w:r>
              </w:p>
            </w:tc>
            <w:tc>
              <w:tcPr>
                <w:tcW w:w="606" w:type="dxa"/>
                <w:gridSpan w:val="2"/>
              </w:tcPr>
              <w:p w14:paraId="7EDA2615" w14:textId="77777777" w:rsidR="004C0A5E" w:rsidRDefault="00000000">
                <w:pPr>
                  <w:widowControl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97,1</w:t>
                </w:r>
              </w:p>
            </w:tc>
            <w:tc>
              <w:tcPr>
                <w:tcW w:w="758" w:type="dxa"/>
                <w:gridSpan w:val="2"/>
              </w:tcPr>
              <w:p w14:paraId="11F3DFC1" w14:textId="77777777" w:rsidR="004C0A5E" w:rsidRDefault="00000000">
                <w:pPr>
                  <w:widowControl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94,3</w:t>
                </w:r>
              </w:p>
            </w:tc>
          </w:tr>
          <w:tr w:rsidR="004C0A5E" w14:paraId="4E3E1851" w14:textId="77777777" w:rsidTr="004C0A5E">
            <w:trPr>
              <w:gridAfter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wAfter w:w="101" w:type="dxa"/>
              <w:trHeight w:val="307"/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122" w:type="dxa"/>
                <w:shd w:val="clear" w:color="auto" w:fill="auto"/>
              </w:tcPr>
              <w:p w14:paraId="2C9A4549" w14:textId="77777777" w:rsidR="004C0A5E" w:rsidRDefault="00000000">
                <w:pPr>
                  <w:widowControl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Campos Naturais</w:t>
                </w:r>
              </w:p>
            </w:tc>
            <w:tc>
              <w:tcPr>
                <w:tcW w:w="758" w:type="dxa"/>
                <w:shd w:val="clear" w:color="auto" w:fill="auto"/>
              </w:tcPr>
              <w:p w14:paraId="3560DA4F" w14:textId="77777777" w:rsidR="004C0A5E" w:rsidRDefault="00000000">
                <w:pPr>
                  <w:widowControl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95,5</w:t>
                </w:r>
              </w:p>
            </w:tc>
            <w:tc>
              <w:tcPr>
                <w:tcW w:w="759" w:type="dxa"/>
                <w:gridSpan w:val="2"/>
                <w:shd w:val="clear" w:color="auto" w:fill="auto"/>
              </w:tcPr>
              <w:p w14:paraId="5FA3EBE7" w14:textId="77777777" w:rsidR="004C0A5E" w:rsidRDefault="00000000">
                <w:pPr>
                  <w:widowControl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98,4</w:t>
                </w:r>
              </w:p>
            </w:tc>
            <w:tc>
              <w:tcPr>
                <w:tcW w:w="755" w:type="dxa"/>
                <w:shd w:val="clear" w:color="auto" w:fill="auto"/>
              </w:tcPr>
              <w:p w14:paraId="2E9DE9A4" w14:textId="77777777" w:rsidR="004C0A5E" w:rsidRDefault="00000000">
                <w:pPr>
                  <w:widowControl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100</w:t>
                </w:r>
              </w:p>
            </w:tc>
            <w:tc>
              <w:tcPr>
                <w:tcW w:w="758" w:type="dxa"/>
                <w:shd w:val="clear" w:color="auto" w:fill="auto"/>
              </w:tcPr>
              <w:p w14:paraId="7B19018E" w14:textId="77777777" w:rsidR="004C0A5E" w:rsidRDefault="00000000">
                <w:pPr>
                  <w:widowControl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100</w:t>
                </w:r>
              </w:p>
            </w:tc>
            <w:tc>
              <w:tcPr>
                <w:tcW w:w="758" w:type="dxa"/>
                <w:gridSpan w:val="2"/>
                <w:shd w:val="clear" w:color="auto" w:fill="auto"/>
              </w:tcPr>
              <w:p w14:paraId="095DA1A5" w14:textId="77777777" w:rsidR="004C0A5E" w:rsidRDefault="00000000">
                <w:pPr>
                  <w:widowControl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100</w:t>
                </w:r>
              </w:p>
            </w:tc>
            <w:tc>
              <w:tcPr>
                <w:tcW w:w="758" w:type="dxa"/>
                <w:shd w:val="clear" w:color="auto" w:fill="auto"/>
              </w:tcPr>
              <w:p w14:paraId="680EF08F" w14:textId="77777777" w:rsidR="004C0A5E" w:rsidRDefault="00000000">
                <w:pPr>
                  <w:widowControl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98,7</w:t>
                </w:r>
              </w:p>
            </w:tc>
            <w:tc>
              <w:tcPr>
                <w:tcW w:w="606" w:type="dxa"/>
                <w:gridSpan w:val="2"/>
                <w:shd w:val="clear" w:color="auto" w:fill="auto"/>
              </w:tcPr>
              <w:p w14:paraId="202F91F1" w14:textId="77777777" w:rsidR="004C0A5E" w:rsidRDefault="00000000">
                <w:pPr>
                  <w:widowControl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93,5</w:t>
                </w:r>
              </w:p>
            </w:tc>
            <w:tc>
              <w:tcPr>
                <w:tcW w:w="758" w:type="dxa"/>
                <w:gridSpan w:val="2"/>
                <w:shd w:val="clear" w:color="auto" w:fill="auto"/>
              </w:tcPr>
              <w:p w14:paraId="5BFE84EB" w14:textId="77777777" w:rsidR="004C0A5E" w:rsidRDefault="00000000">
                <w:pPr>
                  <w:widowControl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94,8</w:t>
                </w:r>
              </w:p>
            </w:tc>
          </w:tr>
          <w:tr w:rsidR="004C0A5E" w14:paraId="2207DE5E" w14:textId="77777777" w:rsidTr="004C0A5E">
            <w:trPr>
              <w:gridAfter w:val="1"/>
              <w:wAfter w:w="101" w:type="dxa"/>
              <w:trHeight w:val="289"/>
              <w:jc w:val="center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122" w:type="dxa"/>
                <w:tcBorders>
                  <w:bottom w:val="single" w:sz="4" w:space="0" w:color="000000"/>
                </w:tcBorders>
              </w:tcPr>
              <w:p w14:paraId="3F37B950" w14:textId="77777777" w:rsidR="004C0A5E" w:rsidRDefault="00000000">
                <w:pPr>
                  <w:widowControl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Nuvem</w:t>
                </w:r>
              </w:p>
            </w:tc>
            <w:tc>
              <w:tcPr>
                <w:tcW w:w="758" w:type="dxa"/>
                <w:tcBorders>
                  <w:bottom w:val="single" w:sz="4" w:space="0" w:color="000000"/>
                </w:tcBorders>
              </w:tcPr>
              <w:p w14:paraId="57CCFC64" w14:textId="77777777" w:rsidR="004C0A5E" w:rsidRDefault="00000000">
                <w:pPr>
                  <w:widowControl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96,1</w:t>
                </w:r>
              </w:p>
            </w:tc>
            <w:tc>
              <w:tcPr>
                <w:tcW w:w="759" w:type="dxa"/>
                <w:gridSpan w:val="2"/>
                <w:tcBorders>
                  <w:bottom w:val="single" w:sz="4" w:space="0" w:color="000000"/>
                </w:tcBorders>
              </w:tcPr>
              <w:p w14:paraId="6DFB695C" w14:textId="77777777" w:rsidR="004C0A5E" w:rsidRDefault="00000000">
                <w:pPr>
                  <w:widowControl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100</w:t>
                </w:r>
              </w:p>
            </w:tc>
            <w:tc>
              <w:tcPr>
                <w:tcW w:w="755" w:type="dxa"/>
                <w:tcBorders>
                  <w:bottom w:val="single" w:sz="4" w:space="0" w:color="000000"/>
                </w:tcBorders>
              </w:tcPr>
              <w:p w14:paraId="6105D0E0" w14:textId="77777777" w:rsidR="004C0A5E" w:rsidRDefault="00000000">
                <w:pPr>
                  <w:widowControl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95,2</w:t>
                </w:r>
              </w:p>
            </w:tc>
            <w:tc>
              <w:tcPr>
                <w:tcW w:w="758" w:type="dxa"/>
                <w:tcBorders>
                  <w:bottom w:val="single" w:sz="4" w:space="0" w:color="000000"/>
                </w:tcBorders>
              </w:tcPr>
              <w:p w14:paraId="372B154A" w14:textId="77777777" w:rsidR="004C0A5E" w:rsidRDefault="00000000">
                <w:pPr>
                  <w:widowControl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96,7</w:t>
                </w:r>
              </w:p>
            </w:tc>
            <w:tc>
              <w:tcPr>
                <w:tcW w:w="758" w:type="dxa"/>
                <w:gridSpan w:val="2"/>
                <w:tcBorders>
                  <w:bottom w:val="single" w:sz="4" w:space="0" w:color="000000"/>
                </w:tcBorders>
              </w:tcPr>
              <w:p w14:paraId="0ADC91A7" w14:textId="77777777" w:rsidR="004C0A5E" w:rsidRDefault="00000000">
                <w:pPr>
                  <w:widowControl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100</w:t>
                </w:r>
              </w:p>
            </w:tc>
            <w:tc>
              <w:tcPr>
                <w:tcW w:w="758" w:type="dxa"/>
                <w:tcBorders>
                  <w:bottom w:val="single" w:sz="4" w:space="0" w:color="000000"/>
                </w:tcBorders>
              </w:tcPr>
              <w:p w14:paraId="4ACC5802" w14:textId="77777777" w:rsidR="004C0A5E" w:rsidRDefault="00000000">
                <w:pPr>
                  <w:widowControl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100</w:t>
                </w:r>
              </w:p>
            </w:tc>
            <w:tc>
              <w:tcPr>
                <w:tcW w:w="606" w:type="dxa"/>
                <w:gridSpan w:val="2"/>
                <w:tcBorders>
                  <w:bottom w:val="single" w:sz="4" w:space="0" w:color="000000"/>
                </w:tcBorders>
              </w:tcPr>
              <w:p w14:paraId="1C59223D" w14:textId="77777777" w:rsidR="004C0A5E" w:rsidRDefault="00000000">
                <w:pPr>
                  <w:widowControl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93,9</w:t>
                </w:r>
              </w:p>
            </w:tc>
            <w:tc>
              <w:tcPr>
                <w:tcW w:w="758" w:type="dxa"/>
                <w:gridSpan w:val="2"/>
                <w:tcBorders>
                  <w:bottom w:val="single" w:sz="4" w:space="0" w:color="000000"/>
                </w:tcBorders>
              </w:tcPr>
              <w:p w14:paraId="22834C03" w14:textId="77777777" w:rsidR="004C0A5E" w:rsidRDefault="00000000">
                <w:pPr>
                  <w:widowControl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>
                  <w:rPr>
                    <w:sz w:val="22"/>
                    <w:szCs w:val="22"/>
                  </w:rPr>
                  <w:t>70,9</w:t>
                </w:r>
              </w:p>
            </w:tc>
          </w:tr>
        </w:tbl>
      </w:sdtContent>
    </w:sdt>
    <w:p w14:paraId="22EA765F" w14:textId="77777777" w:rsidR="004C0A5E" w:rsidRDefault="00000000">
      <w:pPr>
        <w:widowControl/>
        <w:spacing w:line="360" w:lineRule="auto"/>
      </w:pPr>
      <w:r>
        <w:t>Fonte: Autores (2025).</w:t>
      </w:r>
    </w:p>
    <w:p w14:paraId="17CBD329" w14:textId="3822872C" w:rsidR="004C0A5E" w:rsidRDefault="00000000">
      <w:pPr>
        <w:widowControl/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Dessa forma, foi possível identificar a partir da interpretação dos dados, assim como da avaliação visual e comparação das 4 classificações, que os métodos LibSVM e </w:t>
      </w:r>
      <w:r w:rsidR="00D221FF">
        <w:rPr>
          <w:iCs/>
          <w:sz w:val="24"/>
          <w:szCs w:val="24"/>
        </w:rPr>
        <w:t xml:space="preserve">RF </w:t>
      </w:r>
      <w:r>
        <w:rPr>
          <w:sz w:val="24"/>
          <w:szCs w:val="24"/>
        </w:rPr>
        <w:t xml:space="preserve">foram os que se destacaram por terem apresentados classes e regiões bem definidas em relação a imagem </w:t>
      </w:r>
      <w:r>
        <w:rPr>
          <w:i/>
          <w:sz w:val="24"/>
          <w:szCs w:val="24"/>
        </w:rPr>
        <w:t>Sentinel</w:t>
      </w:r>
      <w:r>
        <w:rPr>
          <w:sz w:val="24"/>
          <w:szCs w:val="24"/>
        </w:rPr>
        <w:t>, sendo o método LibSVM considerado o mais adequado, já que este apresentou os melhores resultados: 99,1% (K), 98% (AG), 98,7% - 100% (AU) e 98,7% -100% (AP).</w:t>
      </w:r>
    </w:p>
    <w:p w14:paraId="01708BAA" w14:textId="77777777" w:rsidR="004C0A5E" w:rsidRDefault="00000000">
      <w:pPr>
        <w:widowControl/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O MMD apresentou desempenho menor por considerar apenas a distância média entre classes, desconsiderando variação interna dos pixels, o que o torna mais suscetível a misturas espectrais, como as presentes em nuvens e sombras. Por outro lado, o RF e LibSVM demonstraram desempenho superior por lidar melhor com tratamento de relações não lineares e alta variabilidade espectral, resultando em classificações mais precisas e estáveis ​​nas zonas de transição entre vegetação e água.</w:t>
      </w:r>
    </w:p>
    <w:p w14:paraId="55AA9BF9" w14:textId="77777777" w:rsidR="004C0A5E" w:rsidRDefault="004C0A5E">
      <w:pPr>
        <w:widowControl/>
        <w:spacing w:line="360" w:lineRule="auto"/>
        <w:ind w:firstLine="709"/>
        <w:jc w:val="both"/>
        <w:rPr>
          <w:sz w:val="24"/>
          <w:szCs w:val="24"/>
        </w:rPr>
      </w:pPr>
    </w:p>
    <w:p w14:paraId="0D2E8789" w14:textId="77777777" w:rsidR="004C0A5E" w:rsidRDefault="00000000">
      <w:pPr>
        <w:widowControl/>
        <w:tabs>
          <w:tab w:val="left" w:pos="1290"/>
        </w:tabs>
        <w:spacing w:line="360" w:lineRule="auto"/>
        <w:jc w:val="both"/>
        <w:rPr>
          <w:sz w:val="28"/>
          <w:szCs w:val="28"/>
        </w:rPr>
      </w:pPr>
      <w:r>
        <w:rPr>
          <w:b/>
          <w:sz w:val="24"/>
          <w:szCs w:val="24"/>
        </w:rPr>
        <w:t>4. CONSIDERAÇÕES FINAIS</w:t>
      </w:r>
    </w:p>
    <w:p w14:paraId="4D125D2C" w14:textId="77777777" w:rsidR="004C0A5E" w:rsidRDefault="00000000">
      <w:pPr>
        <w:widowControl/>
        <w:tabs>
          <w:tab w:val="left" w:pos="699"/>
        </w:tabs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O uso de imagem </w:t>
      </w:r>
      <w:r>
        <w:rPr>
          <w:i/>
          <w:sz w:val="24"/>
          <w:szCs w:val="24"/>
        </w:rPr>
        <w:t>Sentinel</w:t>
      </w:r>
      <w:r>
        <w:rPr>
          <w:sz w:val="24"/>
          <w:szCs w:val="24"/>
        </w:rPr>
        <w:t>-2A aliada à classificação supervisionada mostrou resultados satisfatórios na diferenciação das cinco classes pré-definidas na etapa de treinamento, demonstrando uma precisa caracterização da área, o que permitiu comprovar sua eficácia para o mapeamento do uso e cobertura do solo na RESEX-MAR Cuinarana, tendo em vista que os valores de K foram excelentes para todos os métodos.</w:t>
      </w:r>
    </w:p>
    <w:p w14:paraId="548D48FC" w14:textId="18644E40" w:rsidR="004C0A5E" w:rsidRDefault="00000000">
      <w:pPr>
        <w:widowControl/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A partir da metodologia proposta foi possível identificar as diferentes classes que ocupam a área estudada. A utilização de diferentes técnicas de classificação supervisionada, possibilitou selecionar o algoritmo que apresentou melhores resultados de validação estatística.</w:t>
      </w:r>
      <w:r>
        <w:rPr>
          <w:rFonts w:ascii="Calibri" w:eastAsia="Calibri" w:hAnsi="Calibri" w:cs="Calibri"/>
        </w:rPr>
        <w:t xml:space="preserve"> </w:t>
      </w:r>
      <w:r>
        <w:rPr>
          <w:sz w:val="24"/>
          <w:szCs w:val="24"/>
        </w:rPr>
        <w:t>Comprovou-se que o melhor método de classificação para a área de interesse foi o Li</w:t>
      </w:r>
      <w:r w:rsidR="002E3630">
        <w:rPr>
          <w:sz w:val="24"/>
          <w:szCs w:val="24"/>
        </w:rPr>
        <w:t>b</w:t>
      </w:r>
      <w:r>
        <w:rPr>
          <w:sz w:val="24"/>
          <w:szCs w:val="24"/>
        </w:rPr>
        <w:t>SVM, que apresentou 99,1% de AG e 0,98 de K, demonstrando ser preciso, o que beneficia o monitoramento ambiental, a gestão e conservação nas áreas da RESEX-MAR Cuinarana.</w:t>
      </w:r>
    </w:p>
    <w:p w14:paraId="4B35C9E2" w14:textId="75C0DD66" w:rsidR="004C0A5E" w:rsidRDefault="00AF09F7" w:rsidP="00AF09F7">
      <w:pPr>
        <w:widowControl/>
        <w:tabs>
          <w:tab w:val="left" w:pos="699"/>
        </w:tabs>
        <w:spacing w:after="16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Por fim, </w:t>
      </w:r>
      <w:r w:rsidR="00575BBF">
        <w:rPr>
          <w:sz w:val="24"/>
          <w:szCs w:val="24"/>
        </w:rPr>
        <w:t>ressalta-se</w:t>
      </w:r>
      <w:r>
        <w:rPr>
          <w:sz w:val="24"/>
          <w:szCs w:val="24"/>
        </w:rPr>
        <w:t xml:space="preserve"> que </w:t>
      </w:r>
      <w:r w:rsidR="00AB6E70">
        <w:rPr>
          <w:sz w:val="24"/>
          <w:szCs w:val="24"/>
        </w:rPr>
        <w:t>o presente estudo</w:t>
      </w:r>
      <w:r>
        <w:rPr>
          <w:sz w:val="24"/>
          <w:szCs w:val="24"/>
        </w:rPr>
        <w:t xml:space="preserve"> pode ser</w:t>
      </w:r>
      <w:r w:rsidR="00ED73D5">
        <w:rPr>
          <w:sz w:val="24"/>
          <w:szCs w:val="24"/>
        </w:rPr>
        <w:t>vir</w:t>
      </w:r>
      <w:r>
        <w:rPr>
          <w:sz w:val="24"/>
          <w:szCs w:val="24"/>
        </w:rPr>
        <w:t xml:space="preserve"> como refer</w:t>
      </w:r>
      <w:r w:rsidR="00ED73D5">
        <w:rPr>
          <w:sz w:val="24"/>
          <w:szCs w:val="24"/>
        </w:rPr>
        <w:t>ê</w:t>
      </w:r>
      <w:r>
        <w:rPr>
          <w:sz w:val="24"/>
          <w:szCs w:val="24"/>
        </w:rPr>
        <w:t>ncia</w:t>
      </w:r>
      <w:r w:rsidR="00575BBF">
        <w:rPr>
          <w:sz w:val="24"/>
          <w:szCs w:val="24"/>
        </w:rPr>
        <w:t xml:space="preserve">l metodológico </w:t>
      </w:r>
      <w:r>
        <w:rPr>
          <w:sz w:val="24"/>
          <w:szCs w:val="24"/>
        </w:rPr>
        <w:t xml:space="preserve">para </w:t>
      </w:r>
      <w:r w:rsidR="00575BBF">
        <w:rPr>
          <w:sz w:val="24"/>
          <w:szCs w:val="24"/>
        </w:rPr>
        <w:t>futuras</w:t>
      </w:r>
      <w:r w:rsidR="00AB6E70">
        <w:rPr>
          <w:sz w:val="24"/>
          <w:szCs w:val="24"/>
        </w:rPr>
        <w:t xml:space="preserve"> pesquisas focadas nas</w:t>
      </w:r>
      <w:r w:rsidR="00ED73D5">
        <w:rPr>
          <w:sz w:val="24"/>
          <w:szCs w:val="24"/>
        </w:rPr>
        <w:t xml:space="preserve"> </w:t>
      </w:r>
      <w:r>
        <w:rPr>
          <w:sz w:val="24"/>
          <w:szCs w:val="24"/>
        </w:rPr>
        <w:t>an</w:t>
      </w:r>
      <w:r w:rsidR="00ED73D5">
        <w:rPr>
          <w:sz w:val="24"/>
          <w:szCs w:val="24"/>
        </w:rPr>
        <w:t>á</w:t>
      </w:r>
      <w:r>
        <w:rPr>
          <w:sz w:val="24"/>
          <w:szCs w:val="24"/>
        </w:rPr>
        <w:t>lis</w:t>
      </w:r>
      <w:r w:rsidR="00ED73D5">
        <w:rPr>
          <w:sz w:val="24"/>
          <w:szCs w:val="24"/>
        </w:rPr>
        <w:t>es</w:t>
      </w:r>
      <w:r>
        <w:rPr>
          <w:sz w:val="24"/>
          <w:szCs w:val="24"/>
        </w:rPr>
        <w:t xml:space="preserve"> </w:t>
      </w:r>
      <w:r w:rsidR="00ED73D5">
        <w:rPr>
          <w:sz w:val="24"/>
          <w:szCs w:val="24"/>
        </w:rPr>
        <w:t xml:space="preserve">do uso e cobertura da terra </w:t>
      </w:r>
      <w:r w:rsidR="00667C78">
        <w:rPr>
          <w:sz w:val="24"/>
          <w:szCs w:val="24"/>
        </w:rPr>
        <w:t xml:space="preserve">utilizando as </w:t>
      </w:r>
      <w:r w:rsidR="00ED73D5">
        <w:rPr>
          <w:sz w:val="24"/>
          <w:szCs w:val="24"/>
        </w:rPr>
        <w:t>geotecnologias</w:t>
      </w:r>
      <w:r w:rsidR="00667C78">
        <w:rPr>
          <w:sz w:val="24"/>
          <w:szCs w:val="24"/>
        </w:rPr>
        <w:t>, auxiliando</w:t>
      </w:r>
      <w:r w:rsidR="00ED73D5">
        <w:rPr>
          <w:sz w:val="24"/>
          <w:szCs w:val="24"/>
        </w:rPr>
        <w:t xml:space="preserve"> </w:t>
      </w:r>
      <w:r w:rsidR="00667C78">
        <w:rPr>
          <w:sz w:val="24"/>
          <w:szCs w:val="24"/>
        </w:rPr>
        <w:t>na</w:t>
      </w:r>
      <w:r w:rsidR="00ED73D5">
        <w:rPr>
          <w:sz w:val="24"/>
          <w:szCs w:val="24"/>
        </w:rPr>
        <w:t xml:space="preserve"> </w:t>
      </w:r>
      <w:r w:rsidR="00AB6E70">
        <w:rPr>
          <w:sz w:val="24"/>
          <w:szCs w:val="24"/>
        </w:rPr>
        <w:t xml:space="preserve">seleção </w:t>
      </w:r>
      <w:r w:rsidR="00667C78">
        <w:rPr>
          <w:sz w:val="24"/>
          <w:szCs w:val="24"/>
        </w:rPr>
        <w:t>d</w:t>
      </w:r>
      <w:r w:rsidR="00ED73D5">
        <w:rPr>
          <w:sz w:val="24"/>
          <w:szCs w:val="24"/>
        </w:rPr>
        <w:t>o método mais a</w:t>
      </w:r>
      <w:r w:rsidR="00667C78">
        <w:rPr>
          <w:sz w:val="24"/>
          <w:szCs w:val="24"/>
        </w:rPr>
        <w:t>curado</w:t>
      </w:r>
      <w:r w:rsidR="00ED73D5">
        <w:rPr>
          <w:sz w:val="24"/>
          <w:szCs w:val="24"/>
        </w:rPr>
        <w:t xml:space="preserve"> para a região de interesse, com </w:t>
      </w:r>
      <w:r w:rsidR="00667C78">
        <w:rPr>
          <w:sz w:val="24"/>
          <w:szCs w:val="24"/>
        </w:rPr>
        <w:t>destaque</w:t>
      </w:r>
      <w:r w:rsidR="00ED73D5">
        <w:rPr>
          <w:sz w:val="24"/>
          <w:szCs w:val="24"/>
        </w:rPr>
        <w:t xml:space="preserve"> </w:t>
      </w:r>
      <w:r w:rsidR="00667C78">
        <w:rPr>
          <w:sz w:val="24"/>
          <w:szCs w:val="24"/>
        </w:rPr>
        <w:t>para</w:t>
      </w:r>
      <w:r w:rsidR="00ED73D5">
        <w:rPr>
          <w:sz w:val="24"/>
          <w:szCs w:val="24"/>
        </w:rPr>
        <w:t xml:space="preserve"> áreas de </w:t>
      </w:r>
      <w:r w:rsidR="007672DF">
        <w:rPr>
          <w:sz w:val="24"/>
          <w:szCs w:val="24"/>
        </w:rPr>
        <w:t>unidades de conservação.</w:t>
      </w:r>
    </w:p>
    <w:p w14:paraId="14E142BB" w14:textId="77777777" w:rsidR="00AF09F7" w:rsidRDefault="00AF09F7">
      <w:pPr>
        <w:widowControl/>
        <w:tabs>
          <w:tab w:val="left" w:pos="699"/>
        </w:tabs>
        <w:spacing w:after="160" w:line="259" w:lineRule="auto"/>
        <w:jc w:val="both"/>
        <w:rPr>
          <w:sz w:val="24"/>
          <w:szCs w:val="24"/>
        </w:rPr>
      </w:pPr>
    </w:p>
    <w:p w14:paraId="698EB0E0" w14:textId="77777777" w:rsidR="004C0A5E" w:rsidRDefault="00000000">
      <w:pPr>
        <w:widowControl/>
        <w:tabs>
          <w:tab w:val="left" w:pos="1290"/>
        </w:tabs>
        <w:spacing w:after="160" w:line="259" w:lineRule="auto"/>
        <w:jc w:val="both"/>
        <w:rPr>
          <w:color w:val="FF0000"/>
          <w:sz w:val="24"/>
          <w:szCs w:val="24"/>
        </w:rPr>
      </w:pPr>
      <w:r>
        <w:rPr>
          <w:b/>
          <w:sz w:val="24"/>
          <w:szCs w:val="24"/>
        </w:rPr>
        <w:lastRenderedPageBreak/>
        <w:t>REFERÊNCIAS</w:t>
      </w:r>
    </w:p>
    <w:p w14:paraId="2224700C" w14:textId="77777777" w:rsidR="004C0A5E" w:rsidRDefault="00000000">
      <w:pPr>
        <w:widowControl/>
        <w:rPr>
          <w:sz w:val="24"/>
          <w:szCs w:val="24"/>
        </w:rPr>
      </w:pPr>
      <w:r>
        <w:rPr>
          <w:sz w:val="24"/>
          <w:szCs w:val="24"/>
        </w:rPr>
        <w:t xml:space="preserve">BRASIL. Decreto de 10 de outubro de 2014. Cria a Reserva Extrativista Marinha Cuinarana, localizada no Município de Magalhães Barata, Estado do Pará. </w:t>
      </w:r>
      <w:r>
        <w:rPr>
          <w:b/>
          <w:sz w:val="24"/>
          <w:szCs w:val="24"/>
        </w:rPr>
        <w:t>Diário Oficial da União: seção 1</w:t>
      </w:r>
      <w:r>
        <w:rPr>
          <w:sz w:val="24"/>
          <w:szCs w:val="24"/>
        </w:rPr>
        <w:t>, Brasília, DF, 13 out. 2014. Disponível em: http://www.planalto.gov.br/ccivil_03/_Ato2011-2014/2014/Dnn/Dnn18044.htm. Acesso em: 1 jun. 2025.</w:t>
      </w:r>
    </w:p>
    <w:p w14:paraId="6AEB3AB3" w14:textId="77777777" w:rsidR="004C0A5E" w:rsidRDefault="004C0A5E">
      <w:pPr>
        <w:widowControl/>
        <w:rPr>
          <w:sz w:val="24"/>
          <w:szCs w:val="24"/>
        </w:rPr>
      </w:pPr>
    </w:p>
    <w:p w14:paraId="5D37C3A9" w14:textId="77777777" w:rsidR="004C0A5E" w:rsidRDefault="00000000">
      <w:pPr>
        <w:widowControl/>
        <w:rPr>
          <w:sz w:val="24"/>
          <w:szCs w:val="24"/>
        </w:rPr>
      </w:pPr>
      <w:r>
        <w:rPr>
          <w:sz w:val="24"/>
          <w:szCs w:val="24"/>
        </w:rPr>
        <w:t xml:space="preserve">FLORENZANO,  Gallotti  Teresa. </w:t>
      </w:r>
      <w:r>
        <w:rPr>
          <w:b/>
          <w:sz w:val="24"/>
          <w:szCs w:val="24"/>
        </w:rPr>
        <w:t>Iniciação em Sensoriamento Remoto</w:t>
      </w:r>
      <w:r>
        <w:rPr>
          <w:sz w:val="24"/>
          <w:szCs w:val="24"/>
        </w:rPr>
        <w:t>. 3. ed. São Paulo: Oficina de Textos, 2011. 128p.</w:t>
      </w:r>
    </w:p>
    <w:p w14:paraId="3F5A141E" w14:textId="77777777" w:rsidR="004C0A5E" w:rsidRDefault="004C0A5E">
      <w:pPr>
        <w:widowControl/>
        <w:rPr>
          <w:sz w:val="24"/>
          <w:szCs w:val="24"/>
        </w:rPr>
      </w:pPr>
    </w:p>
    <w:p w14:paraId="7DC2A80C" w14:textId="77777777" w:rsidR="004C0A5E" w:rsidRDefault="00000000">
      <w:pPr>
        <w:widowControl/>
        <w:rPr>
          <w:sz w:val="24"/>
          <w:szCs w:val="24"/>
        </w:rPr>
      </w:pPr>
      <w:r>
        <w:rPr>
          <w:sz w:val="24"/>
          <w:szCs w:val="24"/>
        </w:rPr>
        <w:t xml:space="preserve">GAMBA, Carlos Tadeu de Carvalho; LUCHIARI, Ailton. Avaliação da exatidão de classificadores automáticos na classificação do uso e do revestimento da terra na região de Cananéia. In: ENCONTRO DE GEÓGRAFOS DA AMÉRICA LATINA, 10., 2005, São Paulo. </w:t>
      </w:r>
      <w:r>
        <w:rPr>
          <w:b/>
          <w:sz w:val="24"/>
          <w:szCs w:val="24"/>
        </w:rPr>
        <w:t>Anais [...]</w:t>
      </w:r>
      <w:r>
        <w:rPr>
          <w:sz w:val="24"/>
          <w:szCs w:val="24"/>
        </w:rPr>
        <w:t>. São Paulo: Universidade de São Paulo, 2005.</w:t>
      </w:r>
    </w:p>
    <w:p w14:paraId="2FB5DCCE" w14:textId="77777777" w:rsidR="004C0A5E" w:rsidRDefault="004C0A5E">
      <w:pPr>
        <w:widowControl/>
        <w:rPr>
          <w:sz w:val="24"/>
          <w:szCs w:val="24"/>
        </w:rPr>
      </w:pPr>
    </w:p>
    <w:p w14:paraId="6EE49BD5" w14:textId="77777777" w:rsidR="004C0A5E" w:rsidRDefault="00000000">
      <w:pPr>
        <w:widowControl/>
        <w:rPr>
          <w:sz w:val="24"/>
          <w:szCs w:val="24"/>
        </w:rPr>
      </w:pPr>
      <w:r>
        <w:rPr>
          <w:sz w:val="24"/>
          <w:szCs w:val="24"/>
        </w:rPr>
        <w:t xml:space="preserve">INSTITUTO BRASILEIRO DE GEOGRAFIA E ESTATÍSTICA – IBGE. </w:t>
      </w:r>
      <w:r>
        <w:rPr>
          <w:b/>
          <w:sz w:val="24"/>
          <w:szCs w:val="24"/>
        </w:rPr>
        <w:t>Cidades e Estados: Magalhães Barata (PA)</w:t>
      </w:r>
      <w:r>
        <w:rPr>
          <w:sz w:val="24"/>
          <w:szCs w:val="24"/>
        </w:rPr>
        <w:t>, 2025. Disponível em: https://www.ibge.gov.br/cidades-e-estados/pa/magalhaes-barata.html. Acesso em: 1 jun. 2025.</w:t>
      </w:r>
    </w:p>
    <w:p w14:paraId="533B21C7" w14:textId="77777777" w:rsidR="004C0A5E" w:rsidRDefault="004C0A5E">
      <w:pPr>
        <w:widowControl/>
        <w:rPr>
          <w:sz w:val="24"/>
          <w:szCs w:val="24"/>
        </w:rPr>
      </w:pPr>
    </w:p>
    <w:p w14:paraId="1E8BC29C" w14:textId="77777777" w:rsidR="004C0A5E" w:rsidRDefault="00000000">
      <w:pPr>
        <w:widowControl/>
        <w:rPr>
          <w:sz w:val="24"/>
          <w:szCs w:val="24"/>
        </w:rPr>
      </w:pPr>
      <w:r>
        <w:rPr>
          <w:sz w:val="24"/>
          <w:szCs w:val="24"/>
        </w:rPr>
        <w:t xml:space="preserve">INSTITUTO CHICO MENDES DE CONSERVAÇÃO DA BIODIVERSIDADE - ICMBIO. </w:t>
      </w:r>
      <w:r>
        <w:rPr>
          <w:b/>
          <w:sz w:val="24"/>
          <w:szCs w:val="24"/>
        </w:rPr>
        <w:t>Reserva Extrativista Marinha Cuinarana</w:t>
      </w:r>
      <w:r>
        <w:rPr>
          <w:sz w:val="24"/>
          <w:szCs w:val="24"/>
        </w:rPr>
        <w:t>, 2025. Disponível em: https://www.gov.br/icmbio/pt-br/assuntos/biodiversidade/unidade-de-conservacao/unidades-de-biomas/amazonia/lista-de-ucs/resex-marinha-guinarana. Acesso em: 1 jun. 2025.</w:t>
      </w:r>
    </w:p>
    <w:p w14:paraId="72B5A30D" w14:textId="77777777" w:rsidR="004C0A5E" w:rsidRDefault="004C0A5E">
      <w:pPr>
        <w:widowControl/>
        <w:rPr>
          <w:sz w:val="24"/>
          <w:szCs w:val="24"/>
        </w:rPr>
      </w:pPr>
    </w:p>
    <w:p w14:paraId="3D3D1565" w14:textId="77777777" w:rsidR="004C0A5E" w:rsidRDefault="00000000">
      <w:pPr>
        <w:widowControl/>
        <w:rPr>
          <w:sz w:val="24"/>
          <w:szCs w:val="24"/>
        </w:rPr>
      </w:pPr>
      <w:r>
        <w:rPr>
          <w:sz w:val="24"/>
          <w:szCs w:val="24"/>
        </w:rPr>
        <w:t xml:space="preserve">MARTINS, Thiago da Conceição; POELKING, Everton Luís. Comparação classificadores em imagens de satélites com diferentes resoluções espaciais. In: SIMPÓSIO BRASILEIRO DE SENSORIAMENTO REMOTO, 20., 2023, Florianópolis. </w:t>
      </w:r>
      <w:r>
        <w:rPr>
          <w:b/>
          <w:sz w:val="24"/>
          <w:szCs w:val="24"/>
        </w:rPr>
        <w:t>Anais [...]</w:t>
      </w:r>
      <w:r>
        <w:rPr>
          <w:sz w:val="24"/>
          <w:szCs w:val="24"/>
        </w:rPr>
        <w:t>. São José dos Campos: INPE, 2023. p. 3435-3438. Disponível em: https://proceedings.science/p/164941?lang=pt-br. Acesso em: 1 jun. 2025.</w:t>
      </w:r>
    </w:p>
    <w:p w14:paraId="6B6A9E47" w14:textId="77777777" w:rsidR="004C0A5E" w:rsidRDefault="004C0A5E">
      <w:pPr>
        <w:widowControl/>
        <w:rPr>
          <w:sz w:val="24"/>
          <w:szCs w:val="24"/>
        </w:rPr>
      </w:pPr>
    </w:p>
    <w:p w14:paraId="7446FAC8" w14:textId="77777777" w:rsidR="004C0A5E" w:rsidRDefault="00000000">
      <w:pPr>
        <w:widowControl/>
        <w:rPr>
          <w:sz w:val="24"/>
          <w:szCs w:val="24"/>
        </w:rPr>
      </w:pPr>
      <w:r>
        <w:rPr>
          <w:sz w:val="24"/>
          <w:szCs w:val="24"/>
        </w:rPr>
        <w:t xml:space="preserve">MENDES, Ronaldo Lopes Rodrigues; SOMBRA, Daniel; QUINTAIROS, Marcos Vinícius Rodrigues. </w:t>
      </w:r>
      <w:r>
        <w:rPr>
          <w:b/>
          <w:sz w:val="24"/>
          <w:szCs w:val="24"/>
        </w:rPr>
        <w:t>Caderno de mapas da Bacia do Rio Marapanim</w:t>
      </w:r>
      <w:r>
        <w:rPr>
          <w:sz w:val="24"/>
          <w:szCs w:val="24"/>
        </w:rPr>
        <w:t xml:space="preserve"> [recurso eletrônico]: caracterização da bacia e das subbacias: localização e acesso, aspectos socioambientais, aspectos socioeconômicos. Belém: NUMA/UFPA, 2022. Disponível em: https://www.researchgate.net/publication/366185073_Caderno_de_Mapas_da_Bacia_do_Rio_Marapanim. Acesso em: 9 jul. 2025.</w:t>
      </w:r>
    </w:p>
    <w:p w14:paraId="620FC78F" w14:textId="77777777" w:rsidR="004C0A5E" w:rsidRDefault="004C0A5E">
      <w:pPr>
        <w:widowControl/>
        <w:rPr>
          <w:sz w:val="24"/>
          <w:szCs w:val="24"/>
        </w:rPr>
      </w:pPr>
    </w:p>
    <w:p w14:paraId="1267B15D" w14:textId="77777777" w:rsidR="004C0A5E" w:rsidRDefault="00000000">
      <w:pPr>
        <w:widowControl/>
        <w:rPr>
          <w:sz w:val="24"/>
          <w:szCs w:val="24"/>
        </w:rPr>
      </w:pPr>
      <w:r>
        <w:rPr>
          <w:sz w:val="24"/>
          <w:szCs w:val="24"/>
        </w:rPr>
        <w:t xml:space="preserve">PERROCA, Márcia Galan.; GAIDZINSKI, Raquel Rapone. Avaliando a confiabilidade interavaliadores de um instrumento para classificação de pacientes - coeficiente Kappa. </w:t>
      </w:r>
      <w:r>
        <w:rPr>
          <w:b/>
          <w:sz w:val="24"/>
          <w:szCs w:val="24"/>
        </w:rPr>
        <w:t>Rev. Esc. Enferm</w:t>
      </w:r>
      <w:r>
        <w:rPr>
          <w:sz w:val="24"/>
          <w:szCs w:val="24"/>
        </w:rPr>
        <w:t>. USP, 2003; n. 1, v.37, p. 72-80.</w:t>
      </w:r>
    </w:p>
    <w:p w14:paraId="2F0BEC4B" w14:textId="77777777" w:rsidR="004C0A5E" w:rsidRDefault="004C0A5E">
      <w:pPr>
        <w:widowControl/>
        <w:rPr>
          <w:sz w:val="24"/>
          <w:szCs w:val="24"/>
        </w:rPr>
      </w:pPr>
    </w:p>
    <w:p w14:paraId="7774B2DD" w14:textId="77777777" w:rsidR="004C0A5E" w:rsidRDefault="00000000">
      <w:pPr>
        <w:widowControl/>
        <w:rPr>
          <w:sz w:val="24"/>
          <w:szCs w:val="24"/>
        </w:rPr>
      </w:pPr>
      <w:r>
        <w:rPr>
          <w:sz w:val="24"/>
          <w:szCs w:val="24"/>
        </w:rPr>
        <w:t xml:space="preserve">ROMERO, Cristhy Willy da Silva et al. Comparação entre resultados de classificação supervisionada para única data e para diferentes datas do município de Santa Fé do Sul-SP. In: SIMPÓSIO BRASILEIRO DE SENSORIAMENTO REMOTO, 19., 2019, Santos. </w:t>
      </w:r>
      <w:r>
        <w:rPr>
          <w:b/>
          <w:sz w:val="24"/>
          <w:szCs w:val="24"/>
        </w:rPr>
        <w:t xml:space="preserve">Anais </w:t>
      </w:r>
      <w:r>
        <w:rPr>
          <w:b/>
          <w:sz w:val="24"/>
          <w:szCs w:val="24"/>
        </w:rPr>
        <w:lastRenderedPageBreak/>
        <w:t>[…].</w:t>
      </w:r>
      <w:r>
        <w:rPr>
          <w:sz w:val="24"/>
          <w:szCs w:val="24"/>
        </w:rPr>
        <w:t xml:space="preserve"> São José dos Campos: INPE, 2019. p. 1-4. Disponível em: https://proceedings.science/p/168. Acesso em: 1 jun. 2025.</w:t>
      </w:r>
    </w:p>
    <w:p w14:paraId="52FEBC46" w14:textId="77777777" w:rsidR="004C0A5E" w:rsidRDefault="004C0A5E">
      <w:pPr>
        <w:widowControl/>
        <w:rPr>
          <w:sz w:val="24"/>
          <w:szCs w:val="24"/>
        </w:rPr>
      </w:pPr>
    </w:p>
    <w:p w14:paraId="1189AA2A" w14:textId="77777777" w:rsidR="004C0A5E" w:rsidRDefault="00000000">
      <w:pPr>
        <w:widowControl/>
        <w:rPr>
          <w:sz w:val="24"/>
          <w:szCs w:val="24"/>
        </w:rPr>
      </w:pPr>
      <w:r>
        <w:rPr>
          <w:sz w:val="24"/>
          <w:szCs w:val="24"/>
        </w:rPr>
        <w:t xml:space="preserve">SANTORI, Alisson Rodrigues. </w:t>
      </w:r>
      <w:r>
        <w:rPr>
          <w:b/>
          <w:sz w:val="24"/>
          <w:szCs w:val="24"/>
        </w:rPr>
        <w:t>Geotecnologias aplicadas à análise ambiental</w:t>
      </w:r>
      <w:r>
        <w:rPr>
          <w:sz w:val="24"/>
          <w:szCs w:val="24"/>
        </w:rPr>
        <w:t>: aquisição e avaliação de variáveis espectrais da vegetação entre os anos de 2018 e 2019 na bacia hidrográfica do Ribeirão das Cruzes, Selvíria/MS. 2021. Dissertação (Mestrado em Geografia) –Universidade Federal de Mato Grosso do Sul, Três Lagoas, 2021.</w:t>
      </w:r>
    </w:p>
    <w:p w14:paraId="6951D3D7" w14:textId="77777777" w:rsidR="004C0A5E" w:rsidRDefault="004C0A5E">
      <w:pPr>
        <w:widowControl/>
        <w:rPr>
          <w:sz w:val="24"/>
          <w:szCs w:val="24"/>
        </w:rPr>
      </w:pPr>
    </w:p>
    <w:p w14:paraId="0338BCFF" w14:textId="77777777" w:rsidR="004C0A5E" w:rsidRDefault="00000000">
      <w:pPr>
        <w:widowControl/>
        <w:rPr>
          <w:sz w:val="24"/>
          <w:szCs w:val="24"/>
        </w:rPr>
      </w:pPr>
      <w:r>
        <w:rPr>
          <w:sz w:val="24"/>
          <w:szCs w:val="24"/>
        </w:rPr>
        <w:t xml:space="preserve">SANTOS, Leovigildo Aparecido Costa; LIMA, Paulo Eliardo Morais de. Comparação entre diferentes algoritmos de classificação supervisionada em imagens Landsat-8 no mapeamento temático da bacia hidrográfica do rio caldas, Goiás. </w:t>
      </w:r>
      <w:r>
        <w:rPr>
          <w:b/>
          <w:sz w:val="24"/>
          <w:szCs w:val="24"/>
        </w:rPr>
        <w:t>Revista Brasileira de Geografia Física</w:t>
      </w:r>
      <w:r>
        <w:rPr>
          <w:sz w:val="24"/>
          <w:szCs w:val="24"/>
        </w:rPr>
        <w:t>, v. 12, n. 3, p. 961-972, 2019. Disponível em: https://periodicos.ufpe.br/revistas/rbgfe. Acesso em: [01 jun. 2025].</w:t>
      </w:r>
    </w:p>
    <w:p w14:paraId="32B7269A" w14:textId="77777777" w:rsidR="004C0A5E" w:rsidRDefault="004C0A5E">
      <w:pPr>
        <w:widowControl/>
        <w:rPr>
          <w:sz w:val="24"/>
          <w:szCs w:val="24"/>
        </w:rPr>
      </w:pPr>
    </w:p>
    <w:p w14:paraId="3750C2FB" w14:textId="77777777" w:rsidR="004C0A5E" w:rsidRDefault="00000000">
      <w:pPr>
        <w:widowControl/>
        <w:rPr>
          <w:sz w:val="24"/>
          <w:szCs w:val="24"/>
        </w:rPr>
      </w:pPr>
      <w:r>
        <w:rPr>
          <w:sz w:val="24"/>
          <w:szCs w:val="24"/>
        </w:rPr>
        <w:t xml:space="preserve">SANTOS, Isabela Rodrigues. </w:t>
      </w:r>
      <w:r>
        <w:rPr>
          <w:b/>
          <w:sz w:val="24"/>
          <w:szCs w:val="24"/>
        </w:rPr>
        <w:t>Avaliação dos serviços ecossistêmicos ofertados pelos manguezais amazônicos: estudo de caso na costa paraense</w:t>
      </w:r>
      <w:r>
        <w:rPr>
          <w:sz w:val="24"/>
          <w:szCs w:val="24"/>
        </w:rPr>
        <w:t xml:space="preserve">. 2021. Dissertação (Mestrado em Ciências Ambientais) – Universidade do Estado do Pará, Centro de Ciências Naturais e Tecnologia, Belém, 2021. </w:t>
      </w:r>
    </w:p>
    <w:p w14:paraId="3054EA48" w14:textId="77777777" w:rsidR="004C0A5E" w:rsidRDefault="004C0A5E">
      <w:pPr>
        <w:widowControl/>
        <w:rPr>
          <w:sz w:val="24"/>
          <w:szCs w:val="24"/>
        </w:rPr>
      </w:pPr>
    </w:p>
    <w:p w14:paraId="44AC907E" w14:textId="77777777" w:rsidR="004C0A5E" w:rsidRDefault="00000000">
      <w:pPr>
        <w:widowControl/>
        <w:rPr>
          <w:sz w:val="24"/>
          <w:szCs w:val="24"/>
        </w:rPr>
      </w:pPr>
      <w:r>
        <w:rPr>
          <w:sz w:val="24"/>
          <w:szCs w:val="24"/>
        </w:rPr>
        <w:t xml:space="preserve">SILVA, Vagner Paz da; ORLANDA, José Fábio França. Evolução temporal do sensoriamento remoto no contexto da detecção de áreas degradadas na Amazônia: uma revisão sistemática. </w:t>
      </w:r>
      <w:r>
        <w:rPr>
          <w:b/>
          <w:sz w:val="24"/>
          <w:szCs w:val="24"/>
        </w:rPr>
        <w:t>Revista da Casa da Geografia de Sobral</w:t>
      </w:r>
      <w:r>
        <w:rPr>
          <w:sz w:val="24"/>
          <w:szCs w:val="24"/>
        </w:rPr>
        <w:t>, Sobral, v. 26, n. 1, p. 169–182, 2024. DOI: 10.35701/rcgs.v26.922. Disponível em: https://rcgs.uvanet.br/index.php/RCGS/article/view/922. Acesso em: 1 jun. 2025.</w:t>
      </w:r>
    </w:p>
    <w:p w14:paraId="2B2FFE6D" w14:textId="77777777" w:rsidR="004C0A5E" w:rsidRDefault="004C0A5E">
      <w:pPr>
        <w:widowControl/>
        <w:rPr>
          <w:sz w:val="24"/>
          <w:szCs w:val="24"/>
        </w:rPr>
      </w:pPr>
    </w:p>
    <w:p w14:paraId="6B406E77" w14:textId="77777777" w:rsidR="004C0A5E" w:rsidRDefault="00000000">
      <w:pPr>
        <w:widowControl/>
        <w:rPr>
          <w:sz w:val="24"/>
          <w:szCs w:val="24"/>
        </w:rPr>
      </w:pPr>
      <w:r>
        <w:rPr>
          <w:sz w:val="24"/>
          <w:szCs w:val="24"/>
        </w:rPr>
        <w:t xml:space="preserve">SILVA, Silvano Costa da. </w:t>
      </w:r>
      <w:r>
        <w:rPr>
          <w:b/>
          <w:sz w:val="24"/>
          <w:szCs w:val="24"/>
        </w:rPr>
        <w:t>Aspectos geoambientais dos recursos hídricos do rio Cuinarana, Magalhães Barata-Pará.</w:t>
      </w:r>
      <w:r>
        <w:rPr>
          <w:sz w:val="24"/>
          <w:szCs w:val="24"/>
        </w:rPr>
        <w:t xml:space="preserve"> 2019. Dissertação (Mestrado em Ensino de Ciências Ambientais) – Instituto de Geociências, Universidade Federal do Pará, Belém, 2019.</w:t>
      </w:r>
    </w:p>
    <w:p w14:paraId="21DAC764" w14:textId="77777777" w:rsidR="004C0A5E" w:rsidRDefault="004C0A5E">
      <w:pPr>
        <w:widowControl/>
        <w:rPr>
          <w:sz w:val="24"/>
          <w:szCs w:val="24"/>
        </w:rPr>
      </w:pPr>
    </w:p>
    <w:p w14:paraId="611FFA0E" w14:textId="77777777" w:rsidR="004C0A5E" w:rsidRDefault="00000000">
      <w:pPr>
        <w:widowControl/>
        <w:rPr>
          <w:sz w:val="24"/>
          <w:szCs w:val="24"/>
        </w:rPr>
      </w:pPr>
      <w:r>
        <w:rPr>
          <w:sz w:val="24"/>
          <w:szCs w:val="24"/>
        </w:rPr>
        <w:t xml:space="preserve">TAVARES, Bárbara Laura et al. Uso de diferentes classificadores no mapeamento de áreas de soja, sul de Rondônia. In: SIMPÓSIO BRASILEIRO DE SENSORIAMENTO REMOTO, 19., 2019, Santos, SP. </w:t>
      </w:r>
      <w:r>
        <w:rPr>
          <w:b/>
          <w:sz w:val="24"/>
          <w:szCs w:val="24"/>
        </w:rPr>
        <w:t>Anais [...].</w:t>
      </w:r>
      <w:r>
        <w:rPr>
          <w:sz w:val="24"/>
          <w:szCs w:val="24"/>
        </w:rPr>
        <w:t xml:space="preserve"> São José dos Campos, SP: INPE, 2019. p. 1361-1364.</w:t>
      </w:r>
    </w:p>
    <w:p w14:paraId="22C8C3CE" w14:textId="77777777" w:rsidR="004C0A5E" w:rsidRDefault="004C0A5E">
      <w:pPr>
        <w:widowControl/>
        <w:rPr>
          <w:sz w:val="24"/>
          <w:szCs w:val="24"/>
        </w:rPr>
      </w:pPr>
    </w:p>
    <w:p w14:paraId="0B0C6BB7" w14:textId="77777777" w:rsidR="004C0A5E" w:rsidRDefault="00000000">
      <w:pPr>
        <w:widowControl/>
      </w:pPr>
      <w:r>
        <w:rPr>
          <w:sz w:val="24"/>
          <w:szCs w:val="24"/>
        </w:rPr>
        <w:t xml:space="preserve">TEIXEIRA, Euller Pimentel. </w:t>
      </w:r>
      <w:r>
        <w:rPr>
          <w:b/>
          <w:sz w:val="24"/>
          <w:szCs w:val="24"/>
        </w:rPr>
        <w:t>Análise espacial e temporal do uso e cobertura do solo nas Reservas Extrativistas da costa paraense</w:t>
      </w:r>
      <w:r>
        <w:rPr>
          <w:sz w:val="24"/>
          <w:szCs w:val="24"/>
        </w:rPr>
        <w:t>. 2022. Trabalho de Conclusão de Curso (Bacharelado em Engenharia Ambiental e Energias Renováveis) – Universidade Federal Rural da Amazônia, Campus Capanema, Capanema, 2022.</w:t>
      </w:r>
    </w:p>
    <w:sectPr w:rsidR="004C0A5E">
      <w:headerReference w:type="default" r:id="rId10"/>
      <w:footerReference w:type="default" r:id="rId11"/>
      <w:pgSz w:w="11910" w:h="16840"/>
      <w:pgMar w:top="1701" w:right="1134" w:bottom="1134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3C1EFD" w14:textId="77777777" w:rsidR="00DC4DA7" w:rsidRDefault="00DC4DA7">
      <w:r>
        <w:separator/>
      </w:r>
    </w:p>
  </w:endnote>
  <w:endnote w:type="continuationSeparator" w:id="0">
    <w:p w14:paraId="5BAC7F02" w14:textId="77777777" w:rsidR="00DC4DA7" w:rsidRDefault="00DC4D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FC388969-7F2B-401D-92B3-EEE41A9CC7CB}"/>
    <w:embedItalic r:id="rId2" w:fontKey="{F6BB6FB6-B91A-4550-ACA0-B791D474ACEE}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  <w:embedRegular r:id="rId3" w:fontKey="{ACF66B06-6496-40B9-A838-615B6763EEB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F5BD4FC5-99AA-4AD1-B0DC-8CB23CF57D3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1FC3850-2A88-4E84-9DEB-6544AB9128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A4D680" w14:textId="77777777" w:rsidR="004C0A5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2EC8860" wp14:editId="17389189">
          <wp:simplePos x="0" y="0"/>
          <wp:positionH relativeFrom="column">
            <wp:posOffset>2</wp:posOffset>
          </wp:positionH>
          <wp:positionV relativeFrom="paragraph">
            <wp:posOffset>6350</wp:posOffset>
          </wp:positionV>
          <wp:extent cx="600075" cy="191770"/>
          <wp:effectExtent l="0" t="0" r="0" b="0"/>
          <wp:wrapSquare wrapText="bothSides" distT="0" distB="0" distL="114300" distR="114300"/>
          <wp:docPr id="202763883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" cy="1917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7033F342" wp14:editId="1408178D">
          <wp:simplePos x="0" y="0"/>
          <wp:positionH relativeFrom="column">
            <wp:posOffset>850900</wp:posOffset>
          </wp:positionH>
          <wp:positionV relativeFrom="paragraph">
            <wp:posOffset>164465</wp:posOffset>
          </wp:positionV>
          <wp:extent cx="1231265" cy="384175"/>
          <wp:effectExtent l="0" t="0" r="0" b="0"/>
          <wp:wrapSquare wrapText="bothSides" distT="0" distB="0" distL="114300" distR="114300"/>
          <wp:docPr id="2027638833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1265" cy="384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157C3758" wp14:editId="5963EA82">
          <wp:simplePos x="0" y="0"/>
          <wp:positionH relativeFrom="column">
            <wp:posOffset>2644140</wp:posOffset>
          </wp:positionH>
          <wp:positionV relativeFrom="paragraph">
            <wp:posOffset>0</wp:posOffset>
          </wp:positionV>
          <wp:extent cx="419100" cy="241935"/>
          <wp:effectExtent l="0" t="0" r="0" b="0"/>
          <wp:wrapSquare wrapText="bothSides" distT="0" distB="0" distL="114300" distR="114300"/>
          <wp:docPr id="2027638832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9100" cy="2419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69285843" wp14:editId="4BCEF6C7">
          <wp:simplePos x="0" y="0"/>
          <wp:positionH relativeFrom="column">
            <wp:posOffset>3139440</wp:posOffset>
          </wp:positionH>
          <wp:positionV relativeFrom="paragraph">
            <wp:posOffset>184785</wp:posOffset>
          </wp:positionV>
          <wp:extent cx="542290" cy="384175"/>
          <wp:effectExtent l="0" t="0" r="0" b="0"/>
          <wp:wrapSquare wrapText="bothSides" distT="0" distB="0" distL="114300" distR="114300"/>
          <wp:docPr id="2027638824" name="image10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290" cy="384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5DDE1478" wp14:editId="2BC43A2E">
          <wp:simplePos x="0" y="0"/>
          <wp:positionH relativeFrom="column">
            <wp:posOffset>3910965</wp:posOffset>
          </wp:positionH>
          <wp:positionV relativeFrom="paragraph">
            <wp:posOffset>188595</wp:posOffset>
          </wp:positionV>
          <wp:extent cx="914400" cy="353695"/>
          <wp:effectExtent l="0" t="0" r="0" b="0"/>
          <wp:wrapSquare wrapText="bothSides" distT="0" distB="0" distL="114300" distR="114300"/>
          <wp:docPr id="202763883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3536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21F8B07C" wp14:editId="5C973A3F">
          <wp:simplePos x="0" y="0"/>
          <wp:positionH relativeFrom="column">
            <wp:posOffset>5006340</wp:posOffset>
          </wp:positionH>
          <wp:positionV relativeFrom="paragraph">
            <wp:posOffset>194310</wp:posOffset>
          </wp:positionV>
          <wp:extent cx="756285" cy="335280"/>
          <wp:effectExtent l="0" t="0" r="0" b="0"/>
          <wp:wrapSquare wrapText="bothSides" distT="0" distB="0" distL="114300" distR="114300"/>
          <wp:docPr id="202763882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85" cy="3352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93490D" w14:textId="77777777" w:rsidR="00DC4DA7" w:rsidRDefault="00DC4DA7">
      <w:r>
        <w:separator/>
      </w:r>
    </w:p>
  </w:footnote>
  <w:footnote w:type="continuationSeparator" w:id="0">
    <w:p w14:paraId="06514A23" w14:textId="77777777" w:rsidR="00DC4DA7" w:rsidRDefault="00DC4D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032E1B" w14:textId="77777777" w:rsidR="004C0A5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7E90FD9" wp14:editId="7311F4E2">
          <wp:extent cx="3253105" cy="1610360"/>
          <wp:effectExtent l="0" t="0" r="0" b="0"/>
          <wp:docPr id="2027638829" name="image8.png" descr="Logotipo, nome da empresa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 descr="Logotipo, nome da empresa&#10;&#10;O conteúdo gerado por IA pode estar incorreto."/>
                  <pic:cNvPicPr preferRelativeResize="0"/>
                </pic:nvPicPr>
                <pic:blipFill>
                  <a:blip r:embed="rId1"/>
                  <a:srcRect l="2865" t="33993" r="-2171" b="26667"/>
                  <a:stretch>
                    <a:fillRect/>
                  </a:stretch>
                </pic:blipFill>
                <pic:spPr>
                  <a:xfrm>
                    <a:off x="0" y="0"/>
                    <a:ext cx="3253105" cy="16103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0A5E"/>
    <w:rsid w:val="00063AD6"/>
    <w:rsid w:val="001007F9"/>
    <w:rsid w:val="0013408F"/>
    <w:rsid w:val="002E3630"/>
    <w:rsid w:val="004C0A5E"/>
    <w:rsid w:val="00575BBF"/>
    <w:rsid w:val="00667C78"/>
    <w:rsid w:val="00727813"/>
    <w:rsid w:val="007672DF"/>
    <w:rsid w:val="007D69D1"/>
    <w:rsid w:val="00975F96"/>
    <w:rsid w:val="00AB0C77"/>
    <w:rsid w:val="00AB120C"/>
    <w:rsid w:val="00AB6E70"/>
    <w:rsid w:val="00AE0192"/>
    <w:rsid w:val="00AF09F7"/>
    <w:rsid w:val="00B002F7"/>
    <w:rsid w:val="00BE7D5C"/>
    <w:rsid w:val="00CD4EB5"/>
    <w:rsid w:val="00D221FF"/>
    <w:rsid w:val="00DC4DA7"/>
    <w:rsid w:val="00ED7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985F92"/>
  <w15:docId w15:val="{8DDB01BA-D190-4B1E-A649-F4DFE5C1A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120"/>
      <w:ind w:left="821" w:right="115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5A157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A1575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5A157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A1575"/>
    <w:rPr>
      <w:rFonts w:ascii="Times New Roman" w:eastAsia="Times New Roman" w:hAnsi="Times New Roman" w:cs="Times New Roman"/>
      <w:lang w:val="pt-PT"/>
    </w:rPr>
  </w:style>
  <w:style w:type="table" w:customStyle="1" w:styleId="a">
    <w:basedOn w:val="TableNormal1"/>
    <w:rPr>
      <w:sz w:val="24"/>
      <w:szCs w:val="24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0">
    <w:basedOn w:val="TableNormal1"/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1">
    <w:basedOn w:val="TableNormal1"/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2">
    <w:basedOn w:val="TableNormal1"/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styleId="NormalWeb">
    <w:name w:val="Normal (Web)"/>
    <w:basedOn w:val="Normal"/>
    <w:uiPriority w:val="99"/>
    <w:semiHidden/>
    <w:unhideWhenUsed/>
    <w:rsid w:val="000F6CA5"/>
    <w:rPr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AB0E5E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B0E5E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3">
    <w:basedOn w:val="TableNormal0"/>
    <w:rPr>
      <w:sz w:val="24"/>
      <w:szCs w:val="24"/>
    </w:rPr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4">
    <w:basedOn w:val="TableNormal0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5">
    <w:basedOn w:val="TableNormal0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6">
    <w:basedOn w:val="TableNormal0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9u5dCtWMwpb6JFeWWNwM5tkbP7A==">CgMxLjAaHwoBMBIaChgICVIUChJ0YWJsZS51d3gyYjd4ZHN6b2IaHwoBMRIaChgICVIUChJ0YWJsZS45MHZxcTJmZmo3cXMyDWguemkzaWlyaTY5OHQyDmguOWhqZmc3OGk0Y3Z4Mg5oLmtqcGljbTJ5Yjl5dDIOaC5jNmZxcGRtNzJrcWsyDmguazJpNHM5NWt4ZTFzOAByITF2NngyZ0xoMTRsM013RXZmRFhlck11ZFlFUVVVV1h1aA==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10</Pages>
  <Words>3126</Words>
  <Characters>16882</Characters>
  <Application>Microsoft Office Word</Application>
  <DocSecurity>0</DocSecurity>
  <Lines>140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Lísias Faria</dc:creator>
  <cp:lastModifiedBy>Gustavo Gouveia</cp:lastModifiedBy>
  <cp:revision>11</cp:revision>
  <dcterms:created xsi:type="dcterms:W3CDTF">2023-08-30T02:53:00Z</dcterms:created>
  <dcterms:modified xsi:type="dcterms:W3CDTF">2025-11-19T19:39:00Z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2022-08-23T00:00:00Z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2023-08-30T00:00:00Z</vt:filetime>
  </property>
</Properties>
</file>