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7945A" w14:textId="12CE338C" w:rsidR="009B4014" w:rsidRPr="003054BE" w:rsidRDefault="00E64BAF">
      <w:pPr>
        <w:rPr>
          <w:rFonts w:ascii="Times New Roman" w:hAnsi="Times New Roman" w:cs="Times New Roman"/>
          <w:sz w:val="24"/>
          <w:szCs w:val="24"/>
        </w:rPr>
      </w:pPr>
      <w:r w:rsidRPr="003054BE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1C3392AD" wp14:editId="018EA6A8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E7AF4" w14:textId="77777777" w:rsidR="004802E8" w:rsidRPr="003054BE" w:rsidRDefault="004802E8" w:rsidP="004802E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7FE7355" w14:textId="1CF19D5B" w:rsidR="00342DF4" w:rsidRPr="003054BE" w:rsidRDefault="004802E8" w:rsidP="004802E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054BE">
        <w:rPr>
          <w:rFonts w:ascii="Times New Roman" w:eastAsia="Calibri" w:hAnsi="Times New Roman" w:cs="Times New Roman"/>
          <w:b/>
          <w:bCs/>
          <w:sz w:val="24"/>
          <w:szCs w:val="24"/>
        </w:rPr>
        <w:t>PROCESSOS CRIMINAIS E PATRIARCADO: O ENSINO DA DITADURA MILITAR SOB A PERSPECTIVA DA JUSTIÇA DE GÊNERO</w:t>
      </w:r>
    </w:p>
    <w:p w14:paraId="3C8B3894" w14:textId="77777777" w:rsidR="004802E8" w:rsidRPr="003054BE" w:rsidRDefault="004802E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79B4C1C" w14:textId="42090B26" w:rsidR="00342DF4" w:rsidRPr="003054BE" w:rsidRDefault="003054BE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3054B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Autora: </w:t>
      </w:r>
      <w:r w:rsidR="004802E8" w:rsidRPr="003054B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Stephanie Oliveira Afonso</w:t>
      </w:r>
    </w:p>
    <w:p w14:paraId="5BC3ABE8" w14:textId="6E379209" w:rsidR="00342DF4" w:rsidRPr="003054BE" w:rsidRDefault="003054BE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054B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Vínculo Institucional:</w:t>
      </w:r>
      <w:r w:rsidRPr="003054B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802E8" w:rsidRPr="003054BE"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14:paraId="7CA6C609" w14:textId="5AF8FFD1" w:rsidR="00342DF4" w:rsidRPr="003054BE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054B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E-m</w:t>
      </w:r>
      <w:r w:rsidR="004802E8" w:rsidRPr="003054B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ail:</w:t>
      </w:r>
      <w:r w:rsidR="004802E8" w:rsidRPr="003054B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stephanieoliveira027@gmail.com</w:t>
      </w:r>
    </w:p>
    <w:p w14:paraId="42940016" w14:textId="5B40A33C" w:rsidR="004802E8" w:rsidRPr="004802E8" w:rsidRDefault="003054BE" w:rsidP="004802E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054B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Coautora: </w:t>
      </w:r>
      <w:r w:rsidR="004802E8" w:rsidRPr="004802E8">
        <w:rPr>
          <w:rFonts w:ascii="Times New Roman" w:eastAsia="Times New Roman" w:hAnsi="Times New Roman" w:cs="Times New Roman"/>
          <w:sz w:val="24"/>
          <w:szCs w:val="24"/>
          <w:lang w:eastAsia="pt-BR"/>
        </w:rPr>
        <w:t>Filomena Luciene Cordeiro Reis</w:t>
      </w:r>
    </w:p>
    <w:p w14:paraId="7256FE1E" w14:textId="14D14494" w:rsidR="004802E8" w:rsidRPr="003054BE" w:rsidRDefault="003054BE" w:rsidP="004802E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054B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Vínculo Institucional:</w:t>
      </w:r>
      <w:r w:rsidRPr="003054B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802E8" w:rsidRPr="003054BE"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14:paraId="0A51C2E2" w14:textId="35ED7966" w:rsidR="004802E8" w:rsidRPr="003054BE" w:rsidRDefault="004802E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054B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E-mail: </w:t>
      </w:r>
      <w:r w:rsidRPr="004802E8">
        <w:rPr>
          <w:rFonts w:ascii="Times New Roman" w:eastAsia="Times New Roman" w:hAnsi="Times New Roman" w:cs="Times New Roman"/>
          <w:sz w:val="24"/>
          <w:szCs w:val="24"/>
          <w:lang w:eastAsia="pt-BR"/>
        </w:rPr>
        <w:t>filomena.reis@unimontes.br</w:t>
      </w:r>
      <w:r w:rsidRPr="003054B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64F46DDD" w14:textId="78B52216" w:rsidR="004802E8" w:rsidRPr="003054BE" w:rsidRDefault="004802E8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3054B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 2</w:t>
      </w:r>
      <w:r w:rsidR="003054BE" w:rsidRPr="003054B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</w:t>
      </w:r>
      <w:r w:rsidRPr="003054B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3054BE">
        <w:rPr>
          <w:rFonts w:ascii="Times New Roman" w:eastAsia="Times New Roman" w:hAnsi="Times New Roman" w:cs="Times New Roman"/>
          <w:sz w:val="24"/>
          <w:szCs w:val="24"/>
          <w:lang w:eastAsia="pt-BR"/>
        </w:rPr>
        <w:t>Educação e Justiça Social: Identidades, Gênero e Relações Étnico-Raciais</w:t>
      </w:r>
    </w:p>
    <w:p w14:paraId="4B8338C6" w14:textId="29EDBEC5" w:rsidR="00342DF4" w:rsidRPr="003054BE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054B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 w:rsidRPr="003054B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3054BE" w:rsidRPr="003054B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Ditadura militar; Patriarcado; Gênero; Ensino de História; Processos.</w:t>
      </w:r>
    </w:p>
    <w:p w14:paraId="0425DA07" w14:textId="77777777" w:rsidR="00342DF4" w:rsidRPr="003054BE" w:rsidRDefault="00342DF4">
      <w:pPr>
        <w:rPr>
          <w:rFonts w:ascii="Times New Roman" w:hAnsi="Times New Roman" w:cs="Times New Roman"/>
          <w:sz w:val="24"/>
          <w:szCs w:val="24"/>
        </w:rPr>
      </w:pPr>
    </w:p>
    <w:p w14:paraId="680F4A77" w14:textId="77777777" w:rsidR="004802E8" w:rsidRPr="003054BE" w:rsidRDefault="00342DF4" w:rsidP="004802E8">
      <w:pPr>
        <w:pStyle w:val="Corpodetexto"/>
        <w:spacing w:line="240" w:lineRule="auto"/>
        <w:ind w:rightChars="-24" w:right="-53"/>
        <w:jc w:val="both"/>
        <w:rPr>
          <w:lang w:eastAsia="pt-BR"/>
        </w:rPr>
      </w:pPr>
      <w:r w:rsidRPr="003054BE">
        <w:rPr>
          <w:b/>
          <w:lang w:eastAsia="pt-BR"/>
        </w:rPr>
        <w:t xml:space="preserve">Resumo </w:t>
      </w:r>
      <w:r w:rsidR="00FA4CB5" w:rsidRPr="003054BE">
        <w:rPr>
          <w:b/>
          <w:lang w:eastAsia="pt-BR"/>
        </w:rPr>
        <w:t>Simples</w:t>
      </w:r>
      <w:r w:rsidRPr="003054BE">
        <w:rPr>
          <w:lang w:eastAsia="pt-BR"/>
        </w:rPr>
        <w:t xml:space="preserve"> </w:t>
      </w:r>
      <w:bookmarkStart w:id="0" w:name="_Hlk201500484"/>
    </w:p>
    <w:p w14:paraId="38E0398C" w14:textId="77777777" w:rsidR="004802E8" w:rsidRPr="003054BE" w:rsidRDefault="004802E8" w:rsidP="004802E8">
      <w:pPr>
        <w:pStyle w:val="Corpodetexto"/>
        <w:spacing w:line="240" w:lineRule="auto"/>
        <w:ind w:rightChars="-24" w:right="-53"/>
        <w:jc w:val="both"/>
        <w:rPr>
          <w:lang w:eastAsia="pt-BR"/>
        </w:rPr>
      </w:pPr>
    </w:p>
    <w:p w14:paraId="367A1108" w14:textId="1F1F4704" w:rsidR="004802E8" w:rsidRPr="00F473D8" w:rsidRDefault="004802E8" w:rsidP="004802E8">
      <w:pPr>
        <w:pStyle w:val="Corpodetexto"/>
        <w:spacing w:line="240" w:lineRule="auto"/>
        <w:ind w:rightChars="-24" w:right="-53"/>
        <w:jc w:val="both"/>
        <w:rPr>
          <w:lang w:val="pt-BR"/>
        </w:rPr>
      </w:pPr>
      <w:r w:rsidRPr="003054BE">
        <w:rPr>
          <w:lang w:val="pt-BR"/>
        </w:rPr>
        <w:t xml:space="preserve">A ditadura militar brasileira foi um período marcado pela censura, perseguição política, tortura, assassinatos, desaparecimentos, exílios, prisões arbitrárias, supressão total dos direitos constitucionais e repressão a todos que se manifestassem contrários ao regime ditatorial. </w:t>
      </w:r>
      <w:r w:rsidRPr="003054BE">
        <w:rPr>
          <w:lang w:val="pt-BR" w:eastAsia="zh-CN"/>
        </w:rPr>
        <w:t xml:space="preserve">Nesse contexto, muitas mulheres assumiram a oposição ao citado regime, ao mesmo tempo em que lidavam com o fato de sua posição social ser diretamente afetada pela lógica do patriarcado, que consiste na dominação-exploração do feminino pelo masculino. </w:t>
      </w:r>
      <w:r w:rsidRPr="003054BE">
        <w:rPr>
          <w:lang w:val="pt-BR"/>
        </w:rPr>
        <w:t xml:space="preserve">Segundo Colling (1997), as mulheres militantes </w:t>
      </w:r>
      <w:r w:rsidR="00750A4B">
        <w:rPr>
          <w:lang w:val="pt-BR"/>
        </w:rPr>
        <w:t xml:space="preserve">eram acusadas de </w:t>
      </w:r>
      <w:r w:rsidRPr="003054BE">
        <w:rPr>
          <w:lang w:val="pt-BR"/>
        </w:rPr>
        <w:t>transgredi</w:t>
      </w:r>
      <w:r w:rsidR="00750A4B">
        <w:rPr>
          <w:lang w:val="pt-BR"/>
        </w:rPr>
        <w:t>r</w:t>
      </w:r>
      <w:r w:rsidRPr="003054BE">
        <w:rPr>
          <w:lang w:val="pt-BR"/>
        </w:rPr>
        <w:t xml:space="preserve"> duplamente </w:t>
      </w:r>
      <w:r w:rsidR="00750A4B">
        <w:rPr>
          <w:lang w:val="pt-BR"/>
        </w:rPr>
        <w:t>à</w:t>
      </w:r>
      <w:r w:rsidRPr="003054BE">
        <w:rPr>
          <w:lang w:val="pt-BR"/>
        </w:rPr>
        <w:t>s normas</w:t>
      </w:r>
      <w:r w:rsidR="00750A4B">
        <w:rPr>
          <w:lang w:val="pt-BR"/>
        </w:rPr>
        <w:t>, tendo em vista que se posicionavam contra o regime militar</w:t>
      </w:r>
      <w:r w:rsidRPr="003054BE">
        <w:rPr>
          <w:lang w:val="pt-BR"/>
        </w:rPr>
        <w:t xml:space="preserve"> </w:t>
      </w:r>
      <w:r w:rsidR="00750A4B">
        <w:rPr>
          <w:lang w:val="pt-BR"/>
        </w:rPr>
        <w:t xml:space="preserve">ao mesmo tempo que </w:t>
      </w:r>
      <w:r w:rsidRPr="003054BE">
        <w:rPr>
          <w:lang w:val="pt-BR"/>
        </w:rPr>
        <w:t>não cumpri</w:t>
      </w:r>
      <w:r w:rsidR="00750A4B">
        <w:rPr>
          <w:lang w:val="pt-BR"/>
        </w:rPr>
        <w:t>am</w:t>
      </w:r>
      <w:r w:rsidRPr="003054BE">
        <w:rPr>
          <w:lang w:val="pt-BR"/>
        </w:rPr>
        <w:t xml:space="preserve"> os padrões tradicionais de gênero. </w:t>
      </w:r>
      <w:r w:rsidRPr="003054BE">
        <w:rPr>
          <w:lang w:val="pt-BR" w:eastAsia="pt-BR"/>
        </w:rPr>
        <w:t xml:space="preserve">Diante de tal contexto histórico, buscamos estudar </w:t>
      </w:r>
      <w:r w:rsidRPr="003054BE">
        <w:rPr>
          <w:lang w:val="zh-CN" w:eastAsia="pt-BR"/>
        </w:rPr>
        <w:t xml:space="preserve">a intersecção entre gênero e repressão política, propondo a utilização dos processos criminais como ferramentas didáticas </w:t>
      </w:r>
      <w:r w:rsidRPr="003054BE">
        <w:rPr>
          <w:lang w:val="pt-BR" w:eastAsia="pt-BR"/>
        </w:rPr>
        <w:t xml:space="preserve">no ensino da ditadura militar, especialmente </w:t>
      </w:r>
      <w:r w:rsidRPr="003054BE">
        <w:rPr>
          <w:lang w:val="zh-CN" w:eastAsia="pt-BR"/>
        </w:rPr>
        <w:t>ao analisar as estruturas patriarcais no contexto da repressão.</w:t>
      </w:r>
      <w:r w:rsidRPr="003054BE">
        <w:rPr>
          <w:lang w:val="pt-BR" w:eastAsia="pt-BR"/>
        </w:rPr>
        <w:t xml:space="preserve"> Esses</w:t>
      </w:r>
      <w:r w:rsidRPr="003054BE">
        <w:rPr>
          <w:lang w:val="zh-CN" w:eastAsia="pt-BR"/>
        </w:rPr>
        <w:t xml:space="preserve"> documentos revelam não apenas a violência institucional, mas também os mecanismos de construção da memória histórica e da invisibilização das mulheres na história oficial. Assim, o trabalho visa contribuir para um ensino de História crítico, sensível aos direitos humanos, à justiça social e à equidade de gênero.</w:t>
      </w:r>
      <w:r w:rsidRPr="003054BE">
        <w:rPr>
          <w:lang w:val="pt-BR" w:eastAsia="pt-BR"/>
        </w:rPr>
        <w:t xml:space="preserve"> </w:t>
      </w:r>
      <w:r w:rsidRPr="003054BE">
        <w:rPr>
          <w:lang w:val="pt-BR"/>
        </w:rPr>
        <w:t xml:space="preserve">Para tanto, a pesquisa se caracteriza como qualitativa, de forma que a revisão bibliográfica constitui premissa e aporte, especialmente, Colling (1997), Lerner (2019), Saffioti (2001, 2004 e 2013) e Bourdieu (2002), além dos trabalhos publicados pela Comissão Nacional da Verdade (CNV) (2014) e o projeto “Brasil: Nunca Mais (BNM)” (1985), principalmente os processos judiciais que compõem o seu acervo. </w:t>
      </w:r>
      <w:r w:rsidRPr="003054BE">
        <w:rPr>
          <w:rFonts w:eastAsia="Calibri"/>
          <w:lang w:val="zh-CN" w:eastAsia="zh-CN"/>
        </w:rPr>
        <w:t>O objetivo geral consiste em analisar a potencialidade dos processos da Justiça Militar como fonte de ensino da História, destacando evidências de como o fato de a militante ser mulher pode ter impactado sua caracterização como ré</w:t>
      </w:r>
      <w:r w:rsidRPr="003054BE">
        <w:rPr>
          <w:bCs/>
          <w:lang w:val="pt-BR" w:eastAsia="pt-BR"/>
        </w:rPr>
        <w:t xml:space="preserve">. </w:t>
      </w:r>
      <w:r w:rsidRPr="003054BE">
        <w:rPr>
          <w:lang w:val="zh-CN"/>
        </w:rPr>
        <w:t>Além de revelarem práticas de violência institucional, esses registros evidenciam os mecanismos de apagamento da presença feminina na memória histórica oficial.</w:t>
      </w:r>
      <w:r w:rsidRPr="003054BE">
        <w:rPr>
          <w:lang w:val="pt-BR"/>
        </w:rPr>
        <w:t xml:space="preserve"> </w:t>
      </w:r>
      <w:r w:rsidRPr="003054BE">
        <w:rPr>
          <w:bCs/>
          <w:lang w:val="pt-BR" w:eastAsia="pt-BR"/>
        </w:rPr>
        <w:t xml:space="preserve">Os </w:t>
      </w:r>
      <w:r w:rsidRPr="003054BE">
        <w:rPr>
          <w:lang w:val="pt-BR"/>
        </w:rPr>
        <w:t>objetivos específicos são v</w:t>
      </w:r>
      <w:r w:rsidRPr="003054BE">
        <w:rPr>
          <w:lang w:val="pt-BR" w:eastAsia="pt-BR"/>
        </w:rPr>
        <w:t xml:space="preserve">erificar a possibilidade de utilizar processos criminais públicos </w:t>
      </w:r>
      <w:r w:rsidRPr="003054BE">
        <w:rPr>
          <w:lang w:val="pt-BR" w:eastAsia="pt-BR"/>
        </w:rPr>
        <w:lastRenderedPageBreak/>
        <w:t xml:space="preserve">no ensino da história; </w:t>
      </w:r>
      <w:r w:rsidRPr="003054BE">
        <w:rPr>
          <w:lang w:val="zh-CN" w:eastAsia="pt-BR"/>
        </w:rPr>
        <w:t>analisar se havia distinções de gênero no tratamento dado aos homens e às mulheres nos mesmos processos</w:t>
      </w:r>
      <w:r w:rsidRPr="003054BE">
        <w:rPr>
          <w:lang w:val="pt-BR" w:eastAsia="pt-BR"/>
        </w:rPr>
        <w:t xml:space="preserve">; e analisar a intersecção entre gênero e justiça durante a ditadura militar no Brasil, verificando </w:t>
      </w:r>
      <w:r w:rsidRPr="003054BE">
        <w:rPr>
          <w:lang w:val="zh-CN" w:eastAsia="pt-BR"/>
        </w:rPr>
        <w:t>como a Justiça Militar incorporou valores patriarcais em suas decisõe</w:t>
      </w:r>
      <w:r w:rsidRPr="003054BE">
        <w:rPr>
          <w:lang w:val="pt-BR" w:eastAsia="pt-BR"/>
        </w:rPr>
        <w:t xml:space="preserve">s. </w:t>
      </w:r>
      <w:r w:rsidRPr="003054BE">
        <w:rPr>
          <w:lang w:val="zh-CN" w:eastAsia="pt-BR"/>
        </w:rPr>
        <w:t xml:space="preserve">Ao integrar pesquisa histórica e ensino, o estudo propõe </w:t>
      </w:r>
      <w:r w:rsidRPr="003054BE">
        <w:rPr>
          <w:lang w:val="pt-BR" w:eastAsia="pt-BR"/>
        </w:rPr>
        <w:t>a seguinte indagação</w:t>
      </w:r>
      <w:r w:rsidRPr="003054BE">
        <w:rPr>
          <w:lang w:val="zh-CN" w:eastAsia="pt-BR"/>
        </w:rPr>
        <w:t xml:space="preserve">: </w:t>
      </w:r>
      <w:r w:rsidRPr="00F473D8">
        <w:rPr>
          <w:lang w:val="pt-BR"/>
        </w:rPr>
        <w:t>é possível utilizar processos criminais para evidenciar a influência da lógica patriarcal no tratamento das mulheres durante a ditadura</w:t>
      </w:r>
      <w:r w:rsidRPr="003054BE">
        <w:rPr>
          <w:lang w:val="zh-CN" w:eastAsia="pt-BR"/>
        </w:rPr>
        <w:t>?</w:t>
      </w:r>
      <w:bookmarkEnd w:id="0"/>
      <w:r w:rsidRPr="003054BE">
        <w:rPr>
          <w:lang w:val="pt-BR" w:eastAsia="pt-BR"/>
        </w:rPr>
        <w:t xml:space="preserve"> Buscando responder o questionamento, a </w:t>
      </w:r>
      <w:r w:rsidRPr="003054BE">
        <w:rPr>
          <w:lang w:val="pt-BR"/>
        </w:rPr>
        <w:t xml:space="preserve">análise preliminar evidencia que as mulheres militantes eram frequentemente retratadas como moralmente desviantes, sendo associadas à desobediência, à promiscuidade e à ameaça à ordem familiar. Essas representações reforçam a intersecção entre repressão política e dominação patriarcal, demonstrando que a condição de mulher influenciava tanto o enquadramento jurídico quanto </w:t>
      </w:r>
      <w:r w:rsidR="00750A4B">
        <w:rPr>
          <w:lang w:val="pt-BR"/>
        </w:rPr>
        <w:t>n</w:t>
      </w:r>
      <w:r w:rsidRPr="003054BE">
        <w:rPr>
          <w:lang w:val="pt-BR"/>
        </w:rPr>
        <w:t xml:space="preserve">a severidade das </w:t>
      </w:r>
      <w:r w:rsidR="00E02573">
        <w:rPr>
          <w:lang w:val="pt-BR"/>
        </w:rPr>
        <w:t>repressões</w:t>
      </w:r>
      <w:r w:rsidRPr="003054BE">
        <w:rPr>
          <w:lang w:val="pt-BR"/>
        </w:rPr>
        <w:t xml:space="preserve">. Além de revelarem práticas de violência institucional, os processos mostram mecanismos de apagamento da presença feminina na memória oficial da resistência, reiterando o papel da Justiça Militar na manutenção das hierarquias de gênero. Ao serem integrados ao ensino, esses documentos permitem discutir criticamente as relações entre poder, gênero e memória, promovendo uma educação histórica sensível às desigualdades e comprometida com a justiça social. </w:t>
      </w:r>
      <w:r w:rsidRPr="00F473D8">
        <w:rPr>
          <w:lang w:val="pt-BR"/>
        </w:rPr>
        <w:t>Os resultados parciais indicam que os processos da Justiça Militar possuem grande potencial como fontes didáticas para o ensino da ditadura civil-militar, ao possibilitar a problematização das estruturas patriarcais presentes na repressão e na construção da memória histórica.</w:t>
      </w:r>
    </w:p>
    <w:p w14:paraId="179DC314" w14:textId="77777777" w:rsidR="004802E8" w:rsidRPr="003054BE" w:rsidRDefault="004802E8" w:rsidP="004802E8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19B5C57" w14:textId="0CB192B7" w:rsidR="00BD0C00" w:rsidRPr="003054BE" w:rsidRDefault="00BD0C00" w:rsidP="004802E8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054B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Apoio técnico ou financeiro</w:t>
      </w:r>
    </w:p>
    <w:p w14:paraId="20326061" w14:textId="53737631" w:rsidR="00BD0C00" w:rsidRPr="003054BE" w:rsidRDefault="003054BE" w:rsidP="00342DF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3054B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Coordenação de Aperfeiçoamento de Pessoal de Nível Superior – CAPES.</w:t>
      </w:r>
    </w:p>
    <w:p w14:paraId="6B860E52" w14:textId="77777777" w:rsidR="003054BE" w:rsidRPr="003054BE" w:rsidRDefault="003054BE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47A83CDC" w14:textId="77777777" w:rsidR="00342DF4" w:rsidRPr="003054BE" w:rsidRDefault="00342DF4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054B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3E29B203" w14:textId="77777777" w:rsidR="004802E8" w:rsidRPr="003054BE" w:rsidRDefault="004802E8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0B51244" w14:textId="77777777" w:rsidR="004802E8" w:rsidRPr="003054BE" w:rsidRDefault="004802E8" w:rsidP="004802E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201500579"/>
      <w:r w:rsidRPr="003054BE">
        <w:rPr>
          <w:rFonts w:ascii="Times New Roman" w:eastAsia="Times New Roman" w:hAnsi="Times New Roman" w:cs="Times New Roman"/>
          <w:sz w:val="24"/>
          <w:szCs w:val="24"/>
        </w:rPr>
        <w:t xml:space="preserve">BOURDIEU, Pierre. </w:t>
      </w:r>
      <w:r w:rsidRPr="003054BE">
        <w:rPr>
          <w:rFonts w:ascii="Times New Roman" w:eastAsia="Times New Roman" w:hAnsi="Times New Roman" w:cs="Times New Roman"/>
          <w:b/>
          <w:bCs/>
          <w:sz w:val="24"/>
          <w:szCs w:val="24"/>
        </w:rPr>
        <w:t>A Dominação Masculina</w:t>
      </w:r>
      <w:r w:rsidRPr="003054BE">
        <w:rPr>
          <w:rFonts w:ascii="Times New Roman" w:eastAsia="Times New Roman" w:hAnsi="Times New Roman" w:cs="Times New Roman"/>
          <w:sz w:val="24"/>
          <w:szCs w:val="24"/>
        </w:rPr>
        <w:t xml:space="preserve">. 2. ed. Tradução de Helena </w:t>
      </w:r>
      <w:proofErr w:type="spellStart"/>
      <w:r w:rsidRPr="003054BE">
        <w:rPr>
          <w:rFonts w:ascii="Times New Roman" w:eastAsia="Times New Roman" w:hAnsi="Times New Roman" w:cs="Times New Roman"/>
          <w:sz w:val="24"/>
          <w:szCs w:val="24"/>
        </w:rPr>
        <w:t>Kühner</w:t>
      </w:r>
      <w:proofErr w:type="spellEnd"/>
      <w:r w:rsidRPr="003054BE">
        <w:rPr>
          <w:rFonts w:ascii="Times New Roman" w:eastAsia="Times New Roman" w:hAnsi="Times New Roman" w:cs="Times New Roman"/>
          <w:sz w:val="24"/>
          <w:szCs w:val="24"/>
        </w:rPr>
        <w:t xml:space="preserve">. Rio de Janeiro: Bertrand Brasil, 2011. </w:t>
      </w:r>
    </w:p>
    <w:p w14:paraId="2D8A9930" w14:textId="77777777" w:rsidR="004802E8" w:rsidRPr="003054BE" w:rsidRDefault="004802E8" w:rsidP="004802E8">
      <w:pPr>
        <w:pStyle w:val="Corpodetexto"/>
        <w:spacing w:line="240" w:lineRule="auto"/>
        <w:ind w:rightChars="-24" w:right="-53"/>
        <w:jc w:val="both"/>
        <w:rPr>
          <w:lang w:val="pt-BR"/>
        </w:rPr>
      </w:pPr>
    </w:p>
    <w:p w14:paraId="3923A227" w14:textId="5AAC3EC9" w:rsidR="004802E8" w:rsidRPr="003054BE" w:rsidRDefault="004802E8" w:rsidP="004802E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54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BRASIL. </w:t>
      </w:r>
      <w:r w:rsidRPr="003054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Comissão Nacional da Verdade: relatório final</w:t>
      </w:r>
      <w:r w:rsidRPr="003054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Brasília: CNV, 2014. Disponível em: </w:t>
      </w:r>
      <w:hyperlink r:id="rId5" w:history="1">
        <w:r w:rsidRPr="003054BE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https://www.gov.br/memoriasreveladas/pt-br/assuntos/comissoes-da-verdade/cnv</w:t>
        </w:r>
      </w:hyperlink>
      <w:r w:rsidRPr="003054BE">
        <w:rPr>
          <w:rFonts w:ascii="Times New Roman" w:hAnsi="Times New Roman" w:cs="Times New Roman"/>
          <w:color w:val="000000" w:themeColor="text1"/>
          <w:sz w:val="24"/>
          <w:szCs w:val="24"/>
        </w:rPr>
        <w:t>. Acesso em: 20 ago. 2025.</w:t>
      </w:r>
    </w:p>
    <w:p w14:paraId="2710723C" w14:textId="77777777" w:rsidR="004802E8" w:rsidRPr="003054BE" w:rsidRDefault="004802E8" w:rsidP="004802E8">
      <w:pPr>
        <w:pStyle w:val="Corpodetexto"/>
        <w:spacing w:line="240" w:lineRule="auto"/>
        <w:ind w:rightChars="-24" w:right="-53"/>
        <w:jc w:val="both"/>
        <w:rPr>
          <w:lang w:val="pt-BR"/>
        </w:rPr>
      </w:pPr>
    </w:p>
    <w:p w14:paraId="3CFB26E3" w14:textId="77777777" w:rsidR="004802E8" w:rsidRPr="003054BE" w:rsidRDefault="004802E8" w:rsidP="004802E8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54BE">
        <w:rPr>
          <w:rFonts w:ascii="Times New Roman" w:hAnsi="Times New Roman" w:cs="Times New Roman"/>
          <w:bCs/>
          <w:sz w:val="24"/>
          <w:szCs w:val="24"/>
        </w:rPr>
        <w:t>COLLING, Ana Maria.</w:t>
      </w:r>
      <w:r w:rsidRPr="003054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054B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A resistência da mulher à ditadura militar no Brasil. </w:t>
      </w:r>
      <w:r w:rsidRPr="003054BE">
        <w:rPr>
          <w:rFonts w:ascii="Times New Roman" w:hAnsi="Times New Roman" w:cs="Times New Roman"/>
          <w:sz w:val="24"/>
          <w:szCs w:val="24"/>
          <w:shd w:val="clear" w:color="auto" w:fill="FFFFFF"/>
        </w:rPr>
        <w:t>Rio de Janeiro: Rosa dos Tempos, 1997.</w:t>
      </w:r>
    </w:p>
    <w:p w14:paraId="0A0FAA0F" w14:textId="77777777" w:rsidR="004802E8" w:rsidRPr="003054BE" w:rsidRDefault="004802E8" w:rsidP="004802E8">
      <w:pPr>
        <w:pStyle w:val="Corpodetexto"/>
        <w:spacing w:line="240" w:lineRule="auto"/>
        <w:ind w:rightChars="-24" w:right="-53"/>
        <w:jc w:val="both"/>
        <w:rPr>
          <w:lang w:val="pt-BR"/>
        </w:rPr>
      </w:pPr>
    </w:p>
    <w:p w14:paraId="15FBC1E4" w14:textId="77777777" w:rsidR="004802E8" w:rsidRPr="003054BE" w:rsidRDefault="004802E8" w:rsidP="004802E8">
      <w:pPr>
        <w:pStyle w:val="Corpodetexto"/>
        <w:spacing w:line="240" w:lineRule="auto"/>
        <w:ind w:rightChars="-24" w:right="-53"/>
        <w:rPr>
          <w:lang w:val="pt-BR"/>
        </w:rPr>
      </w:pPr>
      <w:r w:rsidRPr="003054BE">
        <w:rPr>
          <w:lang w:val="pt-BR"/>
        </w:rPr>
        <w:t xml:space="preserve">LERNER, Gerda. </w:t>
      </w:r>
      <w:r w:rsidRPr="003054BE">
        <w:rPr>
          <w:b/>
          <w:bCs/>
          <w:lang w:val="pt-BR"/>
        </w:rPr>
        <w:t>A criação do patriarcado.</w:t>
      </w:r>
      <w:r w:rsidRPr="003054BE">
        <w:rPr>
          <w:lang w:val="pt-BR"/>
        </w:rPr>
        <w:t xml:space="preserve"> São Paulo: Cultrix, 2019.</w:t>
      </w:r>
    </w:p>
    <w:p w14:paraId="764A0365" w14:textId="77777777" w:rsidR="004802E8" w:rsidRPr="003054BE" w:rsidRDefault="004802E8" w:rsidP="004802E8">
      <w:pPr>
        <w:pStyle w:val="Corpodetexto"/>
        <w:spacing w:line="240" w:lineRule="auto"/>
        <w:ind w:rightChars="-24" w:right="-53"/>
        <w:jc w:val="both"/>
        <w:rPr>
          <w:lang w:val="pt-BR"/>
        </w:rPr>
      </w:pPr>
    </w:p>
    <w:p w14:paraId="1071230B" w14:textId="77777777" w:rsidR="004802E8" w:rsidRPr="003054BE" w:rsidRDefault="004802E8" w:rsidP="004802E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054BE">
        <w:rPr>
          <w:rFonts w:ascii="Times New Roman" w:eastAsia="Times New Roman" w:hAnsi="Times New Roman" w:cs="Times New Roman"/>
          <w:sz w:val="24"/>
          <w:szCs w:val="24"/>
        </w:rPr>
        <w:t xml:space="preserve">SAFFIOTI, </w:t>
      </w:r>
      <w:proofErr w:type="spellStart"/>
      <w:r w:rsidRPr="003054BE">
        <w:rPr>
          <w:rFonts w:ascii="Times New Roman" w:eastAsia="Times New Roman" w:hAnsi="Times New Roman" w:cs="Times New Roman"/>
          <w:sz w:val="24"/>
          <w:szCs w:val="24"/>
        </w:rPr>
        <w:t>Heleieth</w:t>
      </w:r>
      <w:proofErr w:type="spellEnd"/>
      <w:r w:rsidRPr="003054BE">
        <w:rPr>
          <w:rFonts w:ascii="Times New Roman" w:eastAsia="Times New Roman" w:hAnsi="Times New Roman" w:cs="Times New Roman"/>
          <w:sz w:val="24"/>
          <w:szCs w:val="24"/>
        </w:rPr>
        <w:t xml:space="preserve"> Iara </w:t>
      </w:r>
      <w:proofErr w:type="spellStart"/>
      <w:r w:rsidRPr="003054BE">
        <w:rPr>
          <w:rFonts w:ascii="Times New Roman" w:eastAsia="Times New Roman" w:hAnsi="Times New Roman" w:cs="Times New Roman"/>
          <w:sz w:val="24"/>
          <w:szCs w:val="24"/>
        </w:rPr>
        <w:t>Bongiovani</w:t>
      </w:r>
      <w:proofErr w:type="spellEnd"/>
      <w:r w:rsidRPr="003054B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054B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A mulher na sociedade de classes. </w:t>
      </w:r>
      <w:r w:rsidRPr="003054B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São Paulo: Expressão Popular, 2013.</w:t>
      </w:r>
    </w:p>
    <w:p w14:paraId="5F5A1F75" w14:textId="77777777" w:rsidR="004802E8" w:rsidRPr="003054BE" w:rsidRDefault="004802E8" w:rsidP="004802E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14:paraId="1F75A9C4" w14:textId="77777777" w:rsidR="004802E8" w:rsidRPr="003054BE" w:rsidRDefault="004802E8" w:rsidP="004802E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54BE">
        <w:rPr>
          <w:rFonts w:ascii="Times New Roman" w:eastAsia="Times New Roman" w:hAnsi="Times New Roman" w:cs="Times New Roman"/>
          <w:sz w:val="24"/>
          <w:szCs w:val="24"/>
        </w:rPr>
        <w:t xml:space="preserve">SAFFIOTI, </w:t>
      </w:r>
      <w:proofErr w:type="spellStart"/>
      <w:r w:rsidRPr="003054BE">
        <w:rPr>
          <w:rFonts w:ascii="Times New Roman" w:eastAsia="Times New Roman" w:hAnsi="Times New Roman" w:cs="Times New Roman"/>
          <w:sz w:val="24"/>
          <w:szCs w:val="24"/>
        </w:rPr>
        <w:t>Heleieth</w:t>
      </w:r>
      <w:proofErr w:type="spellEnd"/>
      <w:r w:rsidRPr="003054BE">
        <w:rPr>
          <w:rFonts w:ascii="Times New Roman" w:eastAsia="Times New Roman" w:hAnsi="Times New Roman" w:cs="Times New Roman"/>
          <w:sz w:val="24"/>
          <w:szCs w:val="24"/>
        </w:rPr>
        <w:t xml:space="preserve"> Iara </w:t>
      </w:r>
      <w:proofErr w:type="spellStart"/>
      <w:r w:rsidRPr="003054BE">
        <w:rPr>
          <w:rFonts w:ascii="Times New Roman" w:eastAsia="Times New Roman" w:hAnsi="Times New Roman" w:cs="Times New Roman"/>
          <w:sz w:val="24"/>
          <w:szCs w:val="24"/>
        </w:rPr>
        <w:t>Bongiovani</w:t>
      </w:r>
      <w:proofErr w:type="spellEnd"/>
      <w:r w:rsidRPr="003054B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054BE">
        <w:rPr>
          <w:rFonts w:ascii="Times New Roman" w:eastAsia="Times New Roman" w:hAnsi="Times New Roman" w:cs="Times New Roman"/>
          <w:b/>
          <w:bCs/>
          <w:sz w:val="24"/>
          <w:szCs w:val="24"/>
        </w:rPr>
        <w:t>Gênero, Patriarcado, Violência.</w:t>
      </w:r>
      <w:r w:rsidRPr="003054B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3054BE">
        <w:rPr>
          <w:rFonts w:ascii="Times New Roman" w:eastAsia="Times New Roman" w:hAnsi="Times New Roman" w:cs="Times New Roman"/>
          <w:sz w:val="24"/>
          <w:szCs w:val="24"/>
        </w:rPr>
        <w:t>São Paulo: Expressão Popular, 2004.</w:t>
      </w:r>
    </w:p>
    <w:p w14:paraId="7FFE8B02" w14:textId="77777777" w:rsidR="004802E8" w:rsidRPr="003054BE" w:rsidRDefault="004802E8" w:rsidP="004802E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27BE84" w14:textId="77777777" w:rsidR="004802E8" w:rsidRPr="003054BE" w:rsidRDefault="004802E8" w:rsidP="004802E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54BE">
        <w:rPr>
          <w:rFonts w:ascii="Times New Roman" w:eastAsia="Times New Roman" w:hAnsi="Times New Roman" w:cs="Times New Roman"/>
          <w:sz w:val="24"/>
          <w:szCs w:val="24"/>
        </w:rPr>
        <w:t xml:space="preserve">SAFFIOTI, </w:t>
      </w:r>
      <w:proofErr w:type="spellStart"/>
      <w:r w:rsidRPr="003054BE">
        <w:rPr>
          <w:rFonts w:ascii="Times New Roman" w:eastAsia="Times New Roman" w:hAnsi="Times New Roman" w:cs="Times New Roman"/>
          <w:sz w:val="24"/>
          <w:szCs w:val="24"/>
        </w:rPr>
        <w:t>Heleieth</w:t>
      </w:r>
      <w:proofErr w:type="spellEnd"/>
      <w:r w:rsidRPr="003054BE">
        <w:rPr>
          <w:rFonts w:ascii="Times New Roman" w:eastAsia="Times New Roman" w:hAnsi="Times New Roman" w:cs="Times New Roman"/>
          <w:sz w:val="24"/>
          <w:szCs w:val="24"/>
        </w:rPr>
        <w:t xml:space="preserve"> Iara </w:t>
      </w:r>
      <w:proofErr w:type="spellStart"/>
      <w:r w:rsidRPr="003054BE">
        <w:rPr>
          <w:rFonts w:ascii="Times New Roman" w:eastAsia="Times New Roman" w:hAnsi="Times New Roman" w:cs="Times New Roman"/>
          <w:sz w:val="24"/>
          <w:szCs w:val="24"/>
        </w:rPr>
        <w:t>Bongiovani</w:t>
      </w:r>
      <w:proofErr w:type="spellEnd"/>
      <w:r w:rsidRPr="003054BE">
        <w:rPr>
          <w:rFonts w:ascii="Times New Roman" w:hAnsi="Times New Roman" w:cs="Times New Roman"/>
          <w:bCs/>
          <w:sz w:val="24"/>
          <w:szCs w:val="24"/>
        </w:rPr>
        <w:t>.</w:t>
      </w:r>
      <w:r w:rsidRPr="003054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54BE">
        <w:rPr>
          <w:rFonts w:ascii="Times New Roman" w:eastAsia="Times New Roman" w:hAnsi="Times New Roman" w:cs="Times New Roman"/>
          <w:b/>
          <w:bCs/>
          <w:sz w:val="24"/>
          <w:szCs w:val="24"/>
        </w:rPr>
        <w:t>O poder do macho</w:t>
      </w:r>
      <w:r w:rsidRPr="003054BE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Pr="003054BE">
        <w:rPr>
          <w:rFonts w:ascii="Times New Roman" w:eastAsia="Times New Roman" w:hAnsi="Times New Roman" w:cs="Times New Roman"/>
          <w:sz w:val="24"/>
          <w:szCs w:val="24"/>
        </w:rPr>
        <w:t xml:space="preserve"> São Paulo: Moderna, 2001.</w:t>
      </w:r>
    </w:p>
    <w:p w14:paraId="06C4B249" w14:textId="77777777" w:rsidR="004802E8" w:rsidRPr="003054BE" w:rsidRDefault="004802E8" w:rsidP="004802E8">
      <w:pPr>
        <w:pStyle w:val="Corpodetexto"/>
        <w:spacing w:line="240" w:lineRule="auto"/>
        <w:ind w:rightChars="-24" w:right="-53"/>
        <w:jc w:val="both"/>
        <w:rPr>
          <w:lang w:val="pt-BR"/>
        </w:rPr>
      </w:pPr>
    </w:p>
    <w:p w14:paraId="5E8508F2" w14:textId="5D2C70B1" w:rsidR="004802E8" w:rsidRPr="003054BE" w:rsidRDefault="004802E8" w:rsidP="004802E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054BE">
        <w:rPr>
          <w:rFonts w:ascii="Times New Roman" w:eastAsia="Times New Roman" w:hAnsi="Times New Roman" w:cs="Times New Roman"/>
          <w:bCs/>
          <w:sz w:val="24"/>
          <w:szCs w:val="24"/>
        </w:rPr>
        <w:t xml:space="preserve">SÃO PAULO, Arquidiocese de. </w:t>
      </w:r>
      <w:r w:rsidRPr="003054BE">
        <w:rPr>
          <w:rFonts w:ascii="Times New Roman" w:eastAsia="Times New Roman" w:hAnsi="Times New Roman" w:cs="Times New Roman"/>
          <w:b/>
          <w:sz w:val="24"/>
          <w:szCs w:val="24"/>
        </w:rPr>
        <w:t>Brasil: Nunca Mais.</w:t>
      </w:r>
      <w:r w:rsidRPr="003054BE">
        <w:rPr>
          <w:rFonts w:ascii="Times New Roman" w:eastAsia="Times New Roman" w:hAnsi="Times New Roman" w:cs="Times New Roman"/>
          <w:bCs/>
          <w:sz w:val="24"/>
          <w:szCs w:val="24"/>
        </w:rPr>
        <w:t xml:space="preserve"> 2ª ed. Petrópolis: Vozes, 1985.</w:t>
      </w:r>
      <w:bookmarkEnd w:id="1"/>
    </w:p>
    <w:sectPr w:rsidR="004802E8" w:rsidRPr="003054B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3054BE"/>
    <w:rsid w:val="00342DF4"/>
    <w:rsid w:val="003B3E13"/>
    <w:rsid w:val="004802E8"/>
    <w:rsid w:val="00660186"/>
    <w:rsid w:val="0066160A"/>
    <w:rsid w:val="00750A4B"/>
    <w:rsid w:val="00773D54"/>
    <w:rsid w:val="00941F25"/>
    <w:rsid w:val="009B4014"/>
    <w:rsid w:val="00BD0C00"/>
    <w:rsid w:val="00CC6D4D"/>
    <w:rsid w:val="00DC79A8"/>
    <w:rsid w:val="00E02573"/>
    <w:rsid w:val="00E64BAF"/>
    <w:rsid w:val="00F10E6A"/>
    <w:rsid w:val="00FA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35498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4802E8"/>
    <w:pPr>
      <w:widowControl w:val="0"/>
      <w:autoSpaceDE w:val="0"/>
      <w:autoSpaceDN w:val="0"/>
      <w:spacing w:after="0" w:line="276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4802E8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Hyperlink">
    <w:name w:val="Hyperlink"/>
    <w:basedOn w:val="Fontepargpadro"/>
    <w:uiPriority w:val="99"/>
    <w:qFormat/>
    <w:rsid w:val="004802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v.br/memoriasreveladas/pt-br/assuntos/comissoes-da-verdade/cnv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871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Stephanie Oliveira Afonso</cp:lastModifiedBy>
  <cp:revision>3</cp:revision>
  <dcterms:created xsi:type="dcterms:W3CDTF">2025-10-05T00:09:00Z</dcterms:created>
  <dcterms:modified xsi:type="dcterms:W3CDTF">2025-10-05T21:57:00Z</dcterms:modified>
</cp:coreProperties>
</file>