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0D7E7" w14:textId="77777777" w:rsidR="008D6EBB" w:rsidRDefault="008D6EBB">
      <w:pPr>
        <w:spacing w:line="360" w:lineRule="auto"/>
        <w:rPr>
          <w:sz w:val="24"/>
          <w:szCs w:val="24"/>
        </w:rPr>
      </w:pPr>
    </w:p>
    <w:p w14:paraId="2B67923C" w14:textId="77777777" w:rsidR="008D6EBB" w:rsidRDefault="008D6EBB">
      <w:pPr>
        <w:spacing w:line="360" w:lineRule="auto"/>
        <w:rPr>
          <w:sz w:val="24"/>
          <w:szCs w:val="24"/>
        </w:rPr>
      </w:pPr>
    </w:p>
    <w:p w14:paraId="3F61CF0E" w14:textId="77777777" w:rsidR="008D6EBB" w:rsidRDefault="008D6EBB">
      <w:pPr>
        <w:spacing w:line="360" w:lineRule="auto"/>
        <w:rPr>
          <w:sz w:val="24"/>
          <w:szCs w:val="24"/>
        </w:rPr>
      </w:pPr>
    </w:p>
    <w:p w14:paraId="26511BF6" w14:textId="77777777" w:rsidR="008D6EBB" w:rsidRDefault="00000000">
      <w:pPr>
        <w:spacing w:line="360" w:lineRule="auto"/>
        <w:jc w:val="center"/>
        <w:rPr>
          <w:sz w:val="24"/>
          <w:szCs w:val="24"/>
        </w:rPr>
      </w:pPr>
      <w:r>
        <w:rPr>
          <w:b/>
          <w:bCs/>
          <w:sz w:val="24"/>
          <w:szCs w:val="24"/>
        </w:rPr>
        <w:t>MEDIDAS DE BIOSSEGURANÇA NA VACINAÇÃO DE REBANHOS</w:t>
      </w:r>
    </w:p>
    <w:p w14:paraId="10AA77F9" w14:textId="77777777" w:rsidR="008D6EBB" w:rsidRDefault="008D6EBB">
      <w:pPr>
        <w:spacing w:line="360" w:lineRule="auto"/>
        <w:rPr>
          <w:sz w:val="24"/>
          <w:szCs w:val="24"/>
        </w:rPr>
      </w:pPr>
    </w:p>
    <w:p w14:paraId="76C9497F" w14:textId="77777777" w:rsidR="008D6EBB" w:rsidRDefault="00000000">
      <w:pPr>
        <w:spacing w:line="360" w:lineRule="auto"/>
        <w:jc w:val="right"/>
        <w:rPr>
          <w:sz w:val="24"/>
          <w:szCs w:val="24"/>
        </w:rPr>
      </w:pPr>
      <w:proofErr w:type="spellStart"/>
      <w:r>
        <w:rPr>
          <w:sz w:val="24"/>
          <w:szCs w:val="24"/>
        </w:rPr>
        <w:t>Nayane</w:t>
      </w:r>
      <w:proofErr w:type="spellEnd"/>
      <w:r>
        <w:rPr>
          <w:sz w:val="24"/>
          <w:szCs w:val="24"/>
        </w:rPr>
        <w:t xml:space="preserve"> </w:t>
      </w:r>
      <w:proofErr w:type="spellStart"/>
      <w:r>
        <w:rPr>
          <w:sz w:val="24"/>
          <w:szCs w:val="24"/>
        </w:rPr>
        <w:t>Nayra</w:t>
      </w:r>
      <w:proofErr w:type="spellEnd"/>
      <w:r>
        <w:rPr>
          <w:sz w:val="24"/>
          <w:szCs w:val="24"/>
        </w:rPr>
        <w:t xml:space="preserve"> de Araújo Costa</w:t>
      </w:r>
      <w:r>
        <w:rPr>
          <w:vertAlign w:val="superscript"/>
        </w:rPr>
        <w:footnoteReference w:id="1"/>
      </w:r>
    </w:p>
    <w:p w14:paraId="23157643" w14:textId="77777777" w:rsidR="008D6EBB" w:rsidRDefault="00000000">
      <w:pPr>
        <w:spacing w:line="360" w:lineRule="auto"/>
        <w:jc w:val="right"/>
        <w:rPr>
          <w:sz w:val="24"/>
          <w:szCs w:val="24"/>
        </w:rPr>
      </w:pPr>
      <w:r>
        <w:rPr>
          <w:sz w:val="24"/>
          <w:szCs w:val="24"/>
        </w:rPr>
        <w:t>Carlos Eduardo Cruz Lustosa</w:t>
      </w:r>
      <w:r>
        <w:rPr>
          <w:vertAlign w:val="superscript"/>
        </w:rPr>
        <w:footnoteReference w:id="2"/>
      </w:r>
    </w:p>
    <w:p w14:paraId="0966BC30" w14:textId="77777777" w:rsidR="008D6EBB" w:rsidRDefault="00000000">
      <w:pPr>
        <w:spacing w:line="360" w:lineRule="auto"/>
        <w:jc w:val="right"/>
        <w:rPr>
          <w:sz w:val="24"/>
          <w:szCs w:val="24"/>
        </w:rPr>
      </w:pPr>
      <w:r>
        <w:rPr>
          <w:sz w:val="24"/>
          <w:szCs w:val="24"/>
        </w:rPr>
        <w:t>Giovanna de Andrade Moreira</w:t>
      </w:r>
      <w:r>
        <w:rPr>
          <w:vertAlign w:val="superscript"/>
        </w:rPr>
        <w:footnoteReference w:id="3"/>
      </w:r>
    </w:p>
    <w:p w14:paraId="454E3ABB" w14:textId="77777777" w:rsidR="008D6EBB" w:rsidRDefault="00000000">
      <w:pPr>
        <w:spacing w:line="360" w:lineRule="auto"/>
        <w:jc w:val="right"/>
        <w:rPr>
          <w:sz w:val="24"/>
          <w:szCs w:val="24"/>
        </w:rPr>
      </w:pPr>
      <w:r>
        <w:rPr>
          <w:sz w:val="24"/>
          <w:szCs w:val="24"/>
        </w:rPr>
        <w:t>Paloma Medeiros Ferreira</w:t>
      </w:r>
      <w:r>
        <w:rPr>
          <w:vertAlign w:val="superscript"/>
        </w:rPr>
        <w:footnoteReference w:id="4"/>
      </w:r>
    </w:p>
    <w:p w14:paraId="652FE1BC" w14:textId="77777777" w:rsidR="008D6EBB" w:rsidRDefault="008D6EBB">
      <w:pPr>
        <w:spacing w:line="360" w:lineRule="auto"/>
        <w:rPr>
          <w:sz w:val="24"/>
          <w:szCs w:val="24"/>
        </w:rPr>
      </w:pPr>
    </w:p>
    <w:p w14:paraId="78F3E646" w14:textId="77777777" w:rsidR="008D6EBB" w:rsidRDefault="00000000">
      <w:pPr>
        <w:spacing w:line="360" w:lineRule="auto"/>
        <w:jc w:val="center"/>
        <w:rPr>
          <w:sz w:val="24"/>
          <w:szCs w:val="24"/>
        </w:rPr>
      </w:pPr>
      <w:r>
        <w:rPr>
          <w:b/>
          <w:bCs/>
          <w:sz w:val="24"/>
          <w:szCs w:val="24"/>
        </w:rPr>
        <w:t>RESUMO</w:t>
      </w:r>
    </w:p>
    <w:p w14:paraId="3FD60ABC" w14:textId="77777777" w:rsidR="008D6EBB" w:rsidRDefault="00000000">
      <w:pPr>
        <w:spacing w:line="360" w:lineRule="auto"/>
        <w:jc w:val="both"/>
        <w:rPr>
          <w:sz w:val="24"/>
          <w:szCs w:val="24"/>
        </w:rPr>
      </w:pPr>
      <w:r>
        <w:rPr>
          <w:sz w:val="24"/>
          <w:szCs w:val="24"/>
        </w:rPr>
        <w:t xml:space="preserve">A vacinação figura entre as principais ferramentas de prevenção sanitária na pecuária, contribuindo para reduzir a circulação de agentes patogênicos e preservar o desempenho produtivo dos rebanhos. Sua eficácia, contudo, depende da observância de medidas de biossegurança que envolvem o planejamento do calendário vacinal, a conservação e o transporte dos imunobiológicos, a técnica de contenção e aplicação, o controle do fluxo de animais na propriedade e a proteção individual dos profissionais responsáveis pelo procedimento. Este trabalho teve como objetivo analisar, por meio de revisão narrativa da literatura, as principais medidas de biossegurança recomendadas para a vacinação de bovinos, caprinos e ovinos, considerando a proteção sanitária dos animais e a segurança ocupacional dos vacinadores. Foram consultadas publicações técnico-científicas nacionais e internacionais, manuais institucionais e normativas oficiais de programas sanitários brasileiros. Os resultados indicam que falhas na cadeia de frio, na contenção dos animais, no controle sanitário de entrada de novos animais e no uso de equipamentos de proteção individual comprometem a resposta imunológica esperada e ampliam o risco de acidentes, inclusive de natureza zoonótica. Conclui-se que a biossegurança deve ser parte integrante, e não complementar, dos protocolos de </w:t>
      </w:r>
      <w:r>
        <w:rPr>
          <w:sz w:val="24"/>
          <w:szCs w:val="24"/>
        </w:rPr>
        <w:lastRenderedPageBreak/>
        <w:t>imunização de rebanhos, exigindo planejamento técnico, capacitação continuada e responsabilidade médico-veterinária em todas as etapas do processo.</w:t>
      </w:r>
    </w:p>
    <w:p w14:paraId="11669927" w14:textId="77777777" w:rsidR="008D6EBB" w:rsidRDefault="008D6EBB">
      <w:pPr>
        <w:spacing w:line="360" w:lineRule="auto"/>
        <w:rPr>
          <w:sz w:val="24"/>
          <w:szCs w:val="24"/>
        </w:rPr>
      </w:pPr>
    </w:p>
    <w:p w14:paraId="280E3241" w14:textId="77777777" w:rsidR="008D6EBB" w:rsidRDefault="00000000">
      <w:pPr>
        <w:spacing w:line="360" w:lineRule="auto"/>
        <w:jc w:val="both"/>
        <w:rPr>
          <w:sz w:val="24"/>
          <w:szCs w:val="24"/>
        </w:rPr>
      </w:pPr>
      <w:r>
        <w:rPr>
          <w:b/>
          <w:bCs/>
          <w:sz w:val="24"/>
          <w:szCs w:val="24"/>
        </w:rPr>
        <w:t xml:space="preserve">Palavras-chave: </w:t>
      </w:r>
      <w:r>
        <w:rPr>
          <w:sz w:val="24"/>
          <w:szCs w:val="24"/>
        </w:rPr>
        <w:t>Biossegurança. Vacinação. Rebanhos. Sanidade animal. Imunoprofilaxia.</w:t>
      </w:r>
    </w:p>
    <w:p w14:paraId="43AAAD39" w14:textId="77777777" w:rsidR="008D6EBB" w:rsidRDefault="008D6EBB">
      <w:pPr>
        <w:spacing w:line="360" w:lineRule="auto"/>
        <w:rPr>
          <w:sz w:val="24"/>
          <w:szCs w:val="24"/>
        </w:rPr>
      </w:pPr>
    </w:p>
    <w:p w14:paraId="05C433BC" w14:textId="77777777" w:rsidR="008D6EBB" w:rsidRDefault="00000000">
      <w:pPr>
        <w:spacing w:line="360" w:lineRule="auto"/>
        <w:rPr>
          <w:sz w:val="24"/>
          <w:szCs w:val="24"/>
        </w:rPr>
      </w:pPr>
      <w:r>
        <w:rPr>
          <w:b/>
          <w:bCs/>
          <w:sz w:val="24"/>
          <w:szCs w:val="24"/>
        </w:rPr>
        <w:t>1 INTRODUÇÃO</w:t>
      </w:r>
    </w:p>
    <w:p w14:paraId="53016679" w14:textId="77777777" w:rsidR="008D6EBB" w:rsidRDefault="00000000">
      <w:pPr>
        <w:spacing w:line="360" w:lineRule="auto"/>
        <w:ind w:firstLine="709"/>
        <w:jc w:val="both"/>
        <w:rPr>
          <w:sz w:val="24"/>
          <w:szCs w:val="24"/>
        </w:rPr>
      </w:pPr>
      <w:r>
        <w:rPr>
          <w:sz w:val="24"/>
          <w:szCs w:val="24"/>
        </w:rPr>
        <w:t>A criação de bovinos, caprinos e ovinos no Brasil convive de forma permanente com o desafio de manter a sanidade dos rebanhos diante da circulação de agentes infecciosos que comprometem a produtividade e, em muitos casos, geram perdas econômicas irreversíveis para o produtor (Henrique, 2020). Nesse cenário, a vacinação se consolidou como uma das estratégias centrais de prevenção, por reduzir a probabilidade de transmissão de doenças e diminuir a circulação de patógenos dentro da propriedade (Henrique, 2020). Ainda assim, um programa vacinal tecnicamente correto não garante, por si só, a proteção do rebanho: sua eficácia está condicionada à forma como o imunobiológico é conservado, transportado, manipulado e aplicado, bem como às demais práticas de biossegurança adotadas na propriedade (Franco et al., 2021).</w:t>
      </w:r>
    </w:p>
    <w:p w14:paraId="77C50C1E" w14:textId="77777777" w:rsidR="008D6EBB" w:rsidRDefault="00000000">
      <w:pPr>
        <w:spacing w:line="360" w:lineRule="auto"/>
        <w:ind w:firstLine="709"/>
        <w:jc w:val="both"/>
        <w:rPr>
          <w:sz w:val="24"/>
          <w:szCs w:val="24"/>
        </w:rPr>
      </w:pPr>
      <w:r>
        <w:rPr>
          <w:sz w:val="24"/>
          <w:szCs w:val="24"/>
        </w:rPr>
        <w:t xml:space="preserve">A biosseguridade, entendida como o conjunto de práticas voltadas à prevenção da introdução e da disseminação de agentes patogênicos, é reconhecida como um dos pilares da produção animal sustentável, e os protocolos de vacinação integram diretamente esse conjunto de medidas (Franco et al., 2021). Estudos conduzidos em fazendas leiteiras do sul do Brasil identificaram lacunas relevantes na adoção de práticas básicas de biossegurança, o que reforça a necessidade de discussão técnica sobre o tema no contexto nacional (Ferreira et al., 2024). De modo semelhante, levantamentos internacionais realizados em sistemas de produção de pequena escala apontam relação direta entre a adoção de medidas de biossegurança e a redução de indicadores de risco sanitário nos rebanhos (Zanon; </w:t>
      </w:r>
      <w:proofErr w:type="spellStart"/>
      <w:r>
        <w:rPr>
          <w:sz w:val="24"/>
          <w:szCs w:val="24"/>
        </w:rPr>
        <w:t>Alrhmoun</w:t>
      </w:r>
      <w:proofErr w:type="spellEnd"/>
      <w:r>
        <w:rPr>
          <w:sz w:val="24"/>
          <w:szCs w:val="24"/>
        </w:rPr>
        <w:t xml:space="preserve">; </w:t>
      </w:r>
      <w:proofErr w:type="spellStart"/>
      <w:r>
        <w:rPr>
          <w:sz w:val="24"/>
          <w:szCs w:val="24"/>
        </w:rPr>
        <w:t>Gauly</w:t>
      </w:r>
      <w:proofErr w:type="spellEnd"/>
      <w:r>
        <w:rPr>
          <w:sz w:val="24"/>
          <w:szCs w:val="24"/>
        </w:rPr>
        <w:t>, 2024).</w:t>
      </w:r>
    </w:p>
    <w:p w14:paraId="5D6EC4C5" w14:textId="77777777" w:rsidR="008D6EBB" w:rsidRDefault="00000000">
      <w:pPr>
        <w:spacing w:line="360" w:lineRule="auto"/>
        <w:ind w:firstLine="709"/>
        <w:jc w:val="both"/>
        <w:rPr>
          <w:sz w:val="24"/>
          <w:szCs w:val="24"/>
        </w:rPr>
      </w:pPr>
      <w:r>
        <w:rPr>
          <w:sz w:val="24"/>
          <w:szCs w:val="24"/>
        </w:rPr>
        <w:t xml:space="preserve">No contexto brasileiro, programas oficiais de controle sanitário, como o Programa Nacional de Controle e Erradicação da Brucelose e da Tuberculose Animal (PNCEBT), tornam obrigatória a vacinação de fêmeas bovinas e bubalinas contra a brucelose, sob responsabilidade técnica de médico-veterinário devidamente cadastrado (IMA, 2026). Essa exigência normativa evidencia que a vacinação de rebanhos não pode ser tratada como um procedimento isolado e </w:t>
      </w:r>
      <w:r>
        <w:rPr>
          <w:sz w:val="24"/>
          <w:szCs w:val="24"/>
        </w:rPr>
        <w:lastRenderedPageBreak/>
        <w:t>meramente técnico, mas como uma atividade que exige planejamento, registro e supervisão profissional contínua, sobretudo quando envolve o uso de amostras vacinais vivas e atenuadas, potencialmente patogênicas também para o ser humano (IMA, 2026). Diante desse cenário, justifica-se a discussão sobre as medidas de biossegurança aplicáveis à vacinação de rebanhos, de modo a subsidiar a prática clínica de médicos-veterinários e a orientação técnica de produtores rurais.</w:t>
      </w:r>
    </w:p>
    <w:p w14:paraId="7D7FACBA" w14:textId="77777777" w:rsidR="008D6EBB" w:rsidRDefault="00000000">
      <w:pPr>
        <w:spacing w:line="360" w:lineRule="auto"/>
        <w:rPr>
          <w:sz w:val="24"/>
          <w:szCs w:val="24"/>
        </w:rPr>
      </w:pPr>
      <w:r>
        <w:rPr>
          <w:b/>
          <w:bCs/>
          <w:sz w:val="24"/>
          <w:szCs w:val="24"/>
        </w:rPr>
        <w:t>2 OBJETIVOS</w:t>
      </w:r>
    </w:p>
    <w:p w14:paraId="261262BE" w14:textId="77777777" w:rsidR="008D6EBB" w:rsidRDefault="00000000">
      <w:pPr>
        <w:spacing w:line="360" w:lineRule="auto"/>
        <w:ind w:firstLine="709"/>
        <w:jc w:val="both"/>
        <w:rPr>
          <w:sz w:val="24"/>
          <w:szCs w:val="24"/>
        </w:rPr>
      </w:pPr>
      <w:r>
        <w:rPr>
          <w:sz w:val="24"/>
          <w:szCs w:val="24"/>
        </w:rPr>
        <w:t>Analisar as principais medidas de biossegurança recomendadas para a vacinação de rebanhos, com ênfase em bovinos, caprinos e ovinos, considerando a proteção sanitária dos animais e a segurança ocupacional dos profissionais envolvidos no procedimento.</w:t>
      </w:r>
    </w:p>
    <w:p w14:paraId="2A62E093" w14:textId="77777777" w:rsidR="008D6EBB" w:rsidRDefault="00000000">
      <w:pPr>
        <w:spacing w:line="360" w:lineRule="auto"/>
        <w:ind w:firstLine="709"/>
        <w:jc w:val="both"/>
        <w:rPr>
          <w:sz w:val="24"/>
          <w:szCs w:val="24"/>
        </w:rPr>
      </w:pPr>
      <w:r>
        <w:rPr>
          <w:sz w:val="24"/>
          <w:szCs w:val="24"/>
        </w:rPr>
        <w:t>De forma específica, buscou-se: descrever as etapas do planejamento sanitário e da elaboração do calendário vacinal; caracterizar as boas práticas de conservação, transporte e aplicação dos imunobiológicos; discutir os riscos ocupacionais associados ao manuseio de vacinas vivas, com destaque para a vacinação contra a brucelose; e apontar recomendações de biossegurança voltadas ao controle do fluxo de animais e à rastreabilidade dos procedimentos vacinais.</w:t>
      </w:r>
    </w:p>
    <w:p w14:paraId="2E4E412B" w14:textId="77777777" w:rsidR="008D6EBB" w:rsidRDefault="00000000">
      <w:pPr>
        <w:spacing w:line="360" w:lineRule="auto"/>
        <w:rPr>
          <w:sz w:val="24"/>
          <w:szCs w:val="24"/>
        </w:rPr>
      </w:pPr>
      <w:r>
        <w:rPr>
          <w:b/>
          <w:bCs/>
          <w:sz w:val="24"/>
          <w:szCs w:val="24"/>
        </w:rPr>
        <w:t>3 MÉTODO</w:t>
      </w:r>
    </w:p>
    <w:p w14:paraId="0B26D954" w14:textId="77777777" w:rsidR="008D6EBB" w:rsidRDefault="00000000">
      <w:pPr>
        <w:spacing w:line="360" w:lineRule="auto"/>
        <w:ind w:firstLine="709"/>
        <w:jc w:val="both"/>
        <w:rPr>
          <w:sz w:val="24"/>
          <w:szCs w:val="24"/>
        </w:rPr>
      </w:pPr>
      <w:r>
        <w:rPr>
          <w:sz w:val="24"/>
          <w:szCs w:val="24"/>
        </w:rPr>
        <w:t xml:space="preserve">Trata-se de um estudo de revisão narrativa da literatura, de caráter descritivo, elaborado a partir do levantamento de publicações técnico-científicas, manuais institucionais e normativas oficiais relacionadas à biossegurança e à vacinação de rebanhos. A busca foi realizada entre julho e agosto de 2026, em bases de dados e repositórios de acesso aberto, incluindo </w:t>
      </w:r>
      <w:proofErr w:type="spellStart"/>
      <w:r>
        <w:rPr>
          <w:sz w:val="24"/>
          <w:szCs w:val="24"/>
        </w:rPr>
        <w:t>Scientific</w:t>
      </w:r>
      <w:proofErr w:type="spellEnd"/>
      <w:r>
        <w:rPr>
          <w:sz w:val="24"/>
          <w:szCs w:val="24"/>
        </w:rPr>
        <w:t xml:space="preserve"> </w:t>
      </w:r>
      <w:proofErr w:type="spellStart"/>
      <w:r>
        <w:rPr>
          <w:sz w:val="24"/>
          <w:szCs w:val="24"/>
        </w:rPr>
        <w:t>Electronic</w:t>
      </w:r>
      <w:proofErr w:type="spellEnd"/>
      <w:r>
        <w:rPr>
          <w:sz w:val="24"/>
          <w:szCs w:val="24"/>
        </w:rPr>
        <w:t xml:space="preserve"> Library Online (SciELO), </w:t>
      </w:r>
      <w:proofErr w:type="spellStart"/>
      <w:r>
        <w:rPr>
          <w:sz w:val="24"/>
          <w:szCs w:val="24"/>
        </w:rPr>
        <w:t>PubVet</w:t>
      </w:r>
      <w:proofErr w:type="spellEnd"/>
      <w:r>
        <w:rPr>
          <w:sz w:val="24"/>
          <w:szCs w:val="24"/>
        </w:rPr>
        <w:t xml:space="preserve">, Google Acadêmico e portais institucionais de órgãos oficiais de defesa agropecuária, utilizando os descritores "biossegurança", "vacinação", "rebanhos", "bovinocultura" e "brucelose", combinados por meio do operador booleano "AND". Foram priorizadas publicações dos últimos dez anos, admitindo-se a inclusão de manuais técnicos de referência anteriores a esse período em razão de sua relevância normativa e da ausência de atualização substancial de seu conteúdo. Foram incluídos artigos científicos, manuais técnicos, notas técnicas institucionais e documentos normativos disponíveis na íntegra e redigidos em português, inglês ou espanhol. Excluíram-se materiais sem indicação clara de autoria institucional ou científica e publicações de caráter exclusivamente comercial. A busca </w:t>
      </w:r>
      <w:r>
        <w:rPr>
          <w:sz w:val="24"/>
          <w:szCs w:val="24"/>
        </w:rPr>
        <w:lastRenderedPageBreak/>
        <w:t>inicial retornou aproximadamente 40 registros; após a leitura de títulos e resumos e a aplicação dos critérios de inclusão e exclusão, 12 documentos foram selecionados para compor a base bibliográfica deste estudo. Os dados foram organizados de forma temática, permitindo a discussão integrada dos achados nas seções seguintes.</w:t>
      </w:r>
    </w:p>
    <w:p w14:paraId="6C6C22A9" w14:textId="77777777" w:rsidR="008D6EBB" w:rsidRDefault="00000000">
      <w:pPr>
        <w:spacing w:line="360" w:lineRule="auto"/>
        <w:rPr>
          <w:sz w:val="24"/>
          <w:szCs w:val="24"/>
        </w:rPr>
      </w:pPr>
      <w:r>
        <w:rPr>
          <w:b/>
          <w:bCs/>
          <w:sz w:val="24"/>
          <w:szCs w:val="24"/>
        </w:rPr>
        <w:t>4 RESULTADOS E DISCUSSÃO</w:t>
      </w:r>
    </w:p>
    <w:p w14:paraId="0B7AA19D" w14:textId="77777777" w:rsidR="008D6EBB" w:rsidRDefault="00000000">
      <w:pPr>
        <w:spacing w:line="360" w:lineRule="auto"/>
        <w:rPr>
          <w:sz w:val="24"/>
          <w:szCs w:val="24"/>
        </w:rPr>
      </w:pPr>
      <w:r>
        <w:rPr>
          <w:b/>
          <w:bCs/>
          <w:sz w:val="24"/>
          <w:szCs w:val="24"/>
        </w:rPr>
        <w:t>4.1 Planejamento sanitário e elaboração do calendário vacinal</w:t>
      </w:r>
    </w:p>
    <w:p w14:paraId="7A96AD05" w14:textId="77777777" w:rsidR="008D6EBB" w:rsidRDefault="00000000">
      <w:pPr>
        <w:spacing w:line="360" w:lineRule="auto"/>
        <w:ind w:firstLine="709"/>
        <w:jc w:val="both"/>
        <w:rPr>
          <w:sz w:val="24"/>
          <w:szCs w:val="24"/>
        </w:rPr>
      </w:pPr>
      <w:r>
        <w:rPr>
          <w:sz w:val="24"/>
          <w:szCs w:val="24"/>
        </w:rPr>
        <w:t>O primeiro passo para uma vacinação segura e eficaz é o planejamento sanitário da propriedade, materializado na elaboração de um calendário de vacinação que defina os imunobiológicos a serem utilizados, as categorias animais contempladas e a época mais adequada para a aplicação de cada dose. Recomenda-se que esse calendário seja construído em conjunto pelo médico-veterinário responsável pelo rebanho, pelo gerente da propriedade e pelo proprietário, de modo que todos os envolvidos estejam cientes das necessidades vacinais do plantel. As vacinas de aplicação obrigatória, como as previstas nos programas oficiais de sanidade animal, devem compor o núcleo inicial desse planejamento, sendo complementadas por vacinas facultativas conforme o perfil epidemiológico regional e o histórico sanitário do rebanho. Modelos de calendário sanitário voltados especificamente à bovinocultura de corte já foram sistematizados na literatura técnica, reunindo protocolos de vacinação, controle parasitário e boas práticas de manejo adaptados às diferentes categorias e fases de criação (Freitas et al., 2023).</w:t>
      </w:r>
    </w:p>
    <w:p w14:paraId="0178805F" w14:textId="77777777" w:rsidR="008D6EBB" w:rsidRDefault="00000000">
      <w:pPr>
        <w:spacing w:line="360" w:lineRule="auto"/>
        <w:ind w:firstLine="709"/>
        <w:jc w:val="both"/>
        <w:rPr>
          <w:sz w:val="24"/>
          <w:szCs w:val="24"/>
        </w:rPr>
      </w:pPr>
      <w:r>
        <w:rPr>
          <w:sz w:val="24"/>
          <w:szCs w:val="24"/>
        </w:rPr>
        <w:t>A ausência de um calendário formalizado é apontada como um dos principais fatores associados à desuniformidade da imunidade de rebanho, o que favorece a manutenção e a disseminação de agentes infecciosos em propriedades com fluxo constante de entrada de animais suscetíveis (IDAF, 2024). Nesse sentido, o planejamento vacinal não deve ser compreendido como uma decisão isolada do produtor, mas como parte de um sistema mais amplo de vigilância sanitária, que inclui a identificação de fatores de risco relacionados ao perfil pecuário da propriedade, como a aquisição frequente de animais de origem diversa (IDAF, 2024).</w:t>
      </w:r>
    </w:p>
    <w:p w14:paraId="06E17131" w14:textId="77777777" w:rsidR="008D6EBB" w:rsidRDefault="00000000">
      <w:pPr>
        <w:spacing w:line="360" w:lineRule="auto"/>
        <w:rPr>
          <w:sz w:val="24"/>
          <w:szCs w:val="24"/>
        </w:rPr>
      </w:pPr>
      <w:r>
        <w:rPr>
          <w:b/>
          <w:bCs/>
          <w:sz w:val="24"/>
          <w:szCs w:val="24"/>
        </w:rPr>
        <w:t>4.2 Conservação e cadeia de frio dos imunobiológicos</w:t>
      </w:r>
    </w:p>
    <w:p w14:paraId="11C00C84" w14:textId="77777777" w:rsidR="008D6EBB" w:rsidRDefault="00000000">
      <w:pPr>
        <w:spacing w:line="360" w:lineRule="auto"/>
        <w:ind w:firstLine="709"/>
        <w:jc w:val="both"/>
        <w:rPr>
          <w:sz w:val="24"/>
          <w:szCs w:val="24"/>
        </w:rPr>
      </w:pPr>
      <w:r>
        <w:rPr>
          <w:sz w:val="24"/>
          <w:szCs w:val="24"/>
        </w:rPr>
        <w:t xml:space="preserve">Os imunobiológicos utilizados na vacinação de rebanhos são produtos termolábeis, cuja eficácia depende da manutenção de temperatura controlada desde a fabricação até o momento </w:t>
      </w:r>
      <w:r>
        <w:rPr>
          <w:sz w:val="24"/>
          <w:szCs w:val="24"/>
        </w:rPr>
        <w:lastRenderedPageBreak/>
        <w:t>da aplicação, processo conhecido como cadeia de frio. Recomenda-se que a conservação das vacinas em refrigerador seja mantida entre 2°C e 8°C, sem congelamento, e que a temperatura seja verificada regularmente por meio de termômetros validados (Gaspar; Minho; Santos, 2015). A ruptura da cadeia de frio, seja por exposição a temperaturas elevadas, seja por congelamento acidental, pode inativar o antígeno vacinal e comprometer a resposta imune esperada, mesmo quando a técnica de aplicação é executada corretamente.</w:t>
      </w:r>
    </w:p>
    <w:p w14:paraId="0FACED46" w14:textId="77777777" w:rsidR="008D6EBB" w:rsidRDefault="00000000">
      <w:pPr>
        <w:spacing w:line="360" w:lineRule="auto"/>
        <w:ind w:firstLine="709"/>
        <w:jc w:val="both"/>
        <w:rPr>
          <w:sz w:val="24"/>
          <w:szCs w:val="24"/>
        </w:rPr>
      </w:pPr>
      <w:r>
        <w:rPr>
          <w:sz w:val="24"/>
          <w:szCs w:val="24"/>
        </w:rPr>
        <w:t>No transporte até a propriedade rural, o uso de caixas térmicas isotérmicas, com acompanhamento da temperatura interna por meio de termômetro, constitui prática indispensável, sobretudo em regiões de clima quente e em atendimentos que envolvem deslocamento entre propriedades. Outro cuidado técnico relevante refere-se à esterilização do material de aplicação: seringas e agulhas devem ser esterilizadas por fervura, sendo vedado o uso de desinfetantes químicos, cujos resíduos podem inativar o produto biológico (Gaspar; Minho; Santos, 2015). Recomenda-se, ainda, que o frasco seja agitado a cada reabastecimento da seringa e que diferentes produtos não sejam combinados na mesma aplicação, salvo indicação expressa do fabricante (Gaspar; Minho; Santos, 2015).</w:t>
      </w:r>
    </w:p>
    <w:p w14:paraId="781752EE" w14:textId="77777777" w:rsidR="008D6EBB" w:rsidRDefault="00000000">
      <w:pPr>
        <w:spacing w:line="360" w:lineRule="auto"/>
        <w:rPr>
          <w:sz w:val="24"/>
          <w:szCs w:val="24"/>
        </w:rPr>
      </w:pPr>
      <w:r>
        <w:rPr>
          <w:b/>
          <w:bCs/>
          <w:sz w:val="24"/>
          <w:szCs w:val="24"/>
        </w:rPr>
        <w:t>4.3 Contenção dos animais e técnica de aplicação</w:t>
      </w:r>
    </w:p>
    <w:p w14:paraId="31D57B5F" w14:textId="77777777" w:rsidR="008D6EBB" w:rsidRDefault="00000000">
      <w:pPr>
        <w:spacing w:line="360" w:lineRule="auto"/>
        <w:ind w:firstLine="709"/>
        <w:jc w:val="both"/>
        <w:rPr>
          <w:sz w:val="24"/>
          <w:szCs w:val="24"/>
        </w:rPr>
      </w:pPr>
      <w:r>
        <w:rPr>
          <w:sz w:val="24"/>
          <w:szCs w:val="24"/>
        </w:rPr>
        <w:t>A contenção adequada dos animais durante a vacinação reduz o risco de acidentes tanto para o rebanho quanto para os profissionais envolvidos, além de contribuir para a precisão da técnica de aplicação. O uso de troncos de contenção, currais bem dimensionados e instalações que respeitem os princípios de manejo racional favorece a redução do estresse animal e diminui a probabilidade de lesões decorrentes de movimentos bruscos durante o procedimento. As vias de administração e as doses recomendadas pelo fabricante devem ser rigorosamente observadas, uma vez que aplicações por via incorreta podem resultar tanto em falha vacinal quanto em reações adversas locais, como formação de abscessos e inflamações no sítio de inoculação.</w:t>
      </w:r>
    </w:p>
    <w:p w14:paraId="65EAB3F7" w14:textId="77777777" w:rsidR="008D6EBB" w:rsidRDefault="00000000">
      <w:pPr>
        <w:spacing w:line="360" w:lineRule="auto"/>
        <w:rPr>
          <w:sz w:val="24"/>
          <w:szCs w:val="24"/>
        </w:rPr>
      </w:pPr>
      <w:r>
        <w:rPr>
          <w:b/>
          <w:bCs/>
          <w:sz w:val="24"/>
          <w:szCs w:val="24"/>
        </w:rPr>
        <w:t>4.4 Biossegurança da propriedade: fluxo de animais e controle de vetores</w:t>
      </w:r>
    </w:p>
    <w:p w14:paraId="7806FD5E" w14:textId="77777777" w:rsidR="008D6EBB" w:rsidRDefault="00000000">
      <w:pPr>
        <w:spacing w:line="360" w:lineRule="auto"/>
        <w:ind w:firstLine="709"/>
        <w:jc w:val="both"/>
        <w:rPr>
          <w:sz w:val="24"/>
          <w:szCs w:val="24"/>
        </w:rPr>
      </w:pPr>
      <w:r>
        <w:rPr>
          <w:sz w:val="24"/>
          <w:szCs w:val="24"/>
        </w:rPr>
        <w:t xml:space="preserve">Para além dos cuidados diretamente relacionados ao ato vacinal, a biossegurança da propriedade envolve o controle do fluxo de entrada e saída de animais, a quarentena de animais recém-adquiridos e a destinação correta de resíduos e carcaças. Medidas complementares de manejo, como o isolamento e o tratamento de animais com doenças infectocontagiosas, o </w:t>
      </w:r>
      <w:r>
        <w:rPr>
          <w:sz w:val="24"/>
          <w:szCs w:val="24"/>
        </w:rPr>
        <w:lastRenderedPageBreak/>
        <w:t xml:space="preserve">controle de vetores e a limpeza periódica das instalações, atuam de forma sinérgica com a vacinação na redução do risco sanitário do rebanho (Paranhos da Costa; </w:t>
      </w:r>
      <w:proofErr w:type="spellStart"/>
      <w:r>
        <w:rPr>
          <w:sz w:val="24"/>
          <w:szCs w:val="24"/>
        </w:rPr>
        <w:t>Quitiliano</w:t>
      </w:r>
      <w:proofErr w:type="spellEnd"/>
      <w:r>
        <w:rPr>
          <w:sz w:val="24"/>
          <w:szCs w:val="24"/>
        </w:rPr>
        <w:t xml:space="preserve">; </w:t>
      </w:r>
      <w:proofErr w:type="spellStart"/>
      <w:r>
        <w:rPr>
          <w:sz w:val="24"/>
          <w:szCs w:val="24"/>
        </w:rPr>
        <w:t>Tseimazides</w:t>
      </w:r>
      <w:proofErr w:type="spellEnd"/>
      <w:r>
        <w:rPr>
          <w:sz w:val="24"/>
          <w:szCs w:val="24"/>
        </w:rPr>
        <w:t>, 2013). Fazendas com alto fluxo de aquisição de animais de diferentes origens configuram perfil de maior risco tanto para a introdução quanto para a disseminação de agentes patogênicos, o que reforça a importância de associar a vacinação a essas demais práticas de biosseguridade (IDAF, 2024).</w:t>
      </w:r>
    </w:p>
    <w:p w14:paraId="3F32FBE8" w14:textId="77777777" w:rsidR="008D6EBB" w:rsidRDefault="00000000">
      <w:pPr>
        <w:spacing w:line="360" w:lineRule="auto"/>
        <w:ind w:firstLine="709"/>
        <w:jc w:val="both"/>
        <w:rPr>
          <w:sz w:val="24"/>
          <w:szCs w:val="24"/>
        </w:rPr>
      </w:pPr>
      <w:r>
        <w:rPr>
          <w:sz w:val="24"/>
          <w:szCs w:val="24"/>
        </w:rPr>
        <w:t xml:space="preserve">É importante destacar que a resposta vacinal depende também das condições gerais de saúde e nutrição do animal: mesmo diante de um protocolo tecnicamente adequado, indivíduos debilitados nutricionalmente ou acometidos por outras enfermidades podem não desenvolver resposta imunológica satisfatória (Paranhos da Costa; </w:t>
      </w:r>
      <w:proofErr w:type="spellStart"/>
      <w:r>
        <w:rPr>
          <w:sz w:val="24"/>
          <w:szCs w:val="24"/>
        </w:rPr>
        <w:t>Quitiliano</w:t>
      </w:r>
      <w:proofErr w:type="spellEnd"/>
      <w:r>
        <w:rPr>
          <w:sz w:val="24"/>
          <w:szCs w:val="24"/>
        </w:rPr>
        <w:t xml:space="preserve">; </w:t>
      </w:r>
      <w:proofErr w:type="spellStart"/>
      <w:r>
        <w:rPr>
          <w:sz w:val="24"/>
          <w:szCs w:val="24"/>
        </w:rPr>
        <w:t>Tseimazides</w:t>
      </w:r>
      <w:proofErr w:type="spellEnd"/>
      <w:r>
        <w:rPr>
          <w:sz w:val="24"/>
          <w:szCs w:val="24"/>
        </w:rPr>
        <w:t>, 2013). Assim, a biossegurança na vacinação de rebanhos deve ser compreendida de forma integrada ao manejo nutricional e sanitário geral da propriedade, e não como uma etapa isolada do processo produtivo.</w:t>
      </w:r>
    </w:p>
    <w:p w14:paraId="21F6B765" w14:textId="77777777" w:rsidR="008D6EBB" w:rsidRDefault="00000000">
      <w:pPr>
        <w:spacing w:line="360" w:lineRule="auto"/>
        <w:rPr>
          <w:sz w:val="24"/>
          <w:szCs w:val="24"/>
        </w:rPr>
      </w:pPr>
      <w:r>
        <w:rPr>
          <w:b/>
          <w:bCs/>
          <w:sz w:val="24"/>
          <w:szCs w:val="24"/>
        </w:rPr>
        <w:t>4.5 Riscos ocupacionais e proteção individual na aplicação de vacinas vivas</w:t>
      </w:r>
    </w:p>
    <w:p w14:paraId="10E65571" w14:textId="77777777" w:rsidR="008D6EBB" w:rsidRDefault="00000000">
      <w:pPr>
        <w:spacing w:line="360" w:lineRule="auto"/>
        <w:ind w:firstLine="709"/>
        <w:jc w:val="both"/>
        <w:rPr>
          <w:sz w:val="24"/>
          <w:szCs w:val="24"/>
        </w:rPr>
      </w:pPr>
      <w:r>
        <w:rPr>
          <w:sz w:val="24"/>
          <w:szCs w:val="24"/>
        </w:rPr>
        <w:t xml:space="preserve">Determinadas vacinas utilizadas em programas oficiais de sanidade animal são compostas por amostras vivas e atenuadas, o que representa risco potencial de infecção para o ser humano em caso de exposição acidental. O exemplo mais relevante nesse contexto é a vacinação contra a brucelose bovina e bubalina, obrigatória para fêmeas entre três e oito meses de idade no âmbito do PNCEBT, realizada com as amostras B19 ou RB51 (IMA, 2026). Por conterem bactérias vivas do gênero </w:t>
      </w:r>
      <w:proofErr w:type="spellStart"/>
      <w:r>
        <w:rPr>
          <w:sz w:val="24"/>
          <w:szCs w:val="24"/>
        </w:rPr>
        <w:t>Brucella</w:t>
      </w:r>
      <w:proofErr w:type="spellEnd"/>
      <w:r>
        <w:rPr>
          <w:sz w:val="24"/>
          <w:szCs w:val="24"/>
        </w:rPr>
        <w:t>, ambas as amostras podem causar a doença em humanos caso ocorra contato acidental com mucosas, pele lesionada ou inoculação por picada de agulha, motivo pelo qual sua aplicação exige o uso de equipamentos de proteção individual e é restrita a médicos-veterinários cadastrados ou a auxiliares de vacinação sob sua responsabilidade direta (CRMV-SP, 2021; IMA, 2026).</w:t>
      </w:r>
    </w:p>
    <w:p w14:paraId="6F6888EB" w14:textId="77777777" w:rsidR="008D6EBB" w:rsidRDefault="00000000">
      <w:pPr>
        <w:spacing w:line="360" w:lineRule="auto"/>
        <w:ind w:firstLine="709"/>
        <w:jc w:val="both"/>
        <w:rPr>
          <w:sz w:val="24"/>
          <w:szCs w:val="24"/>
        </w:rPr>
      </w:pPr>
      <w:r>
        <w:rPr>
          <w:sz w:val="24"/>
          <w:szCs w:val="24"/>
        </w:rPr>
        <w:t xml:space="preserve">A brucelose humana é considerada subdiagnosticada e subnotificada no Brasil, uma vez que seu quadro clínico inespecífico dificulta a identificação da doença e não há obrigatoriedade de notificação no Sistema Único de Saúde para os casos não ocupacionais, o que reforça a importância de o profissional relatar eventuais episódios de exposição acidental durante o atendimento médico (CRMV-SP, 2021). Diante desse risco, recomenda-se que os procedimentos de vacinação contra a brucelose sejam sempre acompanhados de boas práticas </w:t>
      </w:r>
      <w:r>
        <w:rPr>
          <w:sz w:val="24"/>
          <w:szCs w:val="24"/>
        </w:rPr>
        <w:lastRenderedPageBreak/>
        <w:t>de biossegurança individual e coletiva, incluindo o uso de luvas, óculos de proteção e manuseio cuidadoso de agulhas, além de protocolo definido para condutas em caso de acidente (CRMV-SP, 2021).</w:t>
      </w:r>
    </w:p>
    <w:p w14:paraId="18599A68" w14:textId="77777777" w:rsidR="008D6EBB" w:rsidRDefault="00000000">
      <w:pPr>
        <w:spacing w:line="360" w:lineRule="auto"/>
        <w:rPr>
          <w:sz w:val="24"/>
          <w:szCs w:val="24"/>
        </w:rPr>
      </w:pPr>
      <w:r>
        <w:rPr>
          <w:b/>
          <w:bCs/>
          <w:sz w:val="24"/>
          <w:szCs w:val="24"/>
        </w:rPr>
        <w:t>4.6 Registros, rastreabilidade e responsabilidade técnica</w:t>
      </w:r>
    </w:p>
    <w:p w14:paraId="40854526" w14:textId="77777777" w:rsidR="008D6EBB" w:rsidRDefault="00000000">
      <w:pPr>
        <w:spacing w:line="360" w:lineRule="auto"/>
        <w:ind w:firstLine="709"/>
        <w:jc w:val="both"/>
        <w:rPr>
          <w:sz w:val="24"/>
          <w:szCs w:val="24"/>
        </w:rPr>
      </w:pPr>
      <w:r>
        <w:rPr>
          <w:sz w:val="24"/>
          <w:szCs w:val="24"/>
        </w:rPr>
        <w:t>A rastreabilidade dos procedimentos vacinais constitui exigência técnica e, em diversos casos, legal. No caso da vacinação contra a brucelose, por exemplo, é obrigatória a marcação das fêmeas vacinadas, com identificação diferenciada conforme o tipo de amostra utilizada, permitindo o controle oficial da cobertura vacinal do rebanho (IMA, 2026). Da mesma forma, a comercialização e a aplicação de determinados imunobiológicos ficam condicionadas ao cadastro prévio do médico-veterinário responsável junto ao serviço oficial de defesa agropecuária da unidade federativa, reforçando o papel da responsabilidade técnica como elemento estruturante da biossegurança na vacinação de rebanhos. A manutenção de registros completos, incluindo número de partida do produto, data de aplicação, categoria vacinada e responsável técnico, favorece a rastreabilidade sanitária da propriedade e subsidia a tomada de decisão em situações de suspeita de falha vacinal ou de investigação epidemiológica.</w:t>
      </w:r>
    </w:p>
    <w:p w14:paraId="53BA9394" w14:textId="77777777" w:rsidR="008D6EBB" w:rsidRDefault="00000000">
      <w:pPr>
        <w:spacing w:line="360" w:lineRule="auto"/>
        <w:rPr>
          <w:sz w:val="24"/>
          <w:szCs w:val="24"/>
        </w:rPr>
      </w:pPr>
      <w:r>
        <w:rPr>
          <w:b/>
          <w:bCs/>
          <w:sz w:val="24"/>
          <w:szCs w:val="24"/>
        </w:rPr>
        <w:t>4.7 Particularidades da vacinação em pequenos ruminantes</w:t>
      </w:r>
    </w:p>
    <w:p w14:paraId="37BC6743" w14:textId="77777777" w:rsidR="008D6EBB" w:rsidRDefault="00000000">
      <w:pPr>
        <w:spacing w:line="360" w:lineRule="auto"/>
        <w:ind w:firstLine="709"/>
        <w:jc w:val="both"/>
        <w:rPr>
          <w:sz w:val="24"/>
          <w:szCs w:val="24"/>
        </w:rPr>
      </w:pPr>
      <w:r>
        <w:rPr>
          <w:sz w:val="24"/>
          <w:szCs w:val="24"/>
        </w:rPr>
        <w:t>Embora grande parte da literatura sobre biossegurança vacinal esteja voltada à bovinocultura, propriedades que associam a criação de caprinos e ovinos exigem adaptações específicas nos protocolos sanitários. Levantamentos conduzidos em explorações de pequenos ruminantes apontam variações relevantes na adoção de práticas de biossegurança entre propriedades, associadas a fatores como escala de produção, sistema de criação e disponibilidade de assistência técnica especializada (</w:t>
      </w:r>
      <w:proofErr w:type="spellStart"/>
      <w:r>
        <w:rPr>
          <w:sz w:val="24"/>
          <w:szCs w:val="24"/>
        </w:rPr>
        <w:t>Alavedra</w:t>
      </w:r>
      <w:proofErr w:type="spellEnd"/>
      <w:r>
        <w:rPr>
          <w:sz w:val="24"/>
          <w:szCs w:val="24"/>
        </w:rPr>
        <w:t xml:space="preserve"> et al., 2025). Estudos desenvolvidos no norte do Piauí, integrando manejo sanitário, biosseguridade e bem-estar animal em propriedades que associam bovinocultura e ovinocultura, reforçam a necessidade de padronização de protocolos sanitários e de capacitação periódica dos trabalhadores rurais como estratégias complementares à vacinação (Silva et al., 2026).</w:t>
      </w:r>
    </w:p>
    <w:p w14:paraId="51D24EA7" w14:textId="77777777" w:rsidR="008D6EBB" w:rsidRDefault="00000000">
      <w:pPr>
        <w:spacing w:line="360" w:lineRule="auto"/>
        <w:rPr>
          <w:sz w:val="24"/>
          <w:szCs w:val="24"/>
        </w:rPr>
      </w:pPr>
      <w:r>
        <w:rPr>
          <w:b/>
          <w:bCs/>
          <w:sz w:val="24"/>
          <w:szCs w:val="24"/>
        </w:rPr>
        <w:t>5 CONSIDERAÇÕES FINAIS</w:t>
      </w:r>
    </w:p>
    <w:p w14:paraId="0C204A4B" w14:textId="77777777" w:rsidR="008D6EBB" w:rsidRDefault="00000000">
      <w:pPr>
        <w:spacing w:line="360" w:lineRule="auto"/>
        <w:ind w:firstLine="709"/>
        <w:jc w:val="both"/>
        <w:rPr>
          <w:sz w:val="24"/>
          <w:szCs w:val="24"/>
        </w:rPr>
      </w:pPr>
      <w:r>
        <w:rPr>
          <w:sz w:val="24"/>
          <w:szCs w:val="24"/>
        </w:rPr>
        <w:t xml:space="preserve">A análise da literatura consultada permite afirmar que a eficácia da vacinação de rebanhos está condicionada a um conjunto de medidas de biossegurança que ultrapassam o simples ato de aplicar o imunobiológico. O planejamento do calendário vacinal, a manutenção </w:t>
      </w:r>
      <w:r>
        <w:rPr>
          <w:sz w:val="24"/>
          <w:szCs w:val="24"/>
        </w:rPr>
        <w:lastRenderedPageBreak/>
        <w:t>da cadeia de frio, a técnica adequada de contenção e aplicação, o controle do fluxo de animais na propriedade e a proteção individual dos profissionais constituem etapas interdependentes de um mesmo processo, cuja falha em qualquer ponto compromete o resultado sanitário esperado.</w:t>
      </w:r>
    </w:p>
    <w:p w14:paraId="4DCEC8C1" w14:textId="77777777" w:rsidR="008D6EBB" w:rsidRDefault="00000000">
      <w:pPr>
        <w:spacing w:line="360" w:lineRule="auto"/>
        <w:ind w:firstLine="709"/>
        <w:jc w:val="both"/>
        <w:rPr>
          <w:sz w:val="24"/>
          <w:szCs w:val="24"/>
        </w:rPr>
      </w:pPr>
      <w:r>
        <w:rPr>
          <w:sz w:val="24"/>
          <w:szCs w:val="24"/>
        </w:rPr>
        <w:t>Merece destaque o risco ocupacional associado ao manuseio de vacinas vivas, como as utilizadas no controle da brucelose, que reforça a exigência de responsabilidade médico-veterinária e de uso adequado de equipamentos de proteção individual durante todo o procedimento. Conclui-se que a biossegurança deve ser incorporada como princípio orientador da vacinação de rebanhos, e não como etapa acessória, cabendo ao médico-veterinário papel central no planejamento, na execução e na supervisão dessas práticas, em benefício da sanidade animal, da segurança ocupacional e da sustentabilidade da atividade pecuária.</w:t>
      </w:r>
    </w:p>
    <w:p w14:paraId="10F88615" w14:textId="77777777" w:rsidR="008D6EBB" w:rsidRDefault="00000000">
      <w:pPr>
        <w:spacing w:line="360" w:lineRule="auto"/>
        <w:jc w:val="center"/>
        <w:rPr>
          <w:sz w:val="24"/>
          <w:szCs w:val="24"/>
        </w:rPr>
      </w:pPr>
      <w:r>
        <w:rPr>
          <w:b/>
          <w:bCs/>
          <w:sz w:val="24"/>
          <w:szCs w:val="24"/>
        </w:rPr>
        <w:t>REFERÊNCIAS</w:t>
      </w:r>
    </w:p>
    <w:p w14:paraId="293C91AC" w14:textId="77777777" w:rsidR="008D6EBB" w:rsidRDefault="00000000">
      <w:pPr>
        <w:spacing w:line="360" w:lineRule="auto"/>
        <w:ind w:hanging="1418"/>
        <w:jc w:val="both"/>
        <w:rPr>
          <w:sz w:val="24"/>
          <w:szCs w:val="24"/>
        </w:rPr>
      </w:pPr>
      <w:r>
        <w:rPr>
          <w:sz w:val="24"/>
          <w:szCs w:val="24"/>
        </w:rPr>
        <w:t xml:space="preserve">ALAVEDRA, M. et al. </w:t>
      </w:r>
      <w:proofErr w:type="spellStart"/>
      <w:r>
        <w:rPr>
          <w:sz w:val="24"/>
          <w:szCs w:val="24"/>
        </w:rPr>
        <w:t>Biosecurity</w:t>
      </w:r>
      <w:proofErr w:type="spellEnd"/>
      <w:r>
        <w:rPr>
          <w:sz w:val="24"/>
          <w:szCs w:val="24"/>
        </w:rPr>
        <w:t xml:space="preserve"> </w:t>
      </w:r>
      <w:proofErr w:type="spellStart"/>
      <w:r>
        <w:rPr>
          <w:sz w:val="24"/>
          <w:szCs w:val="24"/>
        </w:rPr>
        <w:t>practices</w:t>
      </w:r>
      <w:proofErr w:type="spellEnd"/>
      <w:r>
        <w:rPr>
          <w:sz w:val="24"/>
          <w:szCs w:val="24"/>
        </w:rPr>
        <w:t xml:space="preserve"> in </w:t>
      </w:r>
      <w:proofErr w:type="spellStart"/>
      <w:r>
        <w:rPr>
          <w:sz w:val="24"/>
          <w:szCs w:val="24"/>
        </w:rPr>
        <w:t>Portuguese</w:t>
      </w:r>
      <w:proofErr w:type="spellEnd"/>
      <w:r>
        <w:rPr>
          <w:sz w:val="24"/>
          <w:szCs w:val="24"/>
        </w:rPr>
        <w:t xml:space="preserve"> </w:t>
      </w:r>
      <w:proofErr w:type="spellStart"/>
      <w:r>
        <w:rPr>
          <w:sz w:val="24"/>
          <w:szCs w:val="24"/>
        </w:rPr>
        <w:t>small</w:t>
      </w:r>
      <w:proofErr w:type="spellEnd"/>
      <w:r>
        <w:rPr>
          <w:sz w:val="24"/>
          <w:szCs w:val="24"/>
        </w:rPr>
        <w:t xml:space="preserve"> </w:t>
      </w:r>
      <w:proofErr w:type="spellStart"/>
      <w:r>
        <w:rPr>
          <w:sz w:val="24"/>
          <w:szCs w:val="24"/>
        </w:rPr>
        <w:t>ruminant</w:t>
      </w:r>
      <w:proofErr w:type="spellEnd"/>
      <w:r>
        <w:rPr>
          <w:sz w:val="24"/>
          <w:szCs w:val="24"/>
        </w:rPr>
        <w:t xml:space="preserve"> </w:t>
      </w:r>
      <w:proofErr w:type="spellStart"/>
      <w:r>
        <w:rPr>
          <w:sz w:val="24"/>
          <w:szCs w:val="24"/>
        </w:rPr>
        <w:t>farms</w:t>
      </w:r>
      <w:proofErr w:type="spellEnd"/>
      <w:r>
        <w:rPr>
          <w:sz w:val="24"/>
          <w:szCs w:val="24"/>
        </w:rPr>
        <w:t xml:space="preserve">: </w:t>
      </w:r>
      <w:proofErr w:type="spellStart"/>
      <w:r>
        <w:rPr>
          <w:sz w:val="24"/>
          <w:szCs w:val="24"/>
        </w:rPr>
        <w:t>current</w:t>
      </w:r>
      <w:proofErr w:type="spellEnd"/>
      <w:r>
        <w:rPr>
          <w:sz w:val="24"/>
          <w:szCs w:val="24"/>
        </w:rPr>
        <w:t xml:space="preserve"> status </w:t>
      </w:r>
      <w:proofErr w:type="spellStart"/>
      <w:r>
        <w:rPr>
          <w:sz w:val="24"/>
          <w:szCs w:val="24"/>
        </w:rPr>
        <w:t>and</w:t>
      </w:r>
      <w:proofErr w:type="spellEnd"/>
      <w:r>
        <w:rPr>
          <w:sz w:val="24"/>
          <w:szCs w:val="24"/>
        </w:rPr>
        <w:t xml:space="preserve"> future </w:t>
      </w:r>
      <w:proofErr w:type="spellStart"/>
      <w:r>
        <w:rPr>
          <w:sz w:val="24"/>
          <w:szCs w:val="24"/>
        </w:rPr>
        <w:t>directions</w:t>
      </w:r>
      <w:proofErr w:type="spellEnd"/>
      <w:r>
        <w:rPr>
          <w:sz w:val="24"/>
          <w:szCs w:val="24"/>
        </w:rPr>
        <w:t xml:space="preserve">. </w:t>
      </w:r>
      <w:proofErr w:type="spellStart"/>
      <w:r>
        <w:rPr>
          <w:sz w:val="24"/>
          <w:szCs w:val="24"/>
        </w:rPr>
        <w:t>Veterinary</w:t>
      </w:r>
      <w:proofErr w:type="spellEnd"/>
      <w:r>
        <w:rPr>
          <w:sz w:val="24"/>
          <w:szCs w:val="24"/>
        </w:rPr>
        <w:t xml:space="preserve"> </w:t>
      </w:r>
      <w:proofErr w:type="spellStart"/>
      <w:r>
        <w:rPr>
          <w:sz w:val="24"/>
          <w:szCs w:val="24"/>
        </w:rPr>
        <w:t>Sciences</w:t>
      </w:r>
      <w:proofErr w:type="spellEnd"/>
      <w:r>
        <w:rPr>
          <w:sz w:val="24"/>
          <w:szCs w:val="24"/>
        </w:rPr>
        <w:t>, Basel, v. 12, n. 4, artigo 334, 2025. DOI: https://doi.org/10.3390/vetsci12040334.</w:t>
      </w:r>
    </w:p>
    <w:p w14:paraId="13AD3640" w14:textId="77777777" w:rsidR="008D6EBB" w:rsidRDefault="00000000">
      <w:pPr>
        <w:spacing w:line="360" w:lineRule="auto"/>
        <w:ind w:hanging="1418"/>
        <w:jc w:val="both"/>
        <w:rPr>
          <w:sz w:val="24"/>
          <w:szCs w:val="24"/>
        </w:rPr>
      </w:pPr>
      <w:r>
        <w:rPr>
          <w:sz w:val="24"/>
          <w:szCs w:val="24"/>
        </w:rPr>
        <w:t>CRMV-SP. Conselho Regional de Medicina Veterinária do Estado de São Paulo. CRMV-SP lança guia com orientações para vacinação contra brucelose. São Paulo: CRMV-SP, 2021. Disponível em: https://crmvsp.gov.br/crmv-sp-lanca-guia-com-orientacoes-para-vacinacao-contra-brucelose/. Acesso em: 2 set. 2026.</w:t>
      </w:r>
    </w:p>
    <w:p w14:paraId="7706E2A7" w14:textId="77777777" w:rsidR="008D6EBB" w:rsidRDefault="00000000">
      <w:pPr>
        <w:spacing w:line="360" w:lineRule="auto"/>
        <w:ind w:hanging="1418"/>
        <w:jc w:val="both"/>
        <w:rPr>
          <w:sz w:val="24"/>
          <w:szCs w:val="24"/>
        </w:rPr>
      </w:pPr>
      <w:r>
        <w:rPr>
          <w:sz w:val="24"/>
          <w:szCs w:val="24"/>
        </w:rPr>
        <w:t xml:space="preserve">FERREIRA, J. S. et al. </w:t>
      </w:r>
      <w:proofErr w:type="spellStart"/>
      <w:r>
        <w:rPr>
          <w:sz w:val="24"/>
          <w:szCs w:val="24"/>
        </w:rPr>
        <w:t>Biosecurity</w:t>
      </w:r>
      <w:proofErr w:type="spellEnd"/>
      <w:r>
        <w:rPr>
          <w:sz w:val="24"/>
          <w:szCs w:val="24"/>
        </w:rPr>
        <w:t xml:space="preserve"> </w:t>
      </w:r>
      <w:proofErr w:type="spellStart"/>
      <w:r>
        <w:rPr>
          <w:sz w:val="24"/>
          <w:szCs w:val="24"/>
        </w:rPr>
        <w:t>practices</w:t>
      </w:r>
      <w:proofErr w:type="spellEnd"/>
      <w:r>
        <w:rPr>
          <w:sz w:val="24"/>
          <w:szCs w:val="24"/>
        </w:rPr>
        <w:t xml:space="preserve"> in </w:t>
      </w:r>
      <w:proofErr w:type="spellStart"/>
      <w:r>
        <w:rPr>
          <w:sz w:val="24"/>
          <w:szCs w:val="24"/>
        </w:rPr>
        <w:t>the</w:t>
      </w:r>
      <w:proofErr w:type="spellEnd"/>
      <w:r>
        <w:rPr>
          <w:sz w:val="24"/>
          <w:szCs w:val="24"/>
        </w:rPr>
        <w:t xml:space="preserve"> </w:t>
      </w:r>
      <w:proofErr w:type="spellStart"/>
      <w:r>
        <w:rPr>
          <w:sz w:val="24"/>
          <w:szCs w:val="24"/>
        </w:rPr>
        <w:t>dairy</w:t>
      </w:r>
      <w:proofErr w:type="spellEnd"/>
      <w:r>
        <w:rPr>
          <w:sz w:val="24"/>
          <w:szCs w:val="24"/>
        </w:rPr>
        <w:t xml:space="preserve"> </w:t>
      </w:r>
      <w:proofErr w:type="spellStart"/>
      <w:r>
        <w:rPr>
          <w:sz w:val="24"/>
          <w:szCs w:val="24"/>
        </w:rPr>
        <w:t>farms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southern</w:t>
      </w:r>
      <w:proofErr w:type="spellEnd"/>
      <w:r>
        <w:rPr>
          <w:sz w:val="24"/>
          <w:szCs w:val="24"/>
        </w:rPr>
        <w:t xml:space="preserve"> </w:t>
      </w:r>
      <w:proofErr w:type="spellStart"/>
      <w:r>
        <w:rPr>
          <w:sz w:val="24"/>
          <w:szCs w:val="24"/>
        </w:rPr>
        <w:t>Brazil</w:t>
      </w:r>
      <w:proofErr w:type="spellEnd"/>
      <w:r>
        <w:rPr>
          <w:sz w:val="24"/>
          <w:szCs w:val="24"/>
        </w:rPr>
        <w:t xml:space="preserve">. </w:t>
      </w:r>
      <w:proofErr w:type="spellStart"/>
      <w:r>
        <w:rPr>
          <w:sz w:val="24"/>
          <w:szCs w:val="24"/>
        </w:rPr>
        <w:t>Frontiers</w:t>
      </w:r>
      <w:proofErr w:type="spellEnd"/>
      <w:r>
        <w:rPr>
          <w:sz w:val="24"/>
          <w:szCs w:val="24"/>
        </w:rPr>
        <w:t xml:space="preserve"> in </w:t>
      </w:r>
      <w:proofErr w:type="spellStart"/>
      <w:r>
        <w:rPr>
          <w:sz w:val="24"/>
          <w:szCs w:val="24"/>
        </w:rPr>
        <w:t>Veterinary</w:t>
      </w:r>
      <w:proofErr w:type="spellEnd"/>
      <w:r>
        <w:rPr>
          <w:sz w:val="24"/>
          <w:szCs w:val="24"/>
        </w:rPr>
        <w:t xml:space="preserve"> Science, Lausanne, v. 11, artigo 1326688, 2024. DOI: https://doi.org/10.3389/fvets.2024.1326688.</w:t>
      </w:r>
    </w:p>
    <w:p w14:paraId="5E3223B7" w14:textId="77777777" w:rsidR="008D6EBB" w:rsidRDefault="00000000">
      <w:pPr>
        <w:spacing w:line="360" w:lineRule="auto"/>
        <w:ind w:hanging="1418"/>
        <w:jc w:val="both"/>
        <w:rPr>
          <w:sz w:val="24"/>
          <w:szCs w:val="24"/>
        </w:rPr>
      </w:pPr>
      <w:r>
        <w:rPr>
          <w:sz w:val="24"/>
          <w:szCs w:val="24"/>
        </w:rPr>
        <w:t xml:space="preserve">FRANCO, A. C. et al. Princípios da biosseguridade e sua implementação na bovinocultura leiteira. </w:t>
      </w:r>
      <w:proofErr w:type="spellStart"/>
      <w:r>
        <w:rPr>
          <w:sz w:val="24"/>
          <w:szCs w:val="24"/>
        </w:rPr>
        <w:t>Research</w:t>
      </w:r>
      <w:proofErr w:type="spellEnd"/>
      <w:r>
        <w:rPr>
          <w:sz w:val="24"/>
          <w:szCs w:val="24"/>
        </w:rPr>
        <w:t xml:space="preserve">, Society </w:t>
      </w:r>
      <w:proofErr w:type="spellStart"/>
      <w:r>
        <w:rPr>
          <w:sz w:val="24"/>
          <w:szCs w:val="24"/>
        </w:rPr>
        <w:t>and</w:t>
      </w:r>
      <w:proofErr w:type="spellEnd"/>
      <w:r>
        <w:rPr>
          <w:sz w:val="24"/>
          <w:szCs w:val="24"/>
        </w:rPr>
        <w:t xml:space="preserve"> </w:t>
      </w:r>
      <w:proofErr w:type="spellStart"/>
      <w:r>
        <w:rPr>
          <w:sz w:val="24"/>
          <w:szCs w:val="24"/>
        </w:rPr>
        <w:t>Development</w:t>
      </w:r>
      <w:proofErr w:type="spellEnd"/>
      <w:r>
        <w:rPr>
          <w:sz w:val="24"/>
          <w:szCs w:val="24"/>
        </w:rPr>
        <w:t>, Vargem Grande Paulista, v. 10, n. 14, e65101421625, 2021. DOI: http://dx.doi.org/10.33448/rsd-v10i14.21625.</w:t>
      </w:r>
    </w:p>
    <w:p w14:paraId="449117D8" w14:textId="77777777" w:rsidR="008D6EBB" w:rsidRDefault="00000000">
      <w:pPr>
        <w:spacing w:line="360" w:lineRule="auto"/>
        <w:ind w:hanging="1418"/>
        <w:jc w:val="both"/>
        <w:rPr>
          <w:sz w:val="24"/>
          <w:szCs w:val="24"/>
        </w:rPr>
      </w:pPr>
      <w:r>
        <w:rPr>
          <w:sz w:val="24"/>
          <w:szCs w:val="24"/>
        </w:rPr>
        <w:t>FREITAS, M. G. de et al. Calendários sanitários para bovinos de corte. Campo Grande: Universidade Federal de Mato Grosso do Sul, 2023. (Nota Técnica, n. 11).</w:t>
      </w:r>
    </w:p>
    <w:p w14:paraId="0D4C96AF" w14:textId="77777777" w:rsidR="008D6EBB" w:rsidRDefault="00000000">
      <w:pPr>
        <w:spacing w:line="360" w:lineRule="auto"/>
        <w:ind w:hanging="1418"/>
        <w:jc w:val="both"/>
        <w:rPr>
          <w:sz w:val="24"/>
          <w:szCs w:val="24"/>
        </w:rPr>
      </w:pPr>
      <w:r>
        <w:rPr>
          <w:sz w:val="24"/>
          <w:szCs w:val="24"/>
        </w:rPr>
        <w:t>GASPAR, E. B.; MINHO, A. P.; SANTOS, L. R. dos. Manual de boas práticas de vacinação e imunização de bovinos. Bagé: Embrapa Pecuária Sul, 2015. (Circular Técnica, 47). ISSN 1983-0475.</w:t>
      </w:r>
    </w:p>
    <w:p w14:paraId="4E3D698D" w14:textId="77777777" w:rsidR="008D6EBB" w:rsidRDefault="00000000">
      <w:pPr>
        <w:spacing w:line="360" w:lineRule="auto"/>
        <w:ind w:hanging="1418"/>
        <w:jc w:val="both"/>
        <w:rPr>
          <w:sz w:val="24"/>
          <w:szCs w:val="24"/>
        </w:rPr>
      </w:pPr>
      <w:r>
        <w:rPr>
          <w:sz w:val="24"/>
          <w:szCs w:val="24"/>
        </w:rPr>
        <w:lastRenderedPageBreak/>
        <w:t>HENRIQUE, Erick. Calendário de vacinação não é receita de bolo. Digital Balde Branco, [s. l.], 10 jul. 2020. Disponível em: https://digital.baldebranco.com.br/calendario-de-vacinacao-nao-e-receita-de-bolo/. Acesso em: 2 set. 2026.</w:t>
      </w:r>
    </w:p>
    <w:p w14:paraId="250725FC" w14:textId="77777777" w:rsidR="008D6EBB" w:rsidRDefault="00000000">
      <w:pPr>
        <w:spacing w:line="360" w:lineRule="auto"/>
        <w:ind w:hanging="1418"/>
        <w:jc w:val="both"/>
        <w:rPr>
          <w:sz w:val="24"/>
          <w:szCs w:val="24"/>
        </w:rPr>
      </w:pPr>
      <w:r>
        <w:rPr>
          <w:sz w:val="24"/>
          <w:szCs w:val="24"/>
        </w:rPr>
        <w:t>IDAF. Instituto de Defesa Agropecuária e Florestal do Espírito Santo. Manual de vigilância ativa em propriedades rurais. Vitória: IDAF, versão II, 2024.</w:t>
      </w:r>
    </w:p>
    <w:p w14:paraId="1E48ED45" w14:textId="77777777" w:rsidR="008D6EBB" w:rsidRDefault="00000000">
      <w:pPr>
        <w:spacing w:line="360" w:lineRule="auto"/>
        <w:ind w:hanging="1418"/>
        <w:jc w:val="both"/>
        <w:rPr>
          <w:sz w:val="24"/>
          <w:szCs w:val="24"/>
        </w:rPr>
      </w:pPr>
      <w:r>
        <w:rPr>
          <w:sz w:val="24"/>
          <w:szCs w:val="24"/>
        </w:rPr>
        <w:t>IMA. Instituto Mineiro de Agropecuária. PNCEBT: Brucelose e Tuberculose. Belo Horizonte: IMA, 2026. Disponível em: https://www.ima.mg.gov.br/defesa-animal/programas-sanitarios/brucelose-e-tuberculose. Acesso em: 2 set. 2026.</w:t>
      </w:r>
    </w:p>
    <w:p w14:paraId="6EC336CC" w14:textId="77777777" w:rsidR="008D6EBB" w:rsidRDefault="00000000">
      <w:pPr>
        <w:spacing w:line="360" w:lineRule="auto"/>
        <w:ind w:hanging="1418"/>
        <w:jc w:val="both"/>
        <w:rPr>
          <w:sz w:val="24"/>
          <w:szCs w:val="24"/>
        </w:rPr>
      </w:pPr>
      <w:r>
        <w:rPr>
          <w:sz w:val="24"/>
          <w:szCs w:val="24"/>
        </w:rPr>
        <w:t>PARANHOS DA COSTA, M. J. R.; QUITILIANO, M. H.; TSEIMAZIDES, S. P. Boas práticas de manejo: vacinação. Brasília, DF: MAPA, 2013. 32 p. ISBN 978-85-7991-072-2. Disponível em: https://www.gov.br/agricultura/pt-br/assuntos/producao-animal/arquivos-publicacoes-bem-estar-animal/vacinacao.pdf. Acesso em: 2 set. 2026.</w:t>
      </w:r>
    </w:p>
    <w:p w14:paraId="521A1BEE" w14:textId="77777777" w:rsidR="008D6EBB" w:rsidRDefault="00000000">
      <w:pPr>
        <w:spacing w:line="360" w:lineRule="auto"/>
        <w:ind w:hanging="1418"/>
        <w:jc w:val="both"/>
        <w:rPr>
          <w:sz w:val="24"/>
          <w:szCs w:val="24"/>
        </w:rPr>
      </w:pPr>
      <w:r>
        <w:rPr>
          <w:sz w:val="24"/>
          <w:szCs w:val="24"/>
        </w:rPr>
        <w:t>SILVA, A. C. et al. Manejo sanitário, biosseguridade e bem-estar animal de pequenos e grandes ruminantes em propriedade rural no município de Brasileira-PI: uma proposta extensionista integrada. Revista OWL, Campina Grande, v. 4, n. 6, p. 1-31, 2026.</w:t>
      </w:r>
    </w:p>
    <w:p w14:paraId="4EAE61FC" w14:textId="77777777" w:rsidR="008D6EBB" w:rsidRDefault="00000000">
      <w:pPr>
        <w:spacing w:line="360" w:lineRule="auto"/>
        <w:ind w:hanging="1418"/>
        <w:jc w:val="both"/>
        <w:rPr>
          <w:sz w:val="24"/>
          <w:szCs w:val="24"/>
        </w:rPr>
      </w:pPr>
      <w:r>
        <w:rPr>
          <w:sz w:val="24"/>
          <w:szCs w:val="24"/>
        </w:rPr>
        <w:t xml:space="preserve">ZANON, T.; ALRHMOUN, M.; GAULY, M. </w:t>
      </w:r>
      <w:proofErr w:type="spellStart"/>
      <w:r>
        <w:rPr>
          <w:sz w:val="24"/>
          <w:szCs w:val="24"/>
        </w:rPr>
        <w:t>Assessing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impact</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biosecurity</w:t>
      </w:r>
      <w:proofErr w:type="spellEnd"/>
      <w:r>
        <w:rPr>
          <w:sz w:val="24"/>
          <w:szCs w:val="24"/>
        </w:rPr>
        <w:t xml:space="preserve"> </w:t>
      </w:r>
      <w:proofErr w:type="spellStart"/>
      <w:r>
        <w:rPr>
          <w:sz w:val="24"/>
          <w:szCs w:val="24"/>
        </w:rPr>
        <w:t>practices</w:t>
      </w:r>
      <w:proofErr w:type="spellEnd"/>
      <w:r>
        <w:rPr>
          <w:sz w:val="24"/>
          <w:szCs w:val="24"/>
        </w:rPr>
        <w:t xml:space="preserve"> </w:t>
      </w:r>
      <w:proofErr w:type="spellStart"/>
      <w:r>
        <w:rPr>
          <w:sz w:val="24"/>
          <w:szCs w:val="24"/>
        </w:rPr>
        <w:t>and</w:t>
      </w:r>
      <w:proofErr w:type="spellEnd"/>
      <w:r>
        <w:rPr>
          <w:sz w:val="24"/>
          <w:szCs w:val="24"/>
        </w:rPr>
        <w:t xml:space="preserve"> animal </w:t>
      </w:r>
      <w:proofErr w:type="spellStart"/>
      <w:r>
        <w:rPr>
          <w:sz w:val="24"/>
          <w:szCs w:val="24"/>
        </w:rPr>
        <w:t>welfare</w:t>
      </w:r>
      <w:proofErr w:type="spellEnd"/>
      <w:r>
        <w:rPr>
          <w:sz w:val="24"/>
          <w:szCs w:val="24"/>
        </w:rPr>
        <w:t xml:space="preserve"> in </w:t>
      </w:r>
      <w:proofErr w:type="spellStart"/>
      <w:r>
        <w:rPr>
          <w:sz w:val="24"/>
          <w:szCs w:val="24"/>
        </w:rPr>
        <w:t>small-scale</w:t>
      </w:r>
      <w:proofErr w:type="spellEnd"/>
      <w:r>
        <w:rPr>
          <w:sz w:val="24"/>
          <w:szCs w:val="24"/>
        </w:rPr>
        <w:t xml:space="preserve"> mountain </w:t>
      </w:r>
      <w:proofErr w:type="spellStart"/>
      <w:r>
        <w:rPr>
          <w:sz w:val="24"/>
          <w:szCs w:val="24"/>
        </w:rPr>
        <w:t>dairy</w:t>
      </w:r>
      <w:proofErr w:type="spellEnd"/>
      <w:r>
        <w:rPr>
          <w:sz w:val="24"/>
          <w:szCs w:val="24"/>
        </w:rPr>
        <w:t xml:space="preserve"> </w:t>
      </w:r>
      <w:proofErr w:type="spellStart"/>
      <w:r>
        <w:rPr>
          <w:sz w:val="24"/>
          <w:szCs w:val="24"/>
        </w:rPr>
        <w:t>farming</w:t>
      </w:r>
      <w:proofErr w:type="spellEnd"/>
      <w:r>
        <w:rPr>
          <w:sz w:val="24"/>
          <w:szCs w:val="24"/>
        </w:rPr>
        <w:t xml:space="preserve">. </w:t>
      </w:r>
      <w:proofErr w:type="spellStart"/>
      <w:r>
        <w:rPr>
          <w:sz w:val="24"/>
          <w:szCs w:val="24"/>
        </w:rPr>
        <w:t>Scientific</w:t>
      </w:r>
      <w:proofErr w:type="spellEnd"/>
      <w:r>
        <w:rPr>
          <w:sz w:val="24"/>
          <w:szCs w:val="24"/>
        </w:rPr>
        <w:t xml:space="preserve"> Reports, London, v. 14, artigo 13294, 2024. DOI: https://doi.org/10.1038/s41598-024-63841-y.</w:t>
      </w:r>
    </w:p>
    <w:sectPr w:rsidR="008D6EBB">
      <w:headerReference w:type="default" r:id="rId6"/>
      <w:footerReference w:type="default" r:id="rId7"/>
      <w:pgSz w:w="11906" w:h="16840"/>
      <w:pgMar w:top="2694"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8ABA" w14:textId="77777777" w:rsidR="0057019D" w:rsidRDefault="0057019D">
      <w:r>
        <w:separator/>
      </w:r>
    </w:p>
  </w:endnote>
  <w:endnote w:type="continuationSeparator" w:id="0">
    <w:p w14:paraId="22AF19C5" w14:textId="77777777" w:rsidR="0057019D" w:rsidRDefault="0057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7C31329-8372-4149-87F8-84E78EFAB7FA}"/>
  </w:font>
  <w:font w:name="Calibri">
    <w:panose1 w:val="020F0502020204030204"/>
    <w:charset w:val="00"/>
    <w:family w:val="swiss"/>
    <w:pitch w:val="variable"/>
    <w:sig w:usb0="E4002EFF" w:usb1="C200247B" w:usb2="00000009" w:usb3="00000000" w:csb0="000001FF" w:csb1="00000000"/>
    <w:embedRegular r:id="rId2" w:fontKey="{8167A413-BECF-422C-9944-3F3979AD00BC}"/>
  </w:font>
  <w:font w:name="Cambria">
    <w:panose1 w:val="02040503050406030204"/>
    <w:charset w:val="00"/>
    <w:family w:val="roman"/>
    <w:pitch w:val="variable"/>
    <w:sig w:usb0="E00006FF" w:usb1="420024FF" w:usb2="02000000" w:usb3="00000000" w:csb0="0000019F" w:csb1="00000000"/>
    <w:embedRegular r:id="rId3" w:fontKey="{4F1E7DF4-002F-4A28-8403-E2A8CCB4A5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5693" w14:textId="77777777" w:rsidR="008D6EBB"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4A7B6DAD" wp14:editId="7C2B6C92">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40F3A97" w14:textId="77777777" w:rsidR="008D6EBB" w:rsidRDefault="008D6EBB">
    <w:pPr>
      <w:pBdr>
        <w:top w:val="nil"/>
        <w:left w:val="nil"/>
        <w:bottom w:val="nil"/>
        <w:right w:val="nil"/>
        <w:between w:val="nil"/>
      </w:pBdr>
      <w:tabs>
        <w:tab w:val="center" w:pos="4252"/>
        <w:tab w:val="right" w:pos="8504"/>
      </w:tabs>
      <w:ind w:hanging="1418"/>
      <w:rPr>
        <w:color w:val="000000"/>
      </w:rPr>
    </w:pPr>
  </w:p>
  <w:p w14:paraId="67478FFD" w14:textId="77777777" w:rsidR="008D6EBB" w:rsidRDefault="008D6EBB">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1EAA1" w14:textId="77777777" w:rsidR="0057019D" w:rsidRDefault="0057019D">
      <w:r>
        <w:separator/>
      </w:r>
    </w:p>
  </w:footnote>
  <w:footnote w:type="continuationSeparator" w:id="0">
    <w:p w14:paraId="56155ACA" w14:textId="77777777" w:rsidR="0057019D" w:rsidRDefault="0057019D">
      <w:r>
        <w:continuationSeparator/>
      </w:r>
    </w:p>
  </w:footnote>
  <w:footnote w:id="1">
    <w:p w14:paraId="28F11E5E" w14:textId="77777777" w:rsidR="008D6EBB"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Graduando(a) em Medicina Veterinária – Centro Universitário </w:t>
      </w:r>
      <w:proofErr w:type="spellStart"/>
      <w:r>
        <w:rPr>
          <w:color w:val="000000"/>
          <w:sz w:val="20"/>
          <w:szCs w:val="20"/>
        </w:rPr>
        <w:t>Chrisfapi</w:t>
      </w:r>
      <w:proofErr w:type="spellEnd"/>
      <w:r>
        <w:rPr>
          <w:color w:val="000000"/>
          <w:sz w:val="20"/>
          <w:szCs w:val="20"/>
        </w:rPr>
        <w:t xml:space="preserve"> (</w:t>
      </w:r>
      <w:proofErr w:type="spellStart"/>
      <w:r>
        <w:rPr>
          <w:color w:val="000000"/>
          <w:sz w:val="20"/>
          <w:szCs w:val="20"/>
        </w:rPr>
        <w:t>Unichrisfapi</w:t>
      </w:r>
      <w:proofErr w:type="spellEnd"/>
      <w:r>
        <w:rPr>
          <w:color w:val="000000"/>
          <w:sz w:val="20"/>
          <w:szCs w:val="20"/>
        </w:rPr>
        <w:t>).</w:t>
      </w:r>
    </w:p>
  </w:footnote>
  <w:footnote w:id="2">
    <w:p w14:paraId="4526C368" w14:textId="77777777" w:rsidR="008D6EBB"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Graduando(a) em Medicina Veterinária – Centro Universitário </w:t>
      </w:r>
      <w:proofErr w:type="spellStart"/>
      <w:r>
        <w:rPr>
          <w:color w:val="000000"/>
          <w:sz w:val="20"/>
          <w:szCs w:val="20"/>
        </w:rPr>
        <w:t>Chrisfapi</w:t>
      </w:r>
      <w:proofErr w:type="spellEnd"/>
      <w:r>
        <w:rPr>
          <w:color w:val="000000"/>
          <w:sz w:val="20"/>
          <w:szCs w:val="20"/>
        </w:rPr>
        <w:t xml:space="preserve"> (</w:t>
      </w:r>
      <w:proofErr w:type="spellStart"/>
      <w:r>
        <w:rPr>
          <w:color w:val="000000"/>
          <w:sz w:val="20"/>
          <w:szCs w:val="20"/>
        </w:rPr>
        <w:t>Unichrisfapi</w:t>
      </w:r>
      <w:proofErr w:type="spellEnd"/>
      <w:r>
        <w:rPr>
          <w:color w:val="000000"/>
          <w:sz w:val="20"/>
          <w:szCs w:val="20"/>
        </w:rPr>
        <w:t>).</w:t>
      </w:r>
    </w:p>
  </w:footnote>
  <w:footnote w:id="3">
    <w:p w14:paraId="7B233CA7" w14:textId="77777777" w:rsidR="008D6EBB"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Graduando(a) em Medicina Veterinária – Centro Universitário </w:t>
      </w:r>
      <w:proofErr w:type="spellStart"/>
      <w:r>
        <w:rPr>
          <w:color w:val="000000"/>
          <w:sz w:val="20"/>
          <w:szCs w:val="20"/>
        </w:rPr>
        <w:t>Chrisfapi</w:t>
      </w:r>
      <w:proofErr w:type="spellEnd"/>
      <w:r>
        <w:rPr>
          <w:color w:val="000000"/>
          <w:sz w:val="20"/>
          <w:szCs w:val="20"/>
        </w:rPr>
        <w:t xml:space="preserve"> (</w:t>
      </w:r>
      <w:proofErr w:type="spellStart"/>
      <w:r>
        <w:rPr>
          <w:color w:val="000000"/>
          <w:sz w:val="20"/>
          <w:szCs w:val="20"/>
        </w:rPr>
        <w:t>Unichrisfapi</w:t>
      </w:r>
      <w:proofErr w:type="spellEnd"/>
      <w:r>
        <w:rPr>
          <w:color w:val="000000"/>
          <w:sz w:val="20"/>
          <w:szCs w:val="20"/>
        </w:rPr>
        <w:t>).</w:t>
      </w:r>
    </w:p>
  </w:footnote>
  <w:footnote w:id="4">
    <w:p w14:paraId="11DAC4A3" w14:textId="77777777" w:rsidR="008D6EBB"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Professora do curso de Medicina Veterinária – Centro Universitário </w:t>
      </w:r>
      <w:proofErr w:type="spellStart"/>
      <w:r>
        <w:rPr>
          <w:color w:val="000000"/>
          <w:sz w:val="20"/>
          <w:szCs w:val="20"/>
        </w:rPr>
        <w:t>Chrisfapi</w:t>
      </w:r>
      <w:proofErr w:type="spellEnd"/>
      <w:r>
        <w:rPr>
          <w:color w:val="000000"/>
          <w:sz w:val="20"/>
          <w:szCs w:val="20"/>
        </w:rPr>
        <w:t xml:space="preserve"> (</w:t>
      </w:r>
      <w:proofErr w:type="spellStart"/>
      <w:r>
        <w:rPr>
          <w:color w:val="000000"/>
          <w:sz w:val="20"/>
          <w:szCs w:val="20"/>
        </w:rPr>
        <w:t>Unichrisfapi</w:t>
      </w:r>
      <w:proofErr w:type="spellEnd"/>
      <w:r>
        <w:rPr>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B1C6" w14:textId="77777777" w:rsidR="008D6EBB"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2051D400" wp14:editId="7E3ECE40">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EBB"/>
    <w:rsid w:val="0057019D"/>
    <w:rsid w:val="005842C3"/>
    <w:rsid w:val="005A298C"/>
    <w:rsid w:val="008D6EBB"/>
    <w:rsid w:val="00CF7844"/>
    <w:rsid w:val="00EF76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A7DB"/>
  <w15:docId w15:val="{96A9817D-3BA4-4B97-8C7D-E85433F9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9</Pages>
  <Words>3067</Words>
  <Characters>16563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NAYANE NAYRA</dc:creator>
  <cp:lastModifiedBy>nayanemedvet.dra@gmail.com</cp:lastModifiedBy>
  <cp:revision>3</cp:revision>
  <cp:lastPrinted>2026-09-06T11:35:00Z</cp:lastPrinted>
  <dcterms:created xsi:type="dcterms:W3CDTF">2026-09-06T11:35:00Z</dcterms:created>
  <dcterms:modified xsi:type="dcterms:W3CDTF">2026-09-06T12:01:00Z</dcterms:modified>
</cp:coreProperties>
</file>