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rPr>
      </w:pPr>
      <w:bookmarkStart w:colFirst="0" w:colLast="0" w:name="_gjdgxs" w:id="0"/>
      <w:bookmarkEnd w:id="0"/>
      <w:r w:rsidDel="00000000" w:rsidR="00000000" w:rsidRPr="00000000">
        <w:rPr>
          <w:rtl w:val="0"/>
        </w:rPr>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AVALIAÇÃO DO PERFIL SENSORIAL DE CHÁ DE ERVA-MATE COM ADIÇÃO DE POLPA DE GUABIROBA</w:t>
      </w:r>
    </w:p>
    <w:p w:rsidR="00000000" w:rsidDel="00000000" w:rsidP="00000000" w:rsidRDefault="00000000" w:rsidRPr="00000000" w14:paraId="0000000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widowControl w:val="0"/>
        <w:spacing w:line="360" w:lineRule="auto"/>
        <w:ind w:right="15"/>
        <w:jc w:val="center"/>
        <w:rPr>
          <w:rFonts w:ascii="Arial" w:cs="Arial" w:eastAsia="Arial" w:hAnsi="Arial"/>
          <w:sz w:val="20"/>
          <w:szCs w:val="20"/>
        </w:rPr>
      </w:pPr>
      <w:r w:rsidDel="00000000" w:rsidR="00000000" w:rsidRPr="00000000">
        <w:rPr>
          <w:rFonts w:ascii="Arial" w:cs="Arial" w:eastAsia="Arial" w:hAnsi="Arial"/>
          <w:sz w:val="20"/>
          <w:szCs w:val="20"/>
          <w:vertAlign w:val="superscript"/>
          <w:rtl w:val="0"/>
        </w:rPr>
        <w:t xml:space="preserve">1</w:t>
      </w:r>
      <w:r w:rsidDel="00000000" w:rsidR="00000000" w:rsidRPr="00000000">
        <w:rPr>
          <w:rFonts w:ascii="Arial" w:cs="Arial" w:eastAsia="Arial" w:hAnsi="Arial"/>
          <w:sz w:val="20"/>
          <w:szCs w:val="20"/>
          <w:rtl w:val="0"/>
        </w:rPr>
        <w:t xml:space="preserve">REIS, N. N., </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LEONCIO</w:t>
      </w:r>
      <w:r w:rsidDel="00000000" w:rsidR="00000000" w:rsidRPr="00000000">
        <w:rPr>
          <w:rFonts w:ascii="Arial" w:cs="Arial" w:eastAsia="Arial" w:hAnsi="Arial"/>
          <w:sz w:val="20"/>
          <w:szCs w:val="20"/>
          <w:rtl w:val="0"/>
        </w:rPr>
        <w:t xml:space="preserve">, S. R., </w:t>
      </w:r>
      <w:r w:rsidDel="00000000" w:rsidR="00000000" w:rsidRPr="00000000">
        <w:rPr>
          <w:rFonts w:ascii="Arial" w:cs="Arial" w:eastAsia="Arial" w:hAnsi="Arial"/>
          <w:sz w:val="20"/>
          <w:szCs w:val="20"/>
          <w:vertAlign w:val="superscript"/>
          <w:rtl w:val="0"/>
        </w:rPr>
        <w:t xml:space="preserve">3</w:t>
      </w:r>
      <w:r w:rsidDel="00000000" w:rsidR="00000000" w:rsidRPr="00000000">
        <w:rPr>
          <w:rFonts w:ascii="Arial" w:cs="Arial" w:eastAsia="Arial" w:hAnsi="Arial"/>
          <w:sz w:val="20"/>
          <w:szCs w:val="20"/>
          <w:rtl w:val="0"/>
        </w:rPr>
        <w:t xml:space="preserve">BAINY</w:t>
      </w:r>
      <w:r w:rsidDel="00000000" w:rsidR="00000000" w:rsidRPr="00000000">
        <w:rPr>
          <w:rFonts w:ascii="Arial" w:cs="Arial" w:eastAsia="Arial" w:hAnsi="Arial"/>
          <w:sz w:val="20"/>
          <w:szCs w:val="20"/>
          <w:rtl w:val="0"/>
        </w:rPr>
        <w:t xml:space="preserve">, E. M.</w:t>
      </w:r>
      <w:r w:rsidDel="00000000" w:rsidR="00000000" w:rsidRPr="00000000">
        <w:rPr>
          <w:rtl w:val="0"/>
        </w:rPr>
      </w:r>
    </w:p>
    <w:p w:rsidR="00000000" w:rsidDel="00000000" w:rsidP="00000000" w:rsidRDefault="00000000" w:rsidRPr="00000000" w14:paraId="00000007">
      <w:pPr>
        <w:widowControl w:val="0"/>
        <w:ind w:right="15"/>
        <w:jc w:val="both"/>
        <w:rPr>
          <w:rFonts w:ascii="Arial" w:cs="Arial" w:eastAsia="Arial" w:hAnsi="Arial"/>
          <w:sz w:val="20"/>
          <w:szCs w:val="20"/>
          <w:vertAlign w:val="superscript"/>
        </w:rPr>
      </w:pPr>
      <w:r w:rsidDel="00000000" w:rsidR="00000000" w:rsidRPr="00000000">
        <w:rPr>
          <w:rtl w:val="0"/>
        </w:rPr>
      </w:r>
    </w:p>
    <w:p w:rsidR="00000000" w:rsidDel="00000000" w:rsidP="00000000" w:rsidRDefault="00000000" w:rsidRPr="00000000" w14:paraId="00000008">
      <w:pPr>
        <w:widowControl w:val="0"/>
        <w:ind w:right="15"/>
        <w:jc w:val="both"/>
        <w:rPr>
          <w:rFonts w:ascii="Arial" w:cs="Arial" w:eastAsia="Arial" w:hAnsi="Arial"/>
          <w:sz w:val="20"/>
          <w:szCs w:val="20"/>
        </w:rPr>
      </w:pPr>
      <w:r w:rsidDel="00000000" w:rsidR="00000000" w:rsidRPr="00000000">
        <w:rPr>
          <w:rFonts w:ascii="Arial" w:cs="Arial" w:eastAsia="Arial" w:hAnsi="Arial"/>
          <w:sz w:val="20"/>
          <w:szCs w:val="20"/>
          <w:vertAlign w:val="superscript"/>
          <w:rtl w:val="0"/>
        </w:rPr>
        <w:t xml:space="preserve">1</w:t>
      </w:r>
      <w:r w:rsidDel="00000000" w:rsidR="00000000" w:rsidRPr="00000000">
        <w:rPr>
          <w:rFonts w:ascii="Arial" w:cs="Arial" w:eastAsia="Arial" w:hAnsi="Arial"/>
          <w:sz w:val="20"/>
          <w:szCs w:val="20"/>
          <w:rtl w:val="0"/>
        </w:rPr>
        <w:t xml:space="preserve">Universidade Federal da Fronteira Sul</w:t>
      </w:r>
    </w:p>
    <w:p w:rsidR="00000000" w:rsidDel="00000000" w:rsidP="00000000" w:rsidRDefault="00000000" w:rsidRPr="00000000" w14:paraId="00000009">
      <w:pPr>
        <w:widowControl w:val="0"/>
        <w:ind w:right="15"/>
        <w:jc w:val="both"/>
        <w:rPr>
          <w:rFonts w:ascii="Arial" w:cs="Arial" w:eastAsia="Arial" w:hAnsi="Arial"/>
          <w:sz w:val="20"/>
          <w:szCs w:val="20"/>
        </w:rPr>
      </w:pP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Universidade Federal da Fronteira Sul</w:t>
      </w:r>
    </w:p>
    <w:p w:rsidR="00000000" w:rsidDel="00000000" w:rsidP="00000000" w:rsidRDefault="00000000" w:rsidRPr="00000000" w14:paraId="0000000A">
      <w:pPr>
        <w:widowControl w:val="0"/>
        <w:ind w:right="15"/>
        <w:jc w:val="both"/>
        <w:rPr>
          <w:rFonts w:ascii="Arial" w:cs="Arial" w:eastAsia="Arial" w:hAnsi="Arial"/>
          <w:sz w:val="20"/>
          <w:szCs w:val="20"/>
        </w:rPr>
      </w:pPr>
      <w:r w:rsidDel="00000000" w:rsidR="00000000" w:rsidRPr="00000000">
        <w:rPr>
          <w:rFonts w:ascii="Arial" w:cs="Arial" w:eastAsia="Arial" w:hAnsi="Arial"/>
          <w:sz w:val="20"/>
          <w:szCs w:val="20"/>
          <w:vertAlign w:val="superscript"/>
          <w:rtl w:val="0"/>
        </w:rPr>
        <w:t xml:space="preserve">3</w:t>
      </w:r>
      <w:r w:rsidDel="00000000" w:rsidR="00000000" w:rsidRPr="00000000">
        <w:rPr>
          <w:rFonts w:ascii="Arial" w:cs="Arial" w:eastAsia="Arial" w:hAnsi="Arial"/>
          <w:sz w:val="20"/>
          <w:szCs w:val="20"/>
          <w:rtl w:val="0"/>
        </w:rPr>
        <w:t xml:space="preserve">Universidade Federal da Fronteira Sul</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spacing w:line="240" w:lineRule="auto"/>
        <w:jc w:val="both"/>
        <w:rPr>
          <w:rFonts w:ascii="Arial" w:cs="Arial" w:eastAsia="Arial" w:hAnsi="Arial"/>
        </w:rPr>
      </w:pPr>
      <w:r w:rsidDel="00000000" w:rsidR="00000000" w:rsidRPr="00000000">
        <w:rPr>
          <w:rFonts w:ascii="Arial" w:cs="Arial" w:eastAsia="Arial" w:hAnsi="Arial"/>
          <w:rtl w:val="0"/>
        </w:rPr>
        <w:t xml:space="preserve">O presente estudo teve por objetivo, avaliar sensorialmente três formulações de chá gelado de erva-mate com adição de polpa de guabiroba </w:t>
      </w:r>
      <w:r w:rsidDel="00000000" w:rsidR="00000000" w:rsidRPr="00000000">
        <w:rPr>
          <w:rFonts w:ascii="Arial" w:cs="Arial" w:eastAsia="Arial" w:hAnsi="Arial"/>
          <w:rtl w:val="0"/>
        </w:rPr>
        <w:t xml:space="preserve">e</w:t>
      </w:r>
      <w:r w:rsidDel="00000000" w:rsidR="00000000" w:rsidRPr="00000000">
        <w:rPr>
          <w:rFonts w:ascii="Arial" w:cs="Arial" w:eastAsia="Arial" w:hAnsi="Arial"/>
          <w:rtl w:val="0"/>
        </w:rPr>
        <w:t xml:space="preserve"> uma formulação padrão, </w:t>
      </w:r>
      <w:r w:rsidDel="00000000" w:rsidR="00000000" w:rsidRPr="00000000">
        <w:rPr>
          <w:rFonts w:ascii="Arial" w:cs="Arial" w:eastAsia="Arial" w:hAnsi="Arial"/>
          <w:color w:val="111111"/>
          <w:highlight w:val="white"/>
          <w:rtl w:val="0"/>
        </w:rPr>
        <w:t xml:space="preserve">aplicando teste de aceitação com escala hedônica de 9 pontos para os atributos </w:t>
      </w:r>
      <w:r w:rsidDel="00000000" w:rsidR="00000000" w:rsidRPr="00000000">
        <w:rPr>
          <w:rFonts w:ascii="Arial" w:cs="Arial" w:eastAsia="Arial" w:hAnsi="Arial"/>
          <w:rtl w:val="0"/>
        </w:rPr>
        <w:t xml:space="preserve">aparência, cor, aroma, sabor, doçura, textura</w:t>
      </w:r>
      <w:r w:rsidDel="00000000" w:rsidR="00000000" w:rsidRPr="00000000">
        <w:rPr>
          <w:rFonts w:ascii="Arial" w:cs="Arial" w:eastAsia="Arial" w:hAnsi="Arial"/>
          <w:color w:val="111111"/>
          <w:highlight w:val="white"/>
          <w:rtl w:val="0"/>
        </w:rPr>
        <w:t xml:space="preserve"> e teste de intenção de compra com escala de 5 pontos. As formulações de chá gelado tiveram adição de 12% (F1), 16% (F2), </w:t>
      </w:r>
      <w:r w:rsidDel="00000000" w:rsidR="00000000" w:rsidRPr="00000000">
        <w:rPr>
          <w:rFonts w:ascii="Arial" w:cs="Arial" w:eastAsia="Arial" w:hAnsi="Arial"/>
          <w:highlight w:val="white"/>
          <w:rtl w:val="0"/>
        </w:rPr>
        <w:t xml:space="preserve">20%</w:t>
      </w:r>
      <w:r w:rsidDel="00000000" w:rsidR="00000000" w:rsidRPr="00000000">
        <w:rPr>
          <w:rFonts w:ascii="Arial" w:cs="Arial" w:eastAsia="Arial" w:hAnsi="Arial"/>
          <w:color w:val="111111"/>
          <w:highlight w:val="white"/>
          <w:rtl w:val="0"/>
        </w:rPr>
        <w:t xml:space="preserve"> (F3) e 0% (F4 – padrão) de polpa da fruta. Os dados foram analisados pela análise de variância (ANOVA, p &lt; 0,05) e tendo diferença significativa, utilizou-se o teste de comparação de médias de Tukey</w:t>
      </w:r>
      <w:r w:rsidDel="00000000" w:rsidR="00000000" w:rsidRPr="00000000">
        <w:rPr>
          <w:rFonts w:ascii="Arial" w:cs="Arial" w:eastAsia="Arial" w:hAnsi="Arial"/>
          <w:color w:val="111111"/>
          <w:rtl w:val="0"/>
        </w:rPr>
        <w:t xml:space="preserve"> (p &lt; 0,05)</w:t>
      </w:r>
      <w:r w:rsidDel="00000000" w:rsidR="00000000" w:rsidRPr="00000000">
        <w:rPr>
          <w:rFonts w:ascii="Arial" w:cs="Arial" w:eastAsia="Arial" w:hAnsi="Arial"/>
          <w:rtl w:val="0"/>
        </w:rPr>
        <w:t xml:space="preserve">. Os resultados apresentaram diferenças significativas somente para os atributos  doçura e textura, e as formulações F2 e F3 apresentaram maiores notas para ambos os atributos, possivelmente devido a doçura e viscosidade proporcionadas pela maior adição da polpa de guabiroba. Já aos demais atributos, impressão global, intenção de compra e aceitabilidade, as amostras não apresentaram diferença significativa. Os resultados obtidos mostraram que dentre as formulações avaliadas de chá gelado adicionado de polpa, as que apresentam maiores concentrações de polpa foram mais aceitas pelos avaliadores.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Palavras-chave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Matérias-primas regionais, Chá com adição de polpa, Análise sensorial</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sz w:val="20"/>
          <w:szCs w:val="20"/>
          <w:vertAlign w:val="superscript"/>
        </w:rPr>
      </w:pPr>
      <w:r w:rsidDel="00000000" w:rsidR="00000000" w:rsidRPr="00000000">
        <w:rPr>
          <w:rtl w:val="0"/>
        </w:rPr>
      </w:r>
    </w:p>
    <w:p w:rsidR="00000000" w:rsidDel="00000000" w:rsidP="00000000" w:rsidRDefault="00000000" w:rsidRPr="00000000" w14:paraId="00000012">
      <w:pPr>
        <w:rPr>
          <w:rFonts w:ascii="Arial" w:cs="Arial" w:eastAsia="Arial" w:hAnsi="Arial"/>
          <w:sz w:val="20"/>
          <w:szCs w:val="20"/>
          <w:vertAlign w:val="superscript"/>
        </w:rPr>
      </w:pPr>
      <w:r w:rsidDel="00000000" w:rsidR="00000000" w:rsidRPr="00000000">
        <w:rPr>
          <w:rtl w:val="0"/>
        </w:rPr>
      </w:r>
    </w:p>
    <w:p w:rsidR="00000000" w:rsidDel="00000000" w:rsidP="00000000" w:rsidRDefault="00000000" w:rsidRPr="00000000" w14:paraId="00000013">
      <w:pPr>
        <w:rPr>
          <w:rFonts w:ascii="Arial" w:cs="Arial" w:eastAsia="Arial" w:hAnsi="Arial"/>
          <w:sz w:val="20"/>
          <w:szCs w:val="20"/>
          <w:vertAlign w:val="superscript"/>
        </w:rPr>
      </w:pPr>
      <w:r w:rsidDel="00000000" w:rsidR="00000000" w:rsidRPr="00000000">
        <w:rPr>
          <w:rtl w:val="0"/>
        </w:rPr>
      </w:r>
    </w:p>
    <w:p w:rsidR="00000000" w:rsidDel="00000000" w:rsidP="00000000" w:rsidRDefault="00000000" w:rsidRPr="00000000" w14:paraId="00000014">
      <w:pPr>
        <w:rPr>
          <w:rFonts w:ascii="Arial" w:cs="Arial" w:eastAsia="Arial" w:hAnsi="Arial"/>
          <w:sz w:val="20"/>
          <w:szCs w:val="20"/>
          <w:vertAlign w:val="superscript"/>
        </w:rPr>
      </w:pPr>
      <w:r w:rsidDel="00000000" w:rsidR="00000000" w:rsidRPr="00000000">
        <w:rPr>
          <w:rtl w:val="0"/>
        </w:rPr>
      </w:r>
    </w:p>
    <w:p w:rsidR="00000000" w:rsidDel="00000000" w:rsidP="00000000" w:rsidRDefault="00000000" w:rsidRPr="00000000" w14:paraId="00000015">
      <w:pPr>
        <w:rPr>
          <w:rFonts w:ascii="Arial" w:cs="Arial" w:eastAsia="Arial" w:hAnsi="Arial"/>
          <w:sz w:val="20"/>
          <w:szCs w:val="20"/>
          <w:vertAlign w:val="superscript"/>
        </w:rPr>
      </w:pPr>
      <w:r w:rsidDel="00000000" w:rsidR="00000000" w:rsidRPr="00000000">
        <w:rPr>
          <w:rtl w:val="0"/>
        </w:rPr>
      </w:r>
    </w:p>
    <w:p w:rsidR="00000000" w:rsidDel="00000000" w:rsidP="00000000" w:rsidRDefault="00000000" w:rsidRPr="00000000" w14:paraId="00000016">
      <w:pPr>
        <w:rPr>
          <w:rFonts w:ascii="Arial" w:cs="Arial" w:eastAsia="Arial" w:hAnsi="Arial"/>
          <w:sz w:val="20"/>
          <w:szCs w:val="20"/>
          <w:vertAlign w:val="superscript"/>
        </w:rPr>
      </w:pPr>
      <w:r w:rsidDel="00000000" w:rsidR="00000000" w:rsidRPr="00000000">
        <w:rPr>
          <w:rtl w:val="0"/>
        </w:rPr>
      </w:r>
    </w:p>
    <w:p w:rsidR="00000000" w:rsidDel="00000000" w:rsidP="00000000" w:rsidRDefault="00000000" w:rsidRPr="00000000" w14:paraId="00000017">
      <w:pPr>
        <w:rPr>
          <w:rFonts w:ascii="Arial" w:cs="Arial" w:eastAsia="Arial" w:hAnsi="Arial"/>
          <w:sz w:val="20"/>
          <w:szCs w:val="20"/>
          <w:vertAlign w:val="superscript"/>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headerReference r:id="rId6" w:type="default"/>
      <w:footerReference r:id="rId7" w:type="default"/>
      <w:pgSz w:h="16838" w:w="11906"/>
      <w:pgMar w:bottom="1417" w:top="167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8º Seminário Mercosul de Bebidas</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09 de agosto de 2019, Cascavel - Paraná</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4304030</wp:posOffset>
          </wp:positionH>
          <wp:positionV relativeFrom="paragraph">
            <wp:posOffset>42545</wp:posOffset>
          </wp:positionV>
          <wp:extent cx="1067435" cy="1009015"/>
          <wp:effectExtent b="0" l="0" r="0" t="0"/>
          <wp:wrapSquare wrapText="bothSides" distB="0" distT="0" distL="114300" distR="114300"/>
          <wp:docPr descr="Logo Fundetec.jpg" id="3" name="image2.jpg"/>
          <a:graphic>
            <a:graphicData uri="http://schemas.openxmlformats.org/drawingml/2006/picture">
              <pic:pic>
                <pic:nvPicPr>
                  <pic:cNvPr descr="Logo Fundetec.jpg" id="0" name="image2.jpg"/>
                  <pic:cNvPicPr preferRelativeResize="0"/>
                </pic:nvPicPr>
                <pic:blipFill>
                  <a:blip r:embed="rId1"/>
                  <a:srcRect b="0" l="0" r="0" t="0"/>
                  <a:stretch>
                    <a:fillRect/>
                  </a:stretch>
                </pic:blipFill>
                <pic:spPr>
                  <a:xfrm>
                    <a:off x="0" y="0"/>
                    <a:ext cx="1067435" cy="10090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2171700</wp:posOffset>
          </wp:positionH>
          <wp:positionV relativeFrom="paragraph">
            <wp:posOffset>0</wp:posOffset>
          </wp:positionV>
          <wp:extent cx="982980" cy="1078230"/>
          <wp:effectExtent b="0" l="0" r="0" t="0"/>
          <wp:wrapSquare wrapText="bothSides" distB="0" distT="0" distL="114300" distR="114300"/>
          <wp:docPr descr="Seminário-Mercosul-de-Bebidas-PNG.png" id="1" name="image1.png"/>
          <a:graphic>
            <a:graphicData uri="http://schemas.openxmlformats.org/drawingml/2006/picture">
              <pic:pic>
                <pic:nvPicPr>
                  <pic:cNvPr descr="Seminário-Mercosul-de-Bebidas-PNG.png" id="0" name="image1.png"/>
                  <pic:cNvPicPr preferRelativeResize="0"/>
                </pic:nvPicPr>
                <pic:blipFill>
                  <a:blip r:embed="rId2"/>
                  <a:srcRect b="0" l="0" r="0" t="0"/>
                  <a:stretch>
                    <a:fillRect/>
                  </a:stretch>
                </pic:blipFill>
                <pic:spPr>
                  <a:xfrm>
                    <a:off x="0" y="0"/>
                    <a:ext cx="982980" cy="10782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-152399</wp:posOffset>
          </wp:positionV>
          <wp:extent cx="1188085" cy="1009015"/>
          <wp:effectExtent b="0" l="0" r="0" t="0"/>
          <wp:wrapSquare wrapText="bothSides" distB="0" distT="0" distL="114300" distR="114300"/>
          <wp:docPr descr="logo governo Cascavel.jpg" id="2" name="image3.png"/>
          <a:graphic>
            <a:graphicData uri="http://schemas.openxmlformats.org/drawingml/2006/picture">
              <pic:pic>
                <pic:nvPicPr>
                  <pic:cNvPr descr="logo governo Cascavel.jpg" id="0" name="image3.png"/>
                  <pic:cNvPicPr preferRelativeResize="0"/>
                </pic:nvPicPr>
                <pic:blipFill>
                  <a:blip r:embed="rId3"/>
                  <a:srcRect b="0" l="0" r="0" t="0"/>
                  <a:stretch>
                    <a:fillRect/>
                  </a:stretch>
                </pic:blipFill>
                <pic:spPr>
                  <a:xfrm>
                    <a:off x="0" y="0"/>
                    <a:ext cx="1188085" cy="1009015"/>
                  </a:xfrm>
                  <a:prstGeom prst="rect"/>
                  <a:ln/>
                </pic:spPr>
              </pic:pic>
            </a:graphicData>
          </a:graphic>
        </wp:anchor>
      </w:drawing>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