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Arial" w:cs="Arial" w:eastAsia="Arial" w:hAnsi="Arial"/>
          <w:i w:val="1"/>
          <w:color w:val="ff0000"/>
        </w:rPr>
      </w:pPr>
      <w:r w:rsidDel="00000000" w:rsidR="00000000" w:rsidRPr="00000000">
        <w:rPr>
          <w:rFonts w:ascii="Arial" w:cs="Arial" w:eastAsia="Arial" w:hAnsi="Arial"/>
          <w:b w:val="1"/>
          <w:rtl w:val="0"/>
        </w:rPr>
        <w:t xml:space="preserve">EIXO TEMÁTICO: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1"/>
          <w:shd w:fill="f7f9fa" w:val="clear"/>
          <w:rtl w:val="0"/>
        </w:rPr>
        <w:t xml:space="preserve">Tecnologia Socioambiental e Biodiversidade</w:t>
      </w:r>
      <w:r w:rsidDel="00000000" w:rsidR="00000000" w:rsidRPr="00000000">
        <w:rPr>
          <w:rtl w:val="0"/>
        </w:rPr>
      </w:r>
    </w:p>
    <w:p w:rsidR="00000000" w:rsidDel="00000000" w:rsidP="00000000" w:rsidRDefault="00000000" w:rsidRPr="00000000" w14:paraId="00000002">
      <w:pPr>
        <w:rPr>
          <w:rFonts w:ascii="Arial" w:cs="Arial" w:eastAsia="Arial" w:hAnsi="Arial"/>
          <w:i w:val="1"/>
          <w:color w:val="ff0000"/>
        </w:rPr>
      </w:pPr>
      <w:r w:rsidDel="00000000" w:rsidR="00000000" w:rsidRPr="00000000">
        <w:rPr>
          <w:rtl w:val="0"/>
        </w:rPr>
      </w:r>
    </w:p>
    <w:p w:rsidR="00000000" w:rsidDel="00000000" w:rsidP="00000000" w:rsidRDefault="00000000" w:rsidRPr="00000000" w14:paraId="00000003">
      <w:pPr>
        <w:pStyle w:val="Heading2"/>
        <w:shd w:fill="ffffff" w:val="clear"/>
        <w:spacing w:after="0" w:before="0" w:lineRule="auto"/>
        <w:ind w:right="240"/>
        <w:jc w:val="center"/>
        <w:rPr>
          <w:rFonts w:ascii="Arial" w:cs="Arial" w:eastAsia="Arial" w:hAnsi="Arial"/>
          <w:sz w:val="32"/>
          <w:szCs w:val="32"/>
        </w:rPr>
      </w:pPr>
      <w:r w:rsidDel="00000000" w:rsidR="00000000" w:rsidRPr="00000000">
        <w:rPr>
          <w:rFonts w:ascii="Arial" w:cs="Arial" w:eastAsia="Arial" w:hAnsi="Arial"/>
          <w:rtl w:val="0"/>
        </w:rPr>
        <w:t xml:space="preserve">BIOINDICADORES DA QUALIDADE DO SOLO EM DIFERENTES ECOSSISTEMAS DO PARQUE MUNICIPAL DE MACEIÓ-AL</w:t>
      </w:r>
      <w:r w:rsidDel="00000000" w:rsidR="00000000" w:rsidRPr="00000000">
        <w:rPr>
          <w:rFonts w:ascii="Arial" w:cs="Arial" w:eastAsia="Arial" w:hAnsi="Arial"/>
          <w:b w:val="0"/>
          <w:color w:val="ff0000"/>
          <w:sz w:val="32"/>
          <w:szCs w:val="32"/>
          <w:rtl w:val="0"/>
        </w:rPr>
        <w:t xml:space="preserve"> </w:t>
      </w:r>
      <w:r w:rsidDel="00000000" w:rsidR="00000000" w:rsidRPr="00000000">
        <w:rPr>
          <w:rtl w:val="0"/>
        </w:rPr>
      </w:r>
    </w:p>
    <w:p w:rsidR="00000000" w:rsidDel="00000000" w:rsidP="00000000" w:rsidRDefault="00000000" w:rsidRPr="00000000" w14:paraId="00000004">
      <w:pPr>
        <w:widowControl w:val="0"/>
        <w:tabs>
          <w:tab w:val="left" w:pos="8505"/>
        </w:tabs>
        <w:ind w:right="49"/>
        <w:rPr>
          <w:rFonts w:ascii="Arial" w:cs="Arial" w:eastAsia="Arial" w:hAnsi="Arial"/>
        </w:rPr>
      </w:pPr>
      <w:r w:rsidDel="00000000" w:rsidR="00000000" w:rsidRPr="00000000">
        <w:rPr>
          <w:rtl w:val="0"/>
        </w:rPr>
      </w:r>
    </w:p>
    <w:p w:rsidR="00000000" w:rsidDel="00000000" w:rsidP="00000000" w:rsidRDefault="00000000" w:rsidRPr="00000000" w14:paraId="00000005">
      <w:pPr>
        <w:widowControl w:val="0"/>
        <w:tabs>
          <w:tab w:val="left" w:pos="8505"/>
        </w:tabs>
        <w:ind w:right="49"/>
        <w:jc w:val="right"/>
        <w:rPr>
          <w:rFonts w:ascii="Arial" w:cs="Arial" w:eastAsia="Arial" w:hAnsi="Arial"/>
        </w:rPr>
      </w:pPr>
      <w:r w:rsidDel="00000000" w:rsidR="00000000" w:rsidRPr="00000000">
        <w:rPr>
          <w:rFonts w:ascii="Arial" w:cs="Arial" w:eastAsia="Arial" w:hAnsi="Arial"/>
          <w:rtl w:val="0"/>
        </w:rPr>
        <w:t xml:space="preserve">ACIOLI, T. G.</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CALHEIROS, A. R.</w:t>
      </w:r>
      <w:r w:rsidDel="00000000" w:rsidR="00000000" w:rsidRPr="00000000">
        <w:rPr>
          <w:rFonts w:ascii="Arial" w:cs="Arial" w:eastAsia="Arial" w:hAnsi="Arial"/>
          <w:vertAlign w:val="superscript"/>
          <w:rtl w:val="0"/>
        </w:rPr>
        <w:t xml:space="preserve">2</w:t>
      </w:r>
      <w:r w:rsidDel="00000000" w:rsidR="00000000" w:rsidRPr="00000000">
        <w:rPr>
          <w:rFonts w:ascii="Arial" w:cs="Arial" w:eastAsia="Arial" w:hAnsi="Arial"/>
          <w:rtl w:val="0"/>
        </w:rPr>
        <w:t xml:space="preserve">, COSTA, J. G. </w:t>
      </w:r>
      <w:r w:rsidDel="00000000" w:rsidR="00000000" w:rsidRPr="00000000">
        <w:rPr>
          <w:rFonts w:ascii="Arial" w:cs="Arial" w:eastAsia="Arial" w:hAnsi="Arial"/>
          <w:vertAlign w:val="superscript"/>
          <w:rtl w:val="0"/>
        </w:rPr>
        <w:t xml:space="preserve">3</w:t>
      </w:r>
      <w:r w:rsidDel="00000000" w:rsidR="00000000" w:rsidRPr="00000000">
        <w:rPr>
          <w:rFonts w:ascii="Arial" w:cs="Arial" w:eastAsia="Arial" w:hAnsi="Arial"/>
          <w:rtl w:val="0"/>
        </w:rPr>
        <w:t xml:space="preserve"> e SOUZA, M. A</w:t>
      </w:r>
      <w:r w:rsidDel="00000000" w:rsidR="00000000" w:rsidRPr="00000000">
        <w:rPr>
          <w:rFonts w:ascii="Arial" w:cs="Arial" w:eastAsia="Arial" w:hAnsi="Arial"/>
          <w:vertAlign w:val="superscript"/>
          <w:rtl w:val="0"/>
        </w:rPr>
        <w:t xml:space="preserve">4</w:t>
      </w:r>
      <w:r w:rsidDel="00000000" w:rsidR="00000000" w:rsidRPr="00000000">
        <w:rPr>
          <w:rtl w:val="0"/>
        </w:rPr>
      </w:r>
    </w:p>
    <w:p w:rsidR="00000000" w:rsidDel="00000000" w:rsidP="00000000" w:rsidRDefault="00000000" w:rsidRPr="00000000" w14:paraId="00000006">
      <w:pPr>
        <w:widowControl w:val="0"/>
        <w:ind w:right="49"/>
        <w:jc w:val="right"/>
        <w:rPr>
          <w:rFonts w:ascii="Arial" w:cs="Arial" w:eastAsia="Arial" w:hAnsi="Arial"/>
          <w:vertAlign w:val="superscript"/>
        </w:rPr>
      </w:pPr>
      <w:r w:rsidDel="00000000" w:rsidR="00000000" w:rsidRPr="00000000">
        <w:rPr>
          <w:rtl w:val="0"/>
        </w:rPr>
      </w:r>
    </w:p>
    <w:p w:rsidR="00000000" w:rsidDel="00000000" w:rsidP="00000000" w:rsidRDefault="00000000" w:rsidRPr="00000000" w14:paraId="00000007">
      <w:pPr>
        <w:widowControl w:val="0"/>
        <w:ind w:right="49"/>
        <w:jc w:val="right"/>
        <w:rPr>
          <w:rFonts w:ascii="Arial" w:cs="Arial" w:eastAsia="Arial" w:hAnsi="Arial"/>
        </w:rPr>
      </w:pP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Centro Universitário Cesmac, Curso de Biologia</w:t>
      </w:r>
    </w:p>
    <w:p w:rsidR="00000000" w:rsidDel="00000000" w:rsidP="00000000" w:rsidRDefault="00000000" w:rsidRPr="00000000" w14:paraId="00000008">
      <w:pPr>
        <w:widowControl w:val="0"/>
        <w:ind w:right="49"/>
        <w:jc w:val="right"/>
        <w:rPr>
          <w:rFonts w:ascii="Arial" w:cs="Arial" w:eastAsia="Arial" w:hAnsi="Arial"/>
        </w:rPr>
      </w:pPr>
      <w:r w:rsidDel="00000000" w:rsidR="00000000" w:rsidRPr="00000000">
        <w:rPr>
          <w:rFonts w:ascii="Arial" w:cs="Arial" w:eastAsia="Arial" w:hAnsi="Arial"/>
          <w:vertAlign w:val="superscript"/>
          <w:rtl w:val="0"/>
        </w:rPr>
        <w:t xml:space="preserve">2,3 e 4</w:t>
      </w:r>
      <w:r w:rsidDel="00000000" w:rsidR="00000000" w:rsidRPr="00000000">
        <w:rPr>
          <w:rFonts w:ascii="Arial" w:cs="Arial" w:eastAsia="Arial" w:hAnsi="Arial"/>
          <w:rtl w:val="0"/>
        </w:rPr>
        <w:t xml:space="preserve"> Centro Universitário Cesmac, Programa de Pós-Graduação em Análise de Sistemas ambientais</w:t>
      </w:r>
    </w:p>
    <w:p w:rsidR="00000000" w:rsidDel="00000000" w:rsidP="00000000" w:rsidRDefault="00000000" w:rsidRPr="00000000" w14:paraId="00000009">
      <w:pPr>
        <w:widowControl w:val="0"/>
        <w:ind w:right="49"/>
        <w:jc w:val="right"/>
        <w:rPr>
          <w:rFonts w:ascii="Arial" w:cs="Arial" w:eastAsia="Arial" w:hAnsi="Arial"/>
        </w:rPr>
      </w:pPr>
      <w:r w:rsidDel="00000000" w:rsidR="00000000" w:rsidRPr="00000000">
        <w:rPr>
          <w:rFonts w:ascii="Arial" w:cs="Arial" w:eastAsia="Arial" w:hAnsi="Arial"/>
          <w:rtl w:val="0"/>
        </w:rPr>
        <w:t xml:space="preserve">E-mail do apresentador: thaisyacioli10@hotmail.com</w:t>
      </w:r>
    </w:p>
    <w:p w:rsidR="00000000" w:rsidDel="00000000" w:rsidP="00000000" w:rsidRDefault="00000000" w:rsidRPr="00000000" w14:paraId="0000000A">
      <w:pPr>
        <w:widowControl w:val="0"/>
        <w:ind w:right="49"/>
        <w:jc w:val="right"/>
        <w:rPr>
          <w:rFonts w:ascii="Arial" w:cs="Arial" w:eastAsia="Arial" w:hAnsi="Arial"/>
          <w:i w:val="1"/>
          <w:color w:val="ff0000"/>
        </w:rPr>
      </w:pPr>
      <w:r w:rsidDel="00000000" w:rsidR="00000000" w:rsidRPr="00000000">
        <w:rPr>
          <w:rFonts w:ascii="Arial" w:cs="Arial" w:eastAsia="Arial" w:hAnsi="Arial"/>
          <w:i w:val="1"/>
          <w:color w:val="ff0000"/>
          <w:rtl w:val="0"/>
        </w:rPr>
        <w:t xml:space="preserve"> </w:t>
      </w:r>
    </w:p>
    <w:p w:rsidR="00000000" w:rsidDel="00000000" w:rsidP="00000000" w:rsidRDefault="00000000" w:rsidRPr="00000000" w14:paraId="0000000B">
      <w:pPr>
        <w:widowControl w:val="0"/>
        <w:ind w:right="49"/>
        <w:jc w:val="right"/>
        <w:rPr>
          <w:rFonts w:ascii="Arial" w:cs="Arial" w:eastAsia="Arial" w:hAnsi="Arial"/>
          <w:i w:val="1"/>
          <w:color w:val="ff0000"/>
        </w:rPr>
      </w:pPr>
      <w:r w:rsidDel="00000000" w:rsidR="00000000" w:rsidRPr="00000000">
        <w:rPr>
          <w:rtl w:val="0"/>
        </w:rPr>
      </w:r>
    </w:p>
    <w:p w:rsidR="00000000" w:rsidDel="00000000" w:rsidP="00000000" w:rsidRDefault="00000000" w:rsidRPr="00000000" w14:paraId="0000000C">
      <w:pPr>
        <w:jc w:val="both"/>
        <w:rPr>
          <w:rFonts w:ascii="Arial" w:cs="Arial" w:eastAsia="Arial" w:hAnsi="Arial"/>
          <w:color w:val="000000"/>
        </w:rPr>
      </w:pPr>
      <w:r w:rsidDel="00000000" w:rsidR="00000000" w:rsidRPr="00000000">
        <w:rPr>
          <w:rFonts w:ascii="Arial" w:cs="Arial" w:eastAsia="Arial" w:hAnsi="Arial"/>
          <w:rtl w:val="0"/>
        </w:rPr>
        <w:t xml:space="preserve">RESUMO EXPANDIDO – A Mata Atlântica é um bioma riquíssimo em biodiversidade que contém espécies endêmicas mas vive em constante ameaça devido às interferências antrópicas. Várias são as causas que provocam perda da biodiversidade de um bioma, dentre elas destaca-se a invasão biológica por ser considerada impactante, uma vez que entra em competição com a vegetação nativa podendo ser prejudicial ao ambiente. Nesse sentido este trabalho tem o objetivo de avaliar a diversidade da fauna edáfica em fragmento de mata atlântica e bambuzal presentes no Parque Municipal de Maceió-AL. Para tal foram selecionadas duas áreas: 1- mata nativa e 2- bambuzal. Foram coletadas em cada área 10 amostras de solo + serapilheira na profundidade de 0 a 10 cm, para avaliação dos organismos do solo (macrofauna e mesofauna) e calculado a abundância e diversidade dos organismos através dos índices de Shannon e Pielou. Paralelamente, foram coletadas nas áreas 10 amostras de serapilheira, acondicionadas em sacos plásticos e encaminhadas ao laboratório </w:t>
      </w:r>
      <w:r w:rsidDel="00000000" w:rsidR="00000000" w:rsidRPr="00000000">
        <w:rPr>
          <w:rFonts w:ascii="Arial" w:cs="Arial" w:eastAsia="Arial" w:hAnsi="Arial"/>
          <w:color w:val="000000"/>
          <w:rtl w:val="0"/>
        </w:rPr>
        <w:t xml:space="preserve">para secagem em estufa com circulação forçada de ar a 65°C</w:t>
      </w:r>
      <w:r w:rsidDel="00000000" w:rsidR="00000000" w:rsidRPr="00000000">
        <w:rPr>
          <w:rFonts w:ascii="Arial" w:cs="Arial" w:eastAsia="Arial" w:hAnsi="Arial"/>
          <w:rtl w:val="0"/>
        </w:rPr>
        <w:t xml:space="preserve"> até atingirem peso constante sendo quantificada a biomassa seca e estimada a produção de serapilheira. Também foi avaliado as condições edafoclimátcas. </w:t>
      </w:r>
      <w:r w:rsidDel="00000000" w:rsidR="00000000" w:rsidRPr="00000000">
        <w:rPr>
          <w:rFonts w:ascii="Arial" w:cs="Arial" w:eastAsia="Arial" w:hAnsi="Arial"/>
          <w:color w:val="000000"/>
          <w:rtl w:val="0"/>
        </w:rPr>
        <w:t xml:space="preserve">Os dados obtidos foram submetidos ao teste t de Student e estimativas de correlações de Pearson. Todas as análises foram realizadas utilizando-se o software Genes. </w:t>
      </w:r>
      <w:r w:rsidDel="00000000" w:rsidR="00000000" w:rsidRPr="00000000">
        <w:rPr>
          <w:rFonts w:ascii="Arial" w:cs="Arial" w:eastAsia="Arial" w:hAnsi="Arial"/>
          <w:rtl w:val="0"/>
        </w:rPr>
        <w:t xml:space="preserve">A Mata Atlântica apresentou maior riqueza de organismos da macrofauna e o Bambuzal maior diversidades de organismos da mesofauna; o</w:t>
      </w:r>
      <w:r w:rsidDel="00000000" w:rsidR="00000000" w:rsidRPr="00000000">
        <w:rPr>
          <w:rFonts w:ascii="Arial" w:cs="Arial" w:eastAsia="Arial" w:hAnsi="Arial"/>
          <w:color w:val="111111"/>
          <w:highlight w:val="white"/>
          <w:rtl w:val="0"/>
        </w:rPr>
        <w:t xml:space="preserve"> conteúdo de água do solo é determinante para abundância e estabelecimento dos organismos da mesofauna do solo; faz-se necessário o</w:t>
      </w:r>
      <w:r w:rsidDel="00000000" w:rsidR="00000000" w:rsidRPr="00000000">
        <w:rPr>
          <w:rFonts w:ascii="Arial" w:cs="Arial" w:eastAsia="Arial" w:hAnsi="Arial"/>
          <w:color w:val="000000"/>
          <w:rtl w:val="0"/>
        </w:rPr>
        <w:t xml:space="preserve"> monitoramento constante na área de bambuzal no Parque Municipal de Maceió (PMM), de modo a conter sua expansão e assim garantir a conservação e preservação da vegetação nativa.</w:t>
      </w:r>
    </w:p>
    <w:p w:rsidR="00000000" w:rsidDel="00000000" w:rsidP="00000000" w:rsidRDefault="00000000" w:rsidRPr="00000000" w14:paraId="0000000D">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PALAVRAS-CHAVE: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Biodiversidade, Preservação, Ciclagem de Nutrientes.</w:t>
      </w:r>
    </w:p>
    <w:p w:rsidR="00000000" w:rsidDel="00000000" w:rsidP="00000000" w:rsidRDefault="00000000" w:rsidRPr="00000000" w14:paraId="0000000F">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rPr/>
      </w:pPr>
      <w:bookmarkStart w:colFirst="0" w:colLast="0" w:name="_gjdgxs" w:id="0"/>
      <w:bookmarkEnd w:id="0"/>
      <w:r w:rsidDel="00000000" w:rsidR="00000000" w:rsidRPr="00000000">
        <w:rPr>
          <w:rtl w:val="0"/>
        </w:rPr>
      </w:r>
    </w:p>
    <w:sectPr>
      <w:headerReference r:id="rId6" w:type="default"/>
      <w:footerReference r:id="rId7" w:type="default"/>
      <w:pgSz w:h="16838" w:w="11906" w:orient="portrait"/>
      <w:pgMar w:bottom="1417" w:top="1417" w:left="1701" w:right="1701" w:header="28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Arial"/>
  <w:font w:name="Calibri"/>
  <w:font w:name="Jaapokk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Jaapokki" w:cs="Jaapokki" w:eastAsia="Jaapokki" w:hAnsi="Jaapokki"/>
        <w:b w:val="0"/>
        <w:i w:val="0"/>
        <w:smallCaps w:val="0"/>
        <w:strike w:val="0"/>
        <w:color w:val="0070c0"/>
        <w:sz w:val="24"/>
        <w:szCs w:val="24"/>
        <w:u w:val="none"/>
        <w:shd w:fill="auto" w:val="clear"/>
        <w:vertAlign w:val="baseline"/>
      </w:rPr>
    </w:pPr>
    <w:r w:rsidDel="00000000" w:rsidR="00000000" w:rsidRPr="00000000">
      <w:rPr>
        <w:rFonts w:ascii="Jaapokki" w:cs="Jaapokki" w:eastAsia="Jaapokki" w:hAnsi="Jaapokki"/>
        <w:b w:val="0"/>
        <w:i w:val="0"/>
        <w:smallCaps w:val="0"/>
        <w:strike w:val="0"/>
        <w:color w:val="0070c0"/>
        <w:sz w:val="24"/>
        <w:szCs w:val="24"/>
        <w:u w:val="none"/>
        <w:shd w:fill="auto" w:val="clear"/>
        <w:vertAlign w:val="baseline"/>
        <w:rtl w:val="0"/>
      </w:rPr>
      <w:t xml:space="preserve">congresso.academico@cesmac.edu.br</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-325754</wp:posOffset>
              </wp:positionH>
              <wp:positionV relativeFrom="paragraph">
                <wp:posOffset>-104139</wp:posOffset>
              </wp:positionV>
              <wp:extent cx="6202680" cy="45719"/>
              <wp:effectExtent b="0" l="0" r="7620" t="0"/>
              <wp:wrapNone/>
              <wp:docPr id="1" name=""/>
              <a:graphic>
                <a:graphicData uri="http://schemas.microsoft.com/office/word/2010/wordprocessingShape">
                  <wps:wsp>
                    <wps:cNvSpPr/>
                    <wps:spPr>
                      <a:xfrm>
                        <a:off x="0" y="0"/>
                        <a:ext cx="6202680" cy="4571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-325754</wp:posOffset>
              </wp:positionH>
              <wp:positionV relativeFrom="paragraph">
                <wp:posOffset>-104139</wp:posOffset>
              </wp:positionV>
              <wp:extent cx="6210300" cy="45719"/>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10300" cy="45719"/>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 w:val="left" w:pos="68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234884" cy="1312717"/>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34884" cy="1312717"/>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