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ECF3A" w14:textId="77777777" w:rsidR="000F16BF" w:rsidRDefault="000F16BF" w:rsidP="00F6654C">
      <w:pPr>
        <w:rPr>
          <w:b/>
          <w:bCs/>
          <w:color w:val="FF0000"/>
          <w:sz w:val="28"/>
          <w:szCs w:val="28"/>
        </w:rPr>
      </w:pPr>
    </w:p>
    <w:p w14:paraId="01B68651" w14:textId="78B3A83E" w:rsidR="000F16BF" w:rsidRPr="00F6654C" w:rsidRDefault="00F6654C">
      <w:pPr>
        <w:jc w:val="center"/>
        <w:rPr>
          <w:b/>
          <w:bCs/>
          <w:i/>
          <w:iCs/>
          <w:color w:val="C00000"/>
          <w:sz w:val="28"/>
          <w:szCs w:val="28"/>
        </w:rPr>
      </w:pPr>
      <w:r w:rsidRPr="00F6654C">
        <w:rPr>
          <w:b/>
          <w:bCs/>
          <w:sz w:val="28"/>
          <w:szCs w:val="28"/>
        </w:rPr>
        <w:t xml:space="preserve">Evaluation of the effects of a nonspecific phage cocktail on the biofilm and growth of </w:t>
      </w:r>
      <w:r w:rsidRPr="00F6654C">
        <w:rPr>
          <w:b/>
          <w:bCs/>
          <w:i/>
          <w:iCs/>
          <w:sz w:val="28"/>
          <w:szCs w:val="28"/>
        </w:rPr>
        <w:t>Stutzerimonas stutzeri</w:t>
      </w:r>
    </w:p>
    <w:p w14:paraId="35603D3A" w14:textId="276F481E" w:rsidR="000F16BF" w:rsidRDefault="00526F03">
      <w:pPr>
        <w:jc w:val="center"/>
      </w:pPr>
      <w:r>
        <w:t xml:space="preserve"> </w:t>
      </w:r>
    </w:p>
    <w:p w14:paraId="4819B75B" w14:textId="1AF696D5" w:rsidR="000F16BF" w:rsidRDefault="00526F03" w:rsidP="000B783D">
      <w:pPr>
        <w:ind w:left="360"/>
        <w:jc w:val="center"/>
        <w:rPr>
          <w:b/>
          <w:bCs/>
          <w:sz w:val="22"/>
          <w:szCs w:val="22"/>
        </w:rPr>
      </w:pPr>
      <w:r>
        <w:rPr>
          <w:b/>
          <w:bCs/>
          <w:sz w:val="22"/>
          <w:szCs w:val="22"/>
          <w:u w:val="single"/>
        </w:rPr>
        <w:t>T.F.</w:t>
      </w:r>
      <w:r w:rsidR="000B783D">
        <w:rPr>
          <w:b/>
          <w:bCs/>
          <w:sz w:val="22"/>
          <w:szCs w:val="22"/>
          <w:u w:val="single"/>
        </w:rPr>
        <w:t xml:space="preserve"> </w:t>
      </w:r>
      <w:r>
        <w:rPr>
          <w:b/>
          <w:bCs/>
          <w:sz w:val="22"/>
          <w:szCs w:val="22"/>
          <w:u w:val="single"/>
        </w:rPr>
        <w:t>Lopes</w:t>
      </w:r>
      <w:r w:rsidR="000B783D">
        <w:rPr>
          <w:b/>
          <w:bCs/>
          <w:sz w:val="22"/>
          <w:szCs w:val="22"/>
          <w:u w:val="single"/>
          <w:vertAlign w:val="superscript"/>
        </w:rPr>
        <w:t>1*</w:t>
      </w:r>
      <w:r w:rsidR="000B783D">
        <w:rPr>
          <w:b/>
          <w:bCs/>
          <w:sz w:val="22"/>
          <w:szCs w:val="22"/>
        </w:rPr>
        <w:t xml:space="preserve">, </w:t>
      </w:r>
      <w:r>
        <w:rPr>
          <w:b/>
          <w:bCs/>
          <w:sz w:val="22"/>
          <w:szCs w:val="22"/>
        </w:rPr>
        <w:t>J.J.S</w:t>
      </w:r>
      <w:r w:rsidR="000B783D">
        <w:rPr>
          <w:b/>
          <w:bCs/>
          <w:sz w:val="22"/>
          <w:szCs w:val="22"/>
        </w:rPr>
        <w:t>. S</w:t>
      </w:r>
      <w:r>
        <w:rPr>
          <w:b/>
          <w:bCs/>
          <w:sz w:val="22"/>
          <w:szCs w:val="22"/>
        </w:rPr>
        <w:t>oares</w:t>
      </w:r>
      <w:r>
        <w:rPr>
          <w:b/>
          <w:bCs/>
          <w:sz w:val="22"/>
          <w:szCs w:val="22"/>
          <w:vertAlign w:val="superscript"/>
        </w:rPr>
        <w:t>1</w:t>
      </w:r>
      <w:r w:rsidR="000B783D">
        <w:rPr>
          <w:b/>
          <w:bCs/>
          <w:sz w:val="22"/>
          <w:szCs w:val="22"/>
        </w:rPr>
        <w:t xml:space="preserve">, </w:t>
      </w:r>
      <w:r>
        <w:rPr>
          <w:b/>
          <w:bCs/>
          <w:sz w:val="22"/>
          <w:szCs w:val="22"/>
        </w:rPr>
        <w:t>A.J.C. Santos</w:t>
      </w:r>
      <w:r w:rsidR="000B783D">
        <w:rPr>
          <w:b/>
          <w:bCs/>
          <w:sz w:val="22"/>
          <w:szCs w:val="22"/>
          <w:vertAlign w:val="superscript"/>
        </w:rPr>
        <w:t>1</w:t>
      </w:r>
      <w:r>
        <w:rPr>
          <w:b/>
          <w:bCs/>
          <w:sz w:val="22"/>
          <w:szCs w:val="22"/>
        </w:rPr>
        <w:t>, P.C. Cunha</w:t>
      </w:r>
      <w:r w:rsidR="000B783D">
        <w:rPr>
          <w:b/>
          <w:bCs/>
          <w:sz w:val="22"/>
          <w:szCs w:val="22"/>
          <w:vertAlign w:val="superscript"/>
        </w:rPr>
        <w:t>1</w:t>
      </w:r>
      <w:r>
        <w:rPr>
          <w:b/>
          <w:bCs/>
          <w:sz w:val="22"/>
          <w:szCs w:val="22"/>
        </w:rPr>
        <w:t>, R.S. Dias</w:t>
      </w:r>
      <w:r>
        <w:rPr>
          <w:b/>
          <w:bCs/>
          <w:sz w:val="22"/>
          <w:szCs w:val="22"/>
          <w:vertAlign w:val="superscript"/>
        </w:rPr>
        <w:t>2</w:t>
      </w:r>
      <w:r>
        <w:rPr>
          <w:b/>
          <w:bCs/>
          <w:sz w:val="22"/>
          <w:szCs w:val="22"/>
        </w:rPr>
        <w:t>, S.O. De Paula</w:t>
      </w:r>
      <w:r>
        <w:rPr>
          <w:b/>
          <w:bCs/>
          <w:sz w:val="22"/>
          <w:szCs w:val="22"/>
          <w:vertAlign w:val="superscript"/>
        </w:rPr>
        <w:t>2</w:t>
      </w:r>
    </w:p>
    <w:p w14:paraId="1D9BFD5F" w14:textId="2152BBB6" w:rsidR="000F16BF" w:rsidRPr="000B783D" w:rsidRDefault="000B783D">
      <w:pPr>
        <w:jc w:val="center"/>
        <w:rPr>
          <w:i/>
          <w:iCs/>
          <w:color w:val="C00000"/>
          <w:sz w:val="18"/>
          <w:szCs w:val="18"/>
        </w:rPr>
      </w:pPr>
      <w:r w:rsidRPr="000B783D">
        <w:rPr>
          <w:i/>
          <w:iCs/>
          <w:sz w:val="18"/>
          <w:szCs w:val="18"/>
          <w:vertAlign w:val="superscript"/>
        </w:rPr>
        <w:t>1</w:t>
      </w:r>
      <w:r w:rsidR="00526F03" w:rsidRPr="000B783D">
        <w:rPr>
          <w:i/>
          <w:iCs/>
          <w:sz w:val="18"/>
          <w:szCs w:val="18"/>
        </w:rPr>
        <w:t>Federal University of Viçosa</w:t>
      </w:r>
      <w:r w:rsidRPr="000B783D">
        <w:rPr>
          <w:i/>
          <w:iCs/>
          <w:sz w:val="18"/>
          <w:szCs w:val="18"/>
        </w:rPr>
        <w:t>, Department of General Microbiology, Molecular Immunovirology Laboratory, University Campus – Viçosa, MG – Brazil 36570-900</w:t>
      </w:r>
      <w:r w:rsidRPr="000B783D">
        <w:rPr>
          <w:i/>
          <w:iCs/>
          <w:sz w:val="18"/>
          <w:szCs w:val="18"/>
        </w:rPr>
        <w:t xml:space="preserve"> </w:t>
      </w:r>
    </w:p>
    <w:p w14:paraId="0453DACA" w14:textId="24062643" w:rsidR="000F16BF" w:rsidRPr="000B783D" w:rsidRDefault="000B783D">
      <w:pPr>
        <w:jc w:val="center"/>
        <w:rPr>
          <w:i/>
          <w:iCs/>
          <w:sz w:val="18"/>
          <w:szCs w:val="18"/>
        </w:rPr>
      </w:pPr>
      <w:r w:rsidRPr="000B783D">
        <w:rPr>
          <w:i/>
          <w:iCs/>
          <w:sz w:val="18"/>
          <w:szCs w:val="18"/>
          <w:vertAlign w:val="superscript"/>
        </w:rPr>
        <w:t>2</w:t>
      </w:r>
      <w:r w:rsidRPr="000B783D">
        <w:rPr>
          <w:i/>
          <w:iCs/>
          <w:sz w:val="18"/>
          <w:szCs w:val="18"/>
        </w:rPr>
        <w:t xml:space="preserve"> </w:t>
      </w:r>
      <w:r w:rsidRPr="000B783D">
        <w:rPr>
          <w:i/>
          <w:iCs/>
          <w:sz w:val="18"/>
          <w:szCs w:val="18"/>
        </w:rPr>
        <w:t>Federal University of Viçosa, Department of General</w:t>
      </w:r>
      <w:r w:rsidRPr="000B783D">
        <w:rPr>
          <w:i/>
          <w:iCs/>
          <w:sz w:val="18"/>
          <w:szCs w:val="18"/>
        </w:rPr>
        <w:t xml:space="preserve"> Biology, </w:t>
      </w:r>
      <w:r w:rsidRPr="000B783D">
        <w:rPr>
          <w:i/>
          <w:iCs/>
          <w:sz w:val="18"/>
          <w:szCs w:val="18"/>
        </w:rPr>
        <w:t>University Campus – Viçosa, MG – Brazil 36570-900</w:t>
      </w:r>
    </w:p>
    <w:p w14:paraId="1FFD307B" w14:textId="335450A6" w:rsidR="000F16BF" w:rsidRPr="000B783D" w:rsidRDefault="000B783D">
      <w:pPr>
        <w:jc w:val="center"/>
        <w:rPr>
          <w:i/>
          <w:iCs/>
          <w:sz w:val="20"/>
          <w:szCs w:val="20"/>
        </w:rPr>
      </w:pPr>
      <w:r w:rsidRPr="000B783D">
        <w:rPr>
          <w:i/>
          <w:iCs/>
          <w:sz w:val="18"/>
          <w:szCs w:val="18"/>
        </w:rPr>
        <w:t>*</w:t>
      </w:r>
      <w:r w:rsidR="00526F03" w:rsidRPr="000B783D">
        <w:rPr>
          <w:i/>
          <w:iCs/>
          <w:sz w:val="18"/>
          <w:szCs w:val="18"/>
        </w:rPr>
        <w:t>thalya.lopes@ufv.br</w:t>
      </w:r>
      <w:r w:rsidRPr="000B783D">
        <w:rPr>
          <w:i/>
          <w:iCs/>
          <w:color w:val="C00000"/>
          <w:sz w:val="20"/>
          <w:szCs w:val="20"/>
        </w:rPr>
        <w:t xml:space="preserve"> </w:t>
      </w:r>
    </w:p>
    <w:p w14:paraId="7104A568" w14:textId="322C8E9F" w:rsidR="000F16BF" w:rsidRDefault="000F16BF" w:rsidP="000B783D"/>
    <w:p w14:paraId="5A4A711A" w14:textId="77777777" w:rsidR="000F16BF" w:rsidRDefault="000F16BF">
      <w:pPr>
        <w:jc w:val="center"/>
      </w:pPr>
    </w:p>
    <w:p w14:paraId="48F9CC91" w14:textId="52C953EC" w:rsidR="000F16BF" w:rsidRPr="00F6654C" w:rsidRDefault="00F6654C">
      <w:r w:rsidRPr="00F6654C">
        <w:t xml:space="preserve">Microbiologically Induced Corrosion (MIC) represents a significant economic and environmental challenge, especially in the oil and gas industries, where the formation of biofilms by microorganisms accelerates the deterioration of metallic surfaces. Among the bacterial species associated with this phenomenon, </w:t>
      </w:r>
      <w:r w:rsidRPr="00F6654C">
        <w:rPr>
          <w:i/>
          <w:iCs/>
        </w:rPr>
        <w:t>Stutzerimonas stutzeri</w:t>
      </w:r>
      <w:r w:rsidRPr="00F6654C">
        <w:t xml:space="preserve"> stands out. This is a marine bacterium with the capacity to form biofilms and degrade hydrocarbons, thus compromising the integrity of metallic structures and oil quality. Innovative control strategies, such as the use of bacteriophages, have proven to be promising alternatives to chemical biocides due to their specificity, their production of enzymes that degrade the extracellular matrix, and their potential for application in combined cocktails. In this work, the effects of isolated phages and a non-specific phage cocktail on the growth and biofilm formation of </w:t>
      </w:r>
      <w:r w:rsidRPr="00F6654C">
        <w:rPr>
          <w:i/>
          <w:iCs/>
        </w:rPr>
        <w:t>S. stutzeri</w:t>
      </w:r>
      <w:r w:rsidRPr="00F6654C">
        <w:t xml:space="preserve"> were evaluated. Assays were conducted in MBEC (Minimum Biofilm Eradication Concentration) microplates and in pilot tanks containing carbon steel coupons, with assessment of bacterial growth, total biomass, biofilm morphology by Scanning Electron Microscopy (SEM), surface roughness by optical profilometry, and observation of adhered cells by fluorescence microscopy. The results showed that, although the phage cocktail did not cause a significant reduction in the growth of planktonic cells, it was capable of preventing biofilm formation, especially at a Multiplicity of Infection (MOI) of 10. Optical profilometry analysis indicated lower roughness on the treated coupons, suggesting a lower presence of biofilm. Fluorescence microscopy also revealed more spaced-out cells on the coupons treated with the cocktail at MOI 10. These results suggest the biotechnological potential of the phage cocktail for the control of </w:t>
      </w:r>
      <w:r w:rsidRPr="00F6654C">
        <w:rPr>
          <w:i/>
          <w:iCs/>
        </w:rPr>
        <w:t>S. stutzeri</w:t>
      </w:r>
      <w:r w:rsidRPr="00F6654C">
        <w:t xml:space="preserve"> biofilm and for the mitigation of MIC in industrial environments, such as oil exploration.</w:t>
      </w:r>
    </w:p>
    <w:p w14:paraId="3229AFD7" w14:textId="77777777" w:rsidR="000F16BF" w:rsidRDefault="000F16BF">
      <w:pPr>
        <w:rPr>
          <w:sz w:val="22"/>
          <w:szCs w:val="22"/>
        </w:rPr>
      </w:pPr>
    </w:p>
    <w:p w14:paraId="044BAACB" w14:textId="77777777" w:rsidR="000F16BF" w:rsidRDefault="000F16BF">
      <w:pPr>
        <w:rPr>
          <w:sz w:val="22"/>
          <w:szCs w:val="22"/>
        </w:rPr>
      </w:pPr>
    </w:p>
    <w:p w14:paraId="65E3DF7F" w14:textId="1ED94209" w:rsidR="000F16BF" w:rsidRDefault="000B783D">
      <w:pPr>
        <w:tabs>
          <w:tab w:val="left" w:pos="8300"/>
        </w:tabs>
        <w:rPr>
          <w:sz w:val="22"/>
          <w:szCs w:val="22"/>
        </w:rPr>
        <w:sectPr w:rsidR="000F16BF">
          <w:headerReference w:type="even" r:id="rId7"/>
          <w:headerReference w:type="first" r:id="rId8"/>
          <w:pgSz w:w="11906" w:h="16838"/>
          <w:pgMar w:top="1418" w:right="1701" w:bottom="1418" w:left="1701" w:header="0" w:footer="1134" w:gutter="0"/>
          <w:pgNumType w:start="1"/>
          <w:cols w:space="720"/>
          <w:titlePg/>
        </w:sectPr>
      </w:pPr>
      <w:r>
        <w:rPr>
          <w:b/>
          <w:bCs/>
          <w:smallCaps/>
          <w:sz w:val="22"/>
          <w:szCs w:val="22"/>
        </w:rPr>
        <w:t>KEYWORDS</w:t>
      </w:r>
      <w:r>
        <w:rPr>
          <w:sz w:val="22"/>
          <w:szCs w:val="22"/>
        </w:rPr>
        <w:t>:</w:t>
      </w:r>
      <w:r>
        <w:rPr>
          <w:sz w:val="22"/>
          <w:szCs w:val="22"/>
        </w:rPr>
        <w:t xml:space="preserve"> M</w:t>
      </w:r>
      <w:r w:rsidR="00526F03" w:rsidRPr="00526F03">
        <w:rPr>
          <w:sz w:val="22"/>
          <w:szCs w:val="22"/>
        </w:rPr>
        <w:t>icrobiologically induced corrosion (MIC)</w:t>
      </w:r>
      <w:r w:rsidR="00526F03">
        <w:rPr>
          <w:sz w:val="22"/>
          <w:szCs w:val="22"/>
        </w:rPr>
        <w:t>,</w:t>
      </w:r>
      <w:r w:rsidR="00526F03" w:rsidRPr="00526F03">
        <w:rPr>
          <w:sz w:val="22"/>
          <w:szCs w:val="22"/>
        </w:rPr>
        <w:t xml:space="preserve"> bacteriophages</w:t>
      </w:r>
      <w:r w:rsidR="00526F03">
        <w:rPr>
          <w:sz w:val="22"/>
          <w:szCs w:val="22"/>
        </w:rPr>
        <w:t>,</w:t>
      </w:r>
      <w:r w:rsidR="00526F03" w:rsidRPr="00526F03">
        <w:rPr>
          <w:sz w:val="22"/>
          <w:szCs w:val="22"/>
        </w:rPr>
        <w:t xml:space="preserve"> phage therapy</w:t>
      </w:r>
      <w:r w:rsidR="00526F03">
        <w:rPr>
          <w:sz w:val="22"/>
          <w:szCs w:val="22"/>
        </w:rPr>
        <w:t>,</w:t>
      </w:r>
      <w:r w:rsidR="00526F03" w:rsidRPr="00526F03">
        <w:rPr>
          <w:sz w:val="22"/>
          <w:szCs w:val="22"/>
        </w:rPr>
        <w:t xml:space="preserve"> metallic surfaces.</w:t>
      </w:r>
      <w:r w:rsidR="00526F03" w:rsidRPr="00526F03">
        <w:rPr>
          <w:sz w:val="22"/>
          <w:szCs w:val="22"/>
        </w:rPr>
        <w:t xml:space="preserve"> </w:t>
      </w:r>
    </w:p>
    <w:p w14:paraId="7201FC5A" w14:textId="77777777" w:rsidR="000F16BF" w:rsidRDefault="000F16BF">
      <w:pPr>
        <w:jc w:val="center"/>
      </w:pPr>
    </w:p>
    <w:p w14:paraId="513AF424" w14:textId="350742C2" w:rsidR="000F16BF" w:rsidRDefault="000F16BF">
      <w:pPr>
        <w:jc w:val="center"/>
      </w:pPr>
    </w:p>
    <w:p w14:paraId="5DB4F533" w14:textId="2928F9C3" w:rsidR="000F16BF" w:rsidRDefault="000B783D">
      <w:pPr>
        <w:tabs>
          <w:tab w:val="left" w:pos="8300"/>
        </w:tabs>
        <w:rPr>
          <w:sz w:val="22"/>
          <w:szCs w:val="22"/>
        </w:rPr>
        <w:sectPr w:rsidR="000F16BF">
          <w:headerReference w:type="even" r:id="rId9"/>
          <w:headerReference w:type="first" r:id="rId10"/>
          <w:type w:val="continuous"/>
          <w:pgSz w:w="11906" w:h="16838"/>
          <w:pgMar w:top="1418" w:right="1701" w:bottom="1418" w:left="1701" w:header="284" w:footer="709" w:gutter="0"/>
          <w:cols w:space="720"/>
          <w:titlePg/>
        </w:sectPr>
      </w:pPr>
      <w:r>
        <w:rPr>
          <w:b/>
          <w:bCs/>
          <w:smallCaps/>
          <w:sz w:val="22"/>
          <w:szCs w:val="22"/>
        </w:rPr>
        <w:t xml:space="preserve">FUNDING: </w:t>
      </w:r>
      <w:r w:rsidR="00526F03">
        <w:rPr>
          <w:b/>
          <w:bCs/>
          <w:smallCaps/>
          <w:sz w:val="22"/>
          <w:szCs w:val="22"/>
        </w:rPr>
        <w:t xml:space="preserve"> </w:t>
      </w:r>
      <w:r w:rsidR="00526F03" w:rsidRPr="00526F03">
        <w:rPr>
          <w:smallCaps/>
          <w:sz w:val="22"/>
          <w:szCs w:val="22"/>
        </w:rPr>
        <w:t>CAPES, CNPq</w:t>
      </w:r>
      <w:r w:rsidR="00526F03">
        <w:rPr>
          <w:smallCaps/>
          <w:sz w:val="22"/>
          <w:szCs w:val="22"/>
        </w:rPr>
        <w:t>, fapemig,</w:t>
      </w:r>
      <w:r w:rsidR="00526F03" w:rsidRPr="00526F03">
        <w:rPr>
          <w:smallCaps/>
          <w:sz w:val="22"/>
          <w:szCs w:val="22"/>
        </w:rPr>
        <w:t xml:space="preserve"> PETROBRAS</w:t>
      </w:r>
      <w:r w:rsidR="00526F03">
        <w:rPr>
          <w:smallCaps/>
          <w:sz w:val="22"/>
          <w:szCs w:val="22"/>
        </w:rPr>
        <w:t>.</w:t>
      </w:r>
    </w:p>
    <w:p w14:paraId="022F837E" w14:textId="77777777" w:rsidR="000F16BF" w:rsidRDefault="000F16BF">
      <w:pPr>
        <w:rPr>
          <w:sz w:val="16"/>
          <w:szCs w:val="16"/>
        </w:rPr>
      </w:pPr>
    </w:p>
    <w:sectPr w:rsidR="000F16BF">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2DF22" w14:textId="77777777" w:rsidR="008B327B" w:rsidRDefault="008B327B">
      <w:r>
        <w:separator/>
      </w:r>
    </w:p>
  </w:endnote>
  <w:endnote w:type="continuationSeparator" w:id="0">
    <w:p w14:paraId="3599D25D" w14:textId="77777777" w:rsidR="008B327B" w:rsidRDefault="008B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141185B-596C-4CAB-992A-3AAB8ABDE9FA}"/>
  </w:font>
  <w:font w:name="Georgia">
    <w:panose1 w:val="02040502050405020303"/>
    <w:charset w:val="00"/>
    <w:family w:val="roman"/>
    <w:pitch w:val="variable"/>
    <w:sig w:usb0="00000287" w:usb1="00000000" w:usb2="00000000" w:usb3="00000000" w:csb0="0000009F" w:csb1="00000000"/>
    <w:embedItalic r:id="rId2" w:fontKey="{0109CFEC-BB18-45E6-8E0B-14AF024F9443}"/>
  </w:font>
  <w:font w:name="Cambria">
    <w:panose1 w:val="02040503050406030204"/>
    <w:charset w:val="00"/>
    <w:family w:val="roman"/>
    <w:pitch w:val="variable"/>
    <w:sig w:usb0="E00006FF" w:usb1="420024FF" w:usb2="02000000" w:usb3="00000000" w:csb0="0000019F" w:csb1="00000000"/>
    <w:embedRegular r:id="rId3" w:fontKey="{EB36BDF1-D48C-4778-AE80-B23C452D128A}"/>
  </w:font>
  <w:font w:name="Calibri">
    <w:panose1 w:val="020F0502020204030204"/>
    <w:charset w:val="00"/>
    <w:family w:val="swiss"/>
    <w:pitch w:val="variable"/>
    <w:sig w:usb0="E4002EFF" w:usb1="C200247B" w:usb2="00000009" w:usb3="00000000" w:csb0="000001FF" w:csb1="00000000"/>
    <w:embedRegular r:id="rId4" w:fontKey="{22750245-5170-4068-AC21-0047C91771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A7106" w14:textId="77777777" w:rsidR="008B327B" w:rsidRDefault="008B327B">
      <w:r>
        <w:separator/>
      </w:r>
    </w:p>
  </w:footnote>
  <w:footnote w:type="continuationSeparator" w:id="0">
    <w:p w14:paraId="71B1B9AC" w14:textId="77777777" w:rsidR="008B327B" w:rsidRDefault="008B3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1C3A" w14:textId="77777777" w:rsidR="000F16BF" w:rsidRDefault="000B783D">
    <w:pPr>
      <w:pBdr>
        <w:top w:val="nil"/>
        <w:left w:val="nil"/>
        <w:bottom w:val="nil"/>
        <w:right w:val="nil"/>
        <w:between w:val="nil"/>
      </w:pBdr>
      <w:tabs>
        <w:tab w:val="center" w:pos="4680"/>
        <w:tab w:val="right" w:pos="9360"/>
      </w:tabs>
      <w:rPr>
        <w:color w:val="000000"/>
      </w:rPr>
    </w:pPr>
    <w:r>
      <w:rPr>
        <w:color w:val="000000"/>
      </w:rPr>
      <w:pict w14:anchorId="50EB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631386D4">
        <v:shape id="WordPictureWatermark1"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7B43" w14:textId="01248C29" w:rsidR="000F16BF" w:rsidRDefault="00B7186E">
    <w:pPr>
      <w:pBdr>
        <w:top w:val="nil"/>
        <w:left w:val="nil"/>
        <w:bottom w:val="nil"/>
        <w:right w:val="nil"/>
        <w:between w:val="nil"/>
      </w:pBdr>
      <w:tabs>
        <w:tab w:val="center" w:pos="4680"/>
        <w:tab w:val="right" w:pos="9360"/>
      </w:tabs>
      <w:rPr>
        <w:color w:val="000000"/>
      </w:rPr>
    </w:pPr>
    <w:r>
      <w:rPr>
        <w:noProof/>
      </w:rPr>
      <w:drawing>
        <wp:anchor distT="114300" distB="114300" distL="114300" distR="114300" simplePos="0" relativeHeight="251655168" behindDoc="1" locked="0" layoutInCell="1" hidden="0" allowOverlap="1" wp14:anchorId="7F285671" wp14:editId="1C4E4709">
          <wp:simplePos x="0" y="0"/>
          <wp:positionH relativeFrom="column">
            <wp:posOffset>-1242060</wp:posOffset>
          </wp:positionH>
          <wp:positionV relativeFrom="paragraph">
            <wp:posOffset>9525</wp:posOffset>
          </wp:positionV>
          <wp:extent cx="7724775" cy="1743075"/>
          <wp:effectExtent l="0" t="0" r="9525" b="0"/>
          <wp:wrapNone/>
          <wp:docPr id="17856639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65" t="5847" r="1965" b="-5847"/>
                  <a:stretch>
                    <a:fillRect/>
                  </a:stretch>
                </pic:blipFill>
                <pic:spPr>
                  <a:xfrm>
                    <a:off x="0" y="0"/>
                    <a:ext cx="7737575" cy="1745963"/>
                  </a:xfrm>
                  <a:prstGeom prst="rect">
                    <a:avLst/>
                  </a:prstGeom>
                  <a:ln/>
                </pic:spPr>
              </pic:pic>
            </a:graphicData>
          </a:graphic>
          <wp14:sizeRelH relativeFrom="margin">
            <wp14:pctWidth>0</wp14:pctWidth>
          </wp14:sizeRelH>
          <wp14:sizeRelV relativeFrom="margin">
            <wp14:pctHeight>0</wp14:pctHeight>
          </wp14:sizeRelV>
        </wp:anchor>
      </w:drawing>
    </w:r>
  </w:p>
  <w:p w14:paraId="3307A576" w14:textId="53E7DD60" w:rsidR="000F16BF" w:rsidRDefault="000F16BF">
    <w:pPr>
      <w:pBdr>
        <w:top w:val="nil"/>
        <w:left w:val="nil"/>
        <w:bottom w:val="nil"/>
        <w:right w:val="nil"/>
        <w:between w:val="nil"/>
      </w:pBdr>
      <w:tabs>
        <w:tab w:val="center" w:pos="4680"/>
        <w:tab w:val="right" w:pos="9360"/>
      </w:tabs>
      <w:rPr>
        <w:color w:val="000000"/>
      </w:rPr>
    </w:pPr>
  </w:p>
  <w:p w14:paraId="47637DE7" w14:textId="77777777" w:rsidR="000F16BF" w:rsidRDefault="000F16BF">
    <w:pPr>
      <w:pBdr>
        <w:top w:val="nil"/>
        <w:left w:val="nil"/>
        <w:bottom w:val="nil"/>
        <w:right w:val="nil"/>
        <w:between w:val="nil"/>
      </w:pBdr>
      <w:tabs>
        <w:tab w:val="center" w:pos="4680"/>
        <w:tab w:val="right" w:pos="9360"/>
      </w:tabs>
      <w:rPr>
        <w:color w:val="000000"/>
      </w:rPr>
    </w:pPr>
  </w:p>
  <w:p w14:paraId="73D423B4" w14:textId="77777777" w:rsidR="000F16BF" w:rsidRDefault="000F16BF">
    <w:pPr>
      <w:pBdr>
        <w:top w:val="nil"/>
        <w:left w:val="nil"/>
        <w:bottom w:val="nil"/>
        <w:right w:val="nil"/>
        <w:between w:val="nil"/>
      </w:pBdr>
      <w:tabs>
        <w:tab w:val="center" w:pos="4680"/>
        <w:tab w:val="right" w:pos="9360"/>
      </w:tabs>
      <w:rPr>
        <w:color w:val="000000"/>
      </w:rPr>
    </w:pPr>
  </w:p>
  <w:p w14:paraId="4A3BE6DD" w14:textId="04184978" w:rsidR="000F16BF" w:rsidRDefault="000F16BF">
    <w:pPr>
      <w:pBdr>
        <w:top w:val="nil"/>
        <w:left w:val="nil"/>
        <w:bottom w:val="nil"/>
        <w:right w:val="nil"/>
        <w:between w:val="nil"/>
      </w:pBdr>
      <w:tabs>
        <w:tab w:val="center" w:pos="4680"/>
        <w:tab w:val="right" w:pos="9360"/>
      </w:tabs>
      <w:rPr>
        <w:color w:val="000000"/>
      </w:rPr>
    </w:pPr>
  </w:p>
  <w:p w14:paraId="77148F7D" w14:textId="77777777" w:rsidR="000F16BF" w:rsidRDefault="000F16BF">
    <w:pPr>
      <w:pBdr>
        <w:top w:val="nil"/>
        <w:left w:val="nil"/>
        <w:bottom w:val="nil"/>
        <w:right w:val="nil"/>
        <w:between w:val="nil"/>
      </w:pBdr>
      <w:tabs>
        <w:tab w:val="center" w:pos="4680"/>
        <w:tab w:val="right" w:pos="9360"/>
      </w:tabs>
      <w:rPr>
        <w:color w:val="000000"/>
      </w:rPr>
    </w:pPr>
  </w:p>
  <w:p w14:paraId="6AD19B21" w14:textId="77777777" w:rsidR="000F16BF" w:rsidRDefault="000F16BF">
    <w:pPr>
      <w:pBdr>
        <w:top w:val="nil"/>
        <w:left w:val="nil"/>
        <w:bottom w:val="nil"/>
        <w:right w:val="nil"/>
        <w:between w:val="nil"/>
      </w:pBdr>
      <w:tabs>
        <w:tab w:val="center" w:pos="4680"/>
        <w:tab w:val="right" w:pos="9360"/>
      </w:tabs>
      <w:rPr>
        <w:color w:val="000000"/>
      </w:rPr>
    </w:pPr>
  </w:p>
  <w:p w14:paraId="06393069" w14:textId="77777777" w:rsidR="000F16BF" w:rsidRDefault="000F16BF">
    <w:pPr>
      <w:pBdr>
        <w:top w:val="nil"/>
        <w:left w:val="nil"/>
        <w:bottom w:val="nil"/>
        <w:right w:val="nil"/>
        <w:between w:val="nil"/>
      </w:pBdr>
      <w:tabs>
        <w:tab w:val="center" w:pos="4680"/>
        <w:tab w:val="right" w:pos="9360"/>
      </w:tabs>
      <w:rPr>
        <w:color w:val="000000"/>
      </w:rPr>
    </w:pPr>
  </w:p>
  <w:p w14:paraId="5B02E384" w14:textId="77777777" w:rsidR="000F16BF" w:rsidRDefault="000F16BF">
    <w:pPr>
      <w:pBdr>
        <w:top w:val="nil"/>
        <w:left w:val="nil"/>
        <w:bottom w:val="nil"/>
        <w:right w:val="nil"/>
        <w:between w:val="nil"/>
      </w:pBdr>
      <w:tabs>
        <w:tab w:val="center" w:pos="4680"/>
        <w:tab w:val="right" w:pos="9360"/>
      </w:tabs>
      <w:rPr>
        <w:color w:val="000000"/>
      </w:rPr>
    </w:pPr>
  </w:p>
  <w:p w14:paraId="18DF21B6" w14:textId="77777777" w:rsidR="000F16BF" w:rsidRDefault="000F16B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5657" w14:textId="77777777" w:rsidR="000F16BF" w:rsidRDefault="000B783D">
    <w:pPr>
      <w:pBdr>
        <w:top w:val="nil"/>
        <w:left w:val="nil"/>
        <w:bottom w:val="nil"/>
        <w:right w:val="nil"/>
        <w:between w:val="nil"/>
      </w:pBdr>
      <w:tabs>
        <w:tab w:val="center" w:pos="4680"/>
        <w:tab w:val="right" w:pos="9360"/>
      </w:tabs>
      <w:rPr>
        <w:color w:val="000000"/>
      </w:rPr>
    </w:pPr>
    <w:r>
      <w:rPr>
        <w:color w:val="000000"/>
      </w:rPr>
      <w:pict w14:anchorId="2ED08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10B0AD93">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B673" w14:textId="77777777" w:rsidR="000F16BF" w:rsidRDefault="000B783D">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64FFAD80" wp14:editId="3FB0042E">
          <wp:simplePos x="0" y="0"/>
          <wp:positionH relativeFrom="column">
            <wp:posOffset>-1097913</wp:posOffset>
          </wp:positionH>
          <wp:positionV relativeFrom="paragraph">
            <wp:posOffset>-198117</wp:posOffset>
          </wp:positionV>
          <wp:extent cx="7598410" cy="2517775"/>
          <wp:effectExtent l="0" t="0" r="0" b="0"/>
          <wp:wrapSquare wrapText="bothSides" distT="0" distB="0" distL="114300" distR="114300"/>
          <wp:docPr id="1785663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BF"/>
    <w:rsid w:val="000B783D"/>
    <w:rsid w:val="000D279C"/>
    <w:rsid w:val="000F16BF"/>
    <w:rsid w:val="00372482"/>
    <w:rsid w:val="00392CF7"/>
    <w:rsid w:val="00526F03"/>
    <w:rsid w:val="005D6EC2"/>
    <w:rsid w:val="008B327B"/>
    <w:rsid w:val="00AD585E"/>
    <w:rsid w:val="00B7186E"/>
    <w:rsid w:val="00F6654C"/>
    <w:rsid w:val="00FB10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C7A4E"/>
  <w15:docId w15:val="{9C5C1E4E-F828-4A26-B4BD-A49BE1F49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120" w:after="120"/>
      <w:jc w:val="center"/>
      <w:outlineLvl w:val="0"/>
    </w:pPr>
    <w:rPr>
      <w:b/>
      <w:bCs/>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3DWUdzhXOPvd1PyhmUthiuQ+Q==">CgMxLjA4AHIhMTRiLTAzRVJ2YzZXX3JQLUxjTTUzUHNjZ2k1Ni1VMlJk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403</Words>
  <Characters>2181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thalya lopes</cp:lastModifiedBy>
  <cp:revision>2</cp:revision>
  <cp:lastPrinted>2026-04-13T00:05:00Z</cp:lastPrinted>
  <dcterms:created xsi:type="dcterms:W3CDTF">2026-04-13T00:12:00Z</dcterms:created>
  <dcterms:modified xsi:type="dcterms:W3CDTF">2026-04-13T00:12:00Z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