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D31BF" w:rsidRPr="00784B81" w:rsidRDefault="00000000" w:rsidP="006B0877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784B81">
        <w:rPr>
          <w:b/>
          <w:sz w:val="24"/>
          <w:szCs w:val="24"/>
        </w:rPr>
        <w:t>T</w:t>
      </w:r>
      <w:r w:rsidRPr="00784B81">
        <w:rPr>
          <w:rFonts w:eastAsia="Times New Roman"/>
          <w:b/>
          <w:sz w:val="24"/>
          <w:szCs w:val="24"/>
        </w:rPr>
        <w:t xml:space="preserve">ratamento de Síndrome de </w:t>
      </w:r>
      <w:proofErr w:type="spellStart"/>
      <w:r w:rsidRPr="00784B81">
        <w:rPr>
          <w:rFonts w:eastAsia="Times New Roman"/>
          <w:b/>
          <w:sz w:val="24"/>
          <w:szCs w:val="24"/>
        </w:rPr>
        <w:t>Cockett</w:t>
      </w:r>
      <w:proofErr w:type="spellEnd"/>
      <w:r w:rsidRPr="00784B81">
        <w:rPr>
          <w:rFonts w:eastAsia="Times New Roman"/>
          <w:b/>
          <w:sz w:val="24"/>
          <w:szCs w:val="24"/>
        </w:rPr>
        <w:t xml:space="preserve"> com Oclusão de Stent em Veia Ilíaca Comum Direita em Paciente com </w:t>
      </w:r>
      <w:proofErr w:type="spellStart"/>
      <w:r w:rsidRPr="00784B81">
        <w:rPr>
          <w:rFonts w:eastAsia="Times New Roman"/>
          <w:b/>
          <w:sz w:val="24"/>
          <w:szCs w:val="24"/>
        </w:rPr>
        <w:t>Situs</w:t>
      </w:r>
      <w:proofErr w:type="spellEnd"/>
      <w:r w:rsidRPr="00784B8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b/>
          <w:sz w:val="24"/>
          <w:szCs w:val="24"/>
        </w:rPr>
        <w:t>Inversus</w:t>
      </w:r>
      <w:proofErr w:type="spellEnd"/>
      <w:r w:rsidRPr="00784B8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b/>
          <w:sz w:val="24"/>
          <w:szCs w:val="24"/>
        </w:rPr>
        <w:t>Totalis</w:t>
      </w:r>
      <w:proofErr w:type="spellEnd"/>
      <w:r w:rsidRPr="00784B81">
        <w:rPr>
          <w:rFonts w:eastAsia="Times New Roman"/>
          <w:b/>
          <w:sz w:val="24"/>
          <w:szCs w:val="24"/>
        </w:rPr>
        <w:t>: Relato de Caso</w:t>
      </w:r>
    </w:p>
    <w:p w14:paraId="04DE83AB" w14:textId="2C614E5E" w:rsidR="006B0877" w:rsidRPr="00784B81" w:rsidRDefault="006B0877" w:rsidP="006B0877">
      <w:pPr>
        <w:widowControl w:val="0"/>
        <w:spacing w:line="240" w:lineRule="auto"/>
        <w:jc w:val="center"/>
        <w:rPr>
          <w:rFonts w:eastAsia="Times New Roman"/>
          <w:color w:val="1F1F1F"/>
          <w:sz w:val="24"/>
          <w:szCs w:val="24"/>
          <w:vertAlign w:val="superscript"/>
        </w:rPr>
      </w:pPr>
      <w:r w:rsidRPr="00784B81">
        <w:rPr>
          <w:rFonts w:eastAsia="Times New Roman"/>
          <w:b/>
          <w:bCs/>
          <w:color w:val="1F1F1F"/>
          <w:sz w:val="24"/>
          <w:szCs w:val="24"/>
        </w:rPr>
        <w:t xml:space="preserve">Bruna C. Silva </w:t>
      </w:r>
      <w:r w:rsidRPr="00784B81">
        <w:rPr>
          <w:rFonts w:eastAsia="Times New Roman"/>
          <w:b/>
          <w:bCs/>
          <w:color w:val="1F1F1F"/>
          <w:sz w:val="24"/>
          <w:szCs w:val="24"/>
          <w:vertAlign w:val="superscript"/>
        </w:rPr>
        <w:t>1</w:t>
      </w:r>
      <w:r w:rsidR="004B5A4F" w:rsidRPr="00784B81">
        <w:rPr>
          <w:rFonts w:eastAsia="Times New Roman"/>
          <w:color w:val="1F1F1F"/>
          <w:sz w:val="24"/>
          <w:szCs w:val="24"/>
        </w:rPr>
        <w:t>;</w:t>
      </w:r>
      <w:r w:rsidRPr="00784B81">
        <w:rPr>
          <w:rFonts w:eastAsia="Times New Roman"/>
          <w:color w:val="1F1F1F"/>
          <w:sz w:val="24"/>
          <w:szCs w:val="24"/>
        </w:rPr>
        <w:t xml:space="preserve"> </w:t>
      </w:r>
      <w:r w:rsidR="004B5A4F" w:rsidRPr="00784B81">
        <w:rPr>
          <w:rFonts w:eastAsia="Times New Roman"/>
          <w:color w:val="1F1F1F"/>
          <w:sz w:val="24"/>
          <w:szCs w:val="24"/>
        </w:rPr>
        <w:t>Mariane A. Silva</w:t>
      </w:r>
      <w:r w:rsidR="004B5A4F" w:rsidRPr="00784B81">
        <w:rPr>
          <w:rFonts w:eastAsia="Times New Roman"/>
          <w:color w:val="1F1F1F"/>
          <w:sz w:val="24"/>
          <w:szCs w:val="24"/>
          <w:vertAlign w:val="superscript"/>
        </w:rPr>
        <w:t>²</w:t>
      </w:r>
      <w:r w:rsidR="004B5A4F" w:rsidRPr="00784B81">
        <w:rPr>
          <w:rFonts w:eastAsia="Times New Roman"/>
          <w:color w:val="1F1F1F"/>
          <w:sz w:val="24"/>
          <w:szCs w:val="24"/>
        </w:rPr>
        <w:t>;</w:t>
      </w:r>
      <w:r w:rsidRPr="00784B81">
        <w:rPr>
          <w:rFonts w:eastAsia="Times New Roman"/>
          <w:color w:val="1F1F1F"/>
          <w:sz w:val="24"/>
          <w:szCs w:val="24"/>
        </w:rPr>
        <w:t xml:space="preserve"> </w:t>
      </w:r>
      <w:r w:rsidR="004B5A4F" w:rsidRPr="00784B81">
        <w:rPr>
          <w:rFonts w:eastAsia="Times New Roman"/>
          <w:color w:val="1F1F1F"/>
          <w:sz w:val="24"/>
          <w:szCs w:val="24"/>
        </w:rPr>
        <w:t xml:space="preserve">Robert </w:t>
      </w:r>
      <w:proofErr w:type="spellStart"/>
      <w:proofErr w:type="gramStart"/>
      <w:r w:rsidR="004B5A4F" w:rsidRPr="00784B81">
        <w:rPr>
          <w:rFonts w:eastAsia="Times New Roman"/>
          <w:color w:val="1F1F1F"/>
          <w:sz w:val="24"/>
          <w:szCs w:val="24"/>
        </w:rPr>
        <w:t>A.Gomes</w:t>
      </w:r>
      <w:proofErr w:type="spellEnd"/>
      <w:proofErr w:type="gramEnd"/>
      <w:r w:rsidRPr="00784B81">
        <w:rPr>
          <w:rFonts w:eastAsia="Times New Roman"/>
          <w:color w:val="1F1F1F"/>
          <w:sz w:val="24"/>
          <w:szCs w:val="24"/>
          <w:vertAlign w:val="superscript"/>
        </w:rPr>
        <w:t xml:space="preserve"> </w:t>
      </w:r>
      <w:r w:rsidR="004B5A4F" w:rsidRPr="00784B81">
        <w:rPr>
          <w:rFonts w:eastAsia="Times New Roman"/>
          <w:color w:val="1F1F1F"/>
          <w:sz w:val="24"/>
          <w:szCs w:val="24"/>
          <w:vertAlign w:val="superscript"/>
        </w:rPr>
        <w:t>³</w:t>
      </w:r>
      <w:r w:rsidR="004B5A4F" w:rsidRPr="00784B81">
        <w:rPr>
          <w:rFonts w:eastAsia="Times New Roman"/>
          <w:color w:val="1F1F1F"/>
          <w:sz w:val="24"/>
          <w:szCs w:val="24"/>
        </w:rPr>
        <w:t>;</w:t>
      </w:r>
      <w:r w:rsidRPr="00784B81">
        <w:rPr>
          <w:rFonts w:eastAsia="Times New Roman"/>
          <w:color w:val="1F1F1F"/>
          <w:sz w:val="24"/>
          <w:szCs w:val="24"/>
        </w:rPr>
        <w:t xml:space="preserve"> </w:t>
      </w:r>
      <w:r w:rsidR="004B5A4F" w:rsidRPr="00784B81">
        <w:rPr>
          <w:rFonts w:eastAsia="Times New Roman"/>
          <w:color w:val="1F1F1F"/>
          <w:sz w:val="24"/>
          <w:szCs w:val="24"/>
        </w:rPr>
        <w:t xml:space="preserve">Gustavo </w:t>
      </w:r>
      <w:proofErr w:type="spellStart"/>
      <w:proofErr w:type="gramStart"/>
      <w:r w:rsidR="004B5A4F" w:rsidRPr="00784B81">
        <w:rPr>
          <w:rFonts w:eastAsia="Times New Roman"/>
          <w:color w:val="1F1F1F"/>
          <w:sz w:val="24"/>
          <w:szCs w:val="24"/>
        </w:rPr>
        <w:t>L.Avelar</w:t>
      </w:r>
      <w:proofErr w:type="spellEnd"/>
      <w:proofErr w:type="gramEnd"/>
      <w:r w:rsidR="004B5A4F" w:rsidRPr="00784B81">
        <w:rPr>
          <w:rFonts w:eastAsia="Times New Roman"/>
          <w:color w:val="1F1F1F"/>
          <w:sz w:val="24"/>
          <w:szCs w:val="24"/>
          <w:lang w:val="en-US"/>
        </w:rPr>
        <w:t>⁴</w:t>
      </w:r>
    </w:p>
    <w:p w14:paraId="676DE619" w14:textId="77777777" w:rsidR="006B0877" w:rsidRDefault="006B0877" w:rsidP="006B08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1F1F1F"/>
          <w:sz w:val="20"/>
          <w:szCs w:val="20"/>
          <w:vertAlign w:val="superscript"/>
        </w:rPr>
      </w:pPr>
    </w:p>
    <w:p w14:paraId="1E23BAF8" w14:textId="77777777" w:rsidR="004B5A4F" w:rsidRPr="00784B81" w:rsidRDefault="004B5A4F" w:rsidP="004B5A4F">
      <w:pPr>
        <w:spacing w:line="240" w:lineRule="auto"/>
        <w:jc w:val="both"/>
        <w:rPr>
          <w:rFonts w:eastAsia="Times New Roman"/>
          <w:color w:val="1F1F1F"/>
          <w:sz w:val="24"/>
          <w:szCs w:val="24"/>
          <w:vertAlign w:val="superscript"/>
        </w:rPr>
      </w:pPr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¹Faculdade de Medicina da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Faculdade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 de Minas,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Brasil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, 2025. </w:t>
      </w:r>
    </w:p>
    <w:p w14:paraId="1BA57769" w14:textId="6B0AF346" w:rsidR="004B5A4F" w:rsidRPr="004B5A4F" w:rsidRDefault="004B5A4F" w:rsidP="004B5A4F">
      <w:pPr>
        <w:spacing w:line="240" w:lineRule="auto"/>
        <w:jc w:val="both"/>
        <w:rPr>
          <w:rFonts w:eastAsia="Times New Roman"/>
          <w:color w:val="1F1F1F"/>
          <w:sz w:val="24"/>
          <w:szCs w:val="24"/>
          <w:vertAlign w:val="superscript"/>
        </w:rPr>
      </w:pPr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²Faculdade de Medicina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Universidade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 Federal de São João Del Rei,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Brasil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, 2025. </w:t>
      </w:r>
    </w:p>
    <w:p w14:paraId="35E2B9D5" w14:textId="77777777" w:rsidR="004B5A4F" w:rsidRPr="004B5A4F" w:rsidRDefault="004B5A4F" w:rsidP="004B5A4F">
      <w:pPr>
        <w:spacing w:line="240" w:lineRule="auto"/>
        <w:jc w:val="both"/>
        <w:rPr>
          <w:rFonts w:eastAsia="Times New Roman"/>
          <w:color w:val="1F1F1F"/>
          <w:sz w:val="24"/>
          <w:szCs w:val="24"/>
          <w:vertAlign w:val="superscript"/>
        </w:rPr>
      </w:pPr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³Hospital São João de Deus – Minas Gerais,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Brasil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, 2025.</w:t>
      </w:r>
    </w:p>
    <w:p w14:paraId="55FFED2E" w14:textId="77777777" w:rsidR="004B5A4F" w:rsidRPr="004B5A4F" w:rsidRDefault="004B5A4F" w:rsidP="004B5A4F">
      <w:pPr>
        <w:spacing w:line="240" w:lineRule="auto"/>
        <w:jc w:val="both"/>
        <w:rPr>
          <w:rFonts w:eastAsia="Times New Roman"/>
          <w:color w:val="1F1F1F"/>
          <w:sz w:val="24"/>
          <w:szCs w:val="24"/>
          <w:vertAlign w:val="superscript"/>
        </w:rPr>
      </w:pPr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 xml:space="preserve">⁴Hospital São João de Deus – Minas Gerais, </w:t>
      </w:r>
      <w:proofErr w:type="spellStart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Brasil</w:t>
      </w:r>
      <w:proofErr w:type="spellEnd"/>
      <w:r w:rsidRPr="004B5A4F">
        <w:rPr>
          <w:rFonts w:eastAsia="Times New Roman"/>
          <w:color w:val="1F1F1F"/>
          <w:sz w:val="24"/>
          <w:szCs w:val="24"/>
          <w:vertAlign w:val="superscript"/>
          <w:lang w:val="en-US"/>
        </w:rPr>
        <w:t>, 2025.</w:t>
      </w:r>
    </w:p>
    <w:p w14:paraId="05F31AAC" w14:textId="6AE96BCD" w:rsidR="006B0877" w:rsidRPr="00784B81" w:rsidRDefault="00000000" w:rsidP="004B5A4F">
      <w:pPr>
        <w:spacing w:line="240" w:lineRule="auto"/>
        <w:jc w:val="both"/>
        <w:rPr>
          <w:sz w:val="24"/>
          <w:szCs w:val="24"/>
        </w:rPr>
      </w:pPr>
      <w:r w:rsidRPr="00784B81">
        <w:rPr>
          <w:rFonts w:eastAsia="Times New Roman"/>
          <w:b/>
          <w:sz w:val="24"/>
          <w:szCs w:val="24"/>
        </w:rPr>
        <w:t xml:space="preserve">Introdução: </w:t>
      </w:r>
      <w:r w:rsidRPr="00784B81">
        <w:rPr>
          <w:rFonts w:eastAsia="Times New Roman"/>
          <w:sz w:val="24"/>
          <w:szCs w:val="24"/>
        </w:rPr>
        <w:t xml:space="preserve">A Síndrome de </w:t>
      </w:r>
      <w:proofErr w:type="spellStart"/>
      <w:r w:rsidRPr="00784B81">
        <w:rPr>
          <w:rFonts w:eastAsia="Times New Roman"/>
          <w:sz w:val="24"/>
          <w:szCs w:val="24"/>
        </w:rPr>
        <w:t>Cockett</w:t>
      </w:r>
      <w:proofErr w:type="spellEnd"/>
      <w:r w:rsidRPr="00784B81">
        <w:rPr>
          <w:rFonts w:eastAsia="Times New Roman"/>
          <w:sz w:val="24"/>
          <w:szCs w:val="24"/>
        </w:rPr>
        <w:t>, também conhecida como Síndrome de May-</w:t>
      </w:r>
      <w:proofErr w:type="spellStart"/>
      <w:r w:rsidRPr="00784B81">
        <w:rPr>
          <w:rFonts w:eastAsia="Times New Roman"/>
          <w:sz w:val="24"/>
          <w:szCs w:val="24"/>
        </w:rPr>
        <w:t>Thurner</w:t>
      </w:r>
      <w:proofErr w:type="spellEnd"/>
      <w:r w:rsidRPr="00784B81">
        <w:rPr>
          <w:rFonts w:eastAsia="Times New Roman"/>
          <w:sz w:val="24"/>
          <w:szCs w:val="24"/>
        </w:rPr>
        <w:t xml:space="preserve">, é caracterizada pela compressão da veia ilíaca comum esquerda entre a artéria ilíaca comum direita e a coluna vertebral. Embora a forma clássica envolva a veia esquerda, variações anatômicas e condições associadas, como o </w:t>
      </w:r>
      <w:proofErr w:type="spellStart"/>
      <w:r w:rsidRPr="00784B81">
        <w:rPr>
          <w:rFonts w:eastAsia="Times New Roman"/>
          <w:sz w:val="24"/>
          <w:szCs w:val="24"/>
        </w:rPr>
        <w:t>situs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inversus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totalis</w:t>
      </w:r>
      <w:proofErr w:type="spellEnd"/>
      <w:r w:rsidRPr="00784B81">
        <w:rPr>
          <w:rFonts w:eastAsia="Times New Roman"/>
          <w:sz w:val="24"/>
          <w:szCs w:val="24"/>
        </w:rPr>
        <w:t xml:space="preserve">, podem alterar essa apresentação. O </w:t>
      </w:r>
      <w:proofErr w:type="spellStart"/>
      <w:r w:rsidRPr="00784B81">
        <w:rPr>
          <w:rFonts w:eastAsia="Times New Roman"/>
          <w:sz w:val="24"/>
          <w:szCs w:val="24"/>
        </w:rPr>
        <w:t>situs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inversus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totalis</w:t>
      </w:r>
      <w:proofErr w:type="spellEnd"/>
      <w:r w:rsidRPr="00784B81">
        <w:rPr>
          <w:rFonts w:eastAsia="Times New Roman"/>
          <w:sz w:val="24"/>
          <w:szCs w:val="24"/>
        </w:rPr>
        <w:t xml:space="preserve"> é uma condição congênita rara em que os órgãos </w:t>
      </w:r>
      <w:proofErr w:type="spellStart"/>
      <w:r w:rsidRPr="00784B81">
        <w:rPr>
          <w:rFonts w:eastAsia="Times New Roman"/>
          <w:sz w:val="24"/>
          <w:szCs w:val="24"/>
        </w:rPr>
        <w:t>toracoabdominais</w:t>
      </w:r>
      <w:proofErr w:type="spellEnd"/>
      <w:r w:rsidRPr="00784B81">
        <w:rPr>
          <w:rFonts w:eastAsia="Times New Roman"/>
          <w:sz w:val="24"/>
          <w:szCs w:val="24"/>
        </w:rPr>
        <w:t xml:space="preserve"> estão em posição espelhada à normal. A presença concomitante dessas duas condições representa um desafio diagnóstico e terapêutico significativo. Este relato descreve o tratamento </w:t>
      </w:r>
      <w:proofErr w:type="spellStart"/>
      <w:r w:rsidRPr="00784B81">
        <w:rPr>
          <w:rFonts w:eastAsia="Times New Roman"/>
          <w:sz w:val="24"/>
          <w:szCs w:val="24"/>
        </w:rPr>
        <w:t>endovascular</w:t>
      </w:r>
      <w:proofErr w:type="spellEnd"/>
      <w:r w:rsidRPr="00784B81">
        <w:rPr>
          <w:rFonts w:eastAsia="Times New Roman"/>
          <w:sz w:val="24"/>
          <w:szCs w:val="24"/>
        </w:rPr>
        <w:t xml:space="preserve"> de uma paciente portadora de </w:t>
      </w:r>
      <w:proofErr w:type="spellStart"/>
      <w:r w:rsidRPr="00784B81">
        <w:rPr>
          <w:rFonts w:eastAsia="Times New Roman"/>
          <w:sz w:val="24"/>
          <w:szCs w:val="24"/>
        </w:rPr>
        <w:t>situs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inversus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totalis</w:t>
      </w:r>
      <w:proofErr w:type="spellEnd"/>
      <w:r w:rsidRPr="00784B81">
        <w:rPr>
          <w:rFonts w:eastAsia="Times New Roman"/>
          <w:sz w:val="24"/>
          <w:szCs w:val="24"/>
        </w:rPr>
        <w:t xml:space="preserve"> com oclusão de </w:t>
      </w:r>
      <w:proofErr w:type="spellStart"/>
      <w:r w:rsidRPr="00784B81">
        <w:rPr>
          <w:rFonts w:eastAsia="Times New Roman"/>
          <w:sz w:val="24"/>
          <w:szCs w:val="24"/>
        </w:rPr>
        <w:t>stent</w:t>
      </w:r>
      <w:proofErr w:type="spellEnd"/>
      <w:r w:rsidRPr="00784B81">
        <w:rPr>
          <w:rFonts w:eastAsia="Times New Roman"/>
          <w:sz w:val="24"/>
          <w:szCs w:val="24"/>
        </w:rPr>
        <w:t xml:space="preserve"> previamente implantado na veia ilíaca comum direita. </w:t>
      </w:r>
      <w:r w:rsidR="006B0877" w:rsidRPr="00784B81">
        <w:rPr>
          <w:rFonts w:eastAsia="Times New Roman"/>
          <w:b/>
          <w:bCs/>
          <w:sz w:val="24"/>
          <w:szCs w:val="24"/>
        </w:rPr>
        <w:t>Objetivo:</w:t>
      </w:r>
      <w:r w:rsidR="006B0877" w:rsidRPr="00784B81">
        <w:rPr>
          <w:rFonts w:eastAsia="Times New Roman"/>
          <w:sz w:val="24"/>
          <w:szCs w:val="24"/>
        </w:rPr>
        <w:t xml:space="preserve"> </w:t>
      </w:r>
      <w:r w:rsidR="006B0877" w:rsidRPr="00784B81">
        <w:rPr>
          <w:rFonts w:eastAsia="Times New Roman"/>
          <w:sz w:val="24"/>
          <w:szCs w:val="24"/>
        </w:rPr>
        <w:t xml:space="preserve">Relatar a abordagem diagnóstica e terapêutica de uma paciente com </w:t>
      </w:r>
      <w:proofErr w:type="spellStart"/>
      <w:r w:rsidR="006B0877" w:rsidRPr="00784B81">
        <w:rPr>
          <w:rFonts w:eastAsia="Times New Roman"/>
          <w:sz w:val="24"/>
          <w:szCs w:val="24"/>
        </w:rPr>
        <w:t>situs</w:t>
      </w:r>
      <w:proofErr w:type="spellEnd"/>
      <w:r w:rsidR="006B0877"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="006B0877" w:rsidRPr="00784B81">
        <w:rPr>
          <w:rFonts w:eastAsia="Times New Roman"/>
          <w:sz w:val="24"/>
          <w:szCs w:val="24"/>
        </w:rPr>
        <w:t>inversus</w:t>
      </w:r>
      <w:proofErr w:type="spellEnd"/>
      <w:r w:rsidR="006B0877"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="006B0877" w:rsidRPr="00784B81">
        <w:rPr>
          <w:rFonts w:eastAsia="Times New Roman"/>
          <w:sz w:val="24"/>
          <w:szCs w:val="24"/>
        </w:rPr>
        <w:t>totalis</w:t>
      </w:r>
      <w:proofErr w:type="spellEnd"/>
      <w:r w:rsidR="006B0877" w:rsidRPr="00784B81">
        <w:rPr>
          <w:rFonts w:eastAsia="Times New Roman"/>
          <w:sz w:val="24"/>
          <w:szCs w:val="24"/>
        </w:rPr>
        <w:t xml:space="preserve"> e oclusão de </w:t>
      </w:r>
      <w:proofErr w:type="spellStart"/>
      <w:r w:rsidR="006B0877" w:rsidRPr="00784B81">
        <w:rPr>
          <w:rFonts w:eastAsia="Times New Roman"/>
          <w:sz w:val="24"/>
          <w:szCs w:val="24"/>
        </w:rPr>
        <w:t>stent</w:t>
      </w:r>
      <w:proofErr w:type="spellEnd"/>
      <w:r w:rsidR="006B0877" w:rsidRPr="00784B81">
        <w:rPr>
          <w:rFonts w:eastAsia="Times New Roman"/>
          <w:sz w:val="24"/>
          <w:szCs w:val="24"/>
        </w:rPr>
        <w:t xml:space="preserve"> em veia ilíaca, destacando as adaptações </w:t>
      </w:r>
      <w:proofErr w:type="spellStart"/>
      <w:r w:rsidR="006B0877" w:rsidRPr="00784B81">
        <w:rPr>
          <w:rFonts w:eastAsia="Times New Roman"/>
          <w:sz w:val="24"/>
          <w:szCs w:val="24"/>
        </w:rPr>
        <w:t>endovasculares</w:t>
      </w:r>
      <w:proofErr w:type="spellEnd"/>
      <w:r w:rsidR="006B0877" w:rsidRPr="00784B81">
        <w:rPr>
          <w:rFonts w:eastAsia="Times New Roman"/>
          <w:sz w:val="24"/>
          <w:szCs w:val="24"/>
        </w:rPr>
        <w:t xml:space="preserve"> frente às alterações anatômicas</w:t>
      </w:r>
      <w:r w:rsidR="006B0877" w:rsidRPr="00784B81">
        <w:rPr>
          <w:rFonts w:eastAsia="Times New Roman"/>
          <w:sz w:val="24"/>
          <w:szCs w:val="24"/>
        </w:rPr>
        <w:t xml:space="preserve">. </w:t>
      </w:r>
      <w:r w:rsidR="006B0877" w:rsidRPr="00784B81">
        <w:rPr>
          <w:rFonts w:eastAsia="Times New Roman"/>
          <w:b/>
          <w:bCs/>
          <w:sz w:val="24"/>
          <w:szCs w:val="24"/>
        </w:rPr>
        <w:t>Métodos:</w:t>
      </w:r>
      <w:r w:rsidR="006B0877" w:rsidRPr="00784B81">
        <w:rPr>
          <w:rFonts w:eastAsia="Times New Roman"/>
          <w:sz w:val="24"/>
          <w:szCs w:val="24"/>
        </w:rPr>
        <w:t xml:space="preserve"> </w:t>
      </w:r>
      <w:r w:rsidR="006B0877" w:rsidRPr="00784B81">
        <w:rPr>
          <w:rFonts w:eastAsia="Times New Roman"/>
          <w:sz w:val="24"/>
          <w:szCs w:val="24"/>
        </w:rPr>
        <w:t>Trata-se de um relato de caso com abordagem descritiva e qualitativa, baseado na análise de prontuário, exames de imagem e registros operatórios de um serviço especializado em cirurgia vascular.</w:t>
      </w:r>
      <w:r w:rsidR="006B0877" w:rsidRPr="00784B81">
        <w:rPr>
          <w:sz w:val="24"/>
          <w:szCs w:val="24"/>
        </w:rPr>
        <w:t xml:space="preserve"> </w:t>
      </w:r>
      <w:r w:rsidRPr="00784B81">
        <w:rPr>
          <w:rFonts w:eastAsia="Times New Roman"/>
          <w:b/>
          <w:sz w:val="24"/>
          <w:szCs w:val="24"/>
        </w:rPr>
        <w:t xml:space="preserve">Relato do Caso: </w:t>
      </w:r>
      <w:r w:rsidRPr="00784B81">
        <w:rPr>
          <w:rFonts w:eastAsia="Times New Roman"/>
          <w:sz w:val="24"/>
          <w:szCs w:val="24"/>
        </w:rPr>
        <w:t xml:space="preserve">Paciente com diagnóstico prévio de Síndrome de </w:t>
      </w:r>
      <w:proofErr w:type="spellStart"/>
      <w:r w:rsidRPr="00784B81">
        <w:rPr>
          <w:rFonts w:eastAsia="Times New Roman"/>
          <w:sz w:val="24"/>
          <w:szCs w:val="24"/>
        </w:rPr>
        <w:t>Cockett</w:t>
      </w:r>
      <w:proofErr w:type="spellEnd"/>
      <w:r w:rsidRPr="00784B81">
        <w:rPr>
          <w:rFonts w:eastAsia="Times New Roman"/>
          <w:sz w:val="24"/>
          <w:szCs w:val="24"/>
        </w:rPr>
        <w:t xml:space="preserve">, portadora de </w:t>
      </w:r>
      <w:proofErr w:type="spellStart"/>
      <w:r w:rsidRPr="00784B81">
        <w:rPr>
          <w:rFonts w:eastAsia="Times New Roman"/>
          <w:sz w:val="24"/>
          <w:szCs w:val="24"/>
        </w:rPr>
        <w:t>situs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inversus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totalis</w:t>
      </w:r>
      <w:proofErr w:type="spellEnd"/>
      <w:r w:rsidRPr="00784B81">
        <w:rPr>
          <w:rFonts w:eastAsia="Times New Roman"/>
          <w:sz w:val="24"/>
          <w:szCs w:val="24"/>
        </w:rPr>
        <w:t xml:space="preserve">, apresentou oclusão total do </w:t>
      </w:r>
      <w:proofErr w:type="spellStart"/>
      <w:r w:rsidRPr="00784B81">
        <w:rPr>
          <w:rFonts w:eastAsia="Times New Roman"/>
          <w:sz w:val="24"/>
          <w:szCs w:val="24"/>
        </w:rPr>
        <w:t>stent</w:t>
      </w:r>
      <w:proofErr w:type="spellEnd"/>
      <w:r w:rsidRPr="00784B81">
        <w:rPr>
          <w:rFonts w:eastAsia="Times New Roman"/>
          <w:sz w:val="24"/>
          <w:szCs w:val="24"/>
        </w:rPr>
        <w:t xml:space="preserve"> previamente implantado em veia ilíaca comum direita. Foi realizada punção retrógrada das veias femoral superficial direita e femoral comum esquerda com auxílio de ultrassonografia intraoperatória e radioscopia, utilizando introdutores 6F e </w:t>
      </w:r>
      <w:proofErr w:type="spellStart"/>
      <w:r w:rsidRPr="00784B81">
        <w:rPr>
          <w:rFonts w:eastAsia="Times New Roman"/>
          <w:sz w:val="24"/>
          <w:szCs w:val="24"/>
        </w:rPr>
        <w:t>heparinização</w:t>
      </w:r>
      <w:proofErr w:type="spellEnd"/>
      <w:r w:rsidRPr="00784B81">
        <w:rPr>
          <w:rFonts w:eastAsia="Times New Roman"/>
          <w:sz w:val="24"/>
          <w:szCs w:val="24"/>
        </w:rPr>
        <w:t xml:space="preserve"> sistêmica com controle do TCA. A flebografia retrógrada demonstrou oclusão total do fluxo venoso no segmento médio-distal do </w:t>
      </w:r>
      <w:proofErr w:type="spellStart"/>
      <w:r w:rsidRPr="00784B81">
        <w:rPr>
          <w:rFonts w:eastAsia="Times New Roman"/>
          <w:sz w:val="24"/>
          <w:szCs w:val="24"/>
        </w:rPr>
        <w:t>stent</w:t>
      </w:r>
      <w:proofErr w:type="spellEnd"/>
      <w:r w:rsidRPr="00784B81">
        <w:rPr>
          <w:rFonts w:eastAsia="Times New Roman"/>
          <w:sz w:val="24"/>
          <w:szCs w:val="24"/>
        </w:rPr>
        <w:t xml:space="preserve"> da veia ilíaca externa e comum direita, com extensa rede colateral drenando para a veia cava inferior via sistema ilíaco interno contralateral. Observou-se ainda irregularidades parietais intensas na veia femoral comum direita. A angiografia da veia esquerda não revelou anormalidades significativas. A tentativa inicial de recanalização da lesão extensa </w:t>
      </w:r>
      <w:proofErr w:type="spellStart"/>
      <w:r w:rsidRPr="00784B81">
        <w:rPr>
          <w:rFonts w:eastAsia="Times New Roman"/>
          <w:sz w:val="24"/>
          <w:szCs w:val="24"/>
        </w:rPr>
        <w:t>intrastent</w:t>
      </w:r>
      <w:proofErr w:type="spellEnd"/>
      <w:r w:rsidRPr="00784B81">
        <w:rPr>
          <w:rFonts w:eastAsia="Times New Roman"/>
          <w:sz w:val="24"/>
          <w:szCs w:val="24"/>
        </w:rPr>
        <w:t xml:space="preserve">, utilizando fio guia hidrofílico e cateter vertebral, foi malsucedida. Após abordagem com cateter mamário interno via crossover pela veia femoral esquerda, também sem sucesso, optou-se pela introdução de bainha longa </w:t>
      </w:r>
      <w:proofErr w:type="spellStart"/>
      <w:r w:rsidRPr="00784B81">
        <w:rPr>
          <w:rFonts w:eastAsia="Times New Roman"/>
          <w:sz w:val="24"/>
          <w:szCs w:val="24"/>
        </w:rPr>
        <w:t>Epsylar</w:t>
      </w:r>
      <w:proofErr w:type="spellEnd"/>
      <w:r w:rsidRPr="00784B81">
        <w:rPr>
          <w:rFonts w:eastAsia="Times New Roman"/>
          <w:sz w:val="24"/>
          <w:szCs w:val="24"/>
        </w:rPr>
        <w:t xml:space="preserve"> na veia femoral direita, permitindo finalmente a recanalização do trajeto obstruído com balão de alta pressão. Realizou-se ultrassonografia intravascular (IVUS), que evidenciou fibrose significativa desde a veia femoral comum até a ilíaca comum direita, com redução de calibre e fluxo em vórtice. Foram implantados dois </w:t>
      </w:r>
      <w:proofErr w:type="spellStart"/>
      <w:r w:rsidRPr="00784B81">
        <w:rPr>
          <w:rFonts w:eastAsia="Times New Roman"/>
          <w:sz w:val="24"/>
          <w:szCs w:val="24"/>
        </w:rPr>
        <w:t>stents</w:t>
      </w:r>
      <w:proofErr w:type="spellEnd"/>
      <w:r w:rsidRPr="00784B81">
        <w:rPr>
          <w:rFonts w:eastAsia="Times New Roman"/>
          <w:sz w:val="24"/>
          <w:szCs w:val="24"/>
        </w:rPr>
        <w:t xml:space="preserve"> autoexpansíveis </w:t>
      </w:r>
      <w:proofErr w:type="spellStart"/>
      <w:r w:rsidRPr="00784B81">
        <w:rPr>
          <w:rFonts w:eastAsia="Times New Roman"/>
          <w:sz w:val="24"/>
          <w:szCs w:val="24"/>
        </w:rPr>
        <w:t>Sinus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Venous</w:t>
      </w:r>
      <w:proofErr w:type="spellEnd"/>
      <w:r w:rsidRPr="00784B81">
        <w:rPr>
          <w:rFonts w:eastAsia="Times New Roman"/>
          <w:sz w:val="24"/>
          <w:szCs w:val="24"/>
        </w:rPr>
        <w:t xml:space="preserve"> (14x150mm na femoral comum direita e 16x80mm na ilíaca comum direita, com extensão até a cava), seguidos de pós-dilatação com balão Atlas 16x60mm. Exames intraoperatórios (IVUS e doppler colorido) confirmaram a recuperação da luz venosa, sem sinais de trombos ou fraturas dos </w:t>
      </w:r>
      <w:proofErr w:type="spellStart"/>
      <w:r w:rsidRPr="00784B81">
        <w:rPr>
          <w:rFonts w:eastAsia="Times New Roman"/>
          <w:sz w:val="24"/>
          <w:szCs w:val="24"/>
        </w:rPr>
        <w:t>stents</w:t>
      </w:r>
      <w:proofErr w:type="spellEnd"/>
      <w:r w:rsidRPr="00784B81">
        <w:rPr>
          <w:rFonts w:eastAsia="Times New Roman"/>
          <w:sz w:val="24"/>
          <w:szCs w:val="24"/>
        </w:rPr>
        <w:t xml:space="preserve">. A angiografia de controle final demonstrou recanalização completa, com fluxo venoso adequado e ausência de complicações. </w:t>
      </w:r>
      <w:r w:rsidRPr="00784B81">
        <w:rPr>
          <w:rFonts w:eastAsia="Times New Roman"/>
          <w:b/>
          <w:sz w:val="24"/>
          <w:szCs w:val="24"/>
        </w:rPr>
        <w:t xml:space="preserve">Conclusão: </w:t>
      </w:r>
      <w:r w:rsidRPr="00784B81">
        <w:rPr>
          <w:rFonts w:eastAsia="Times New Roman"/>
          <w:sz w:val="24"/>
          <w:szCs w:val="24"/>
        </w:rPr>
        <w:t xml:space="preserve">O tratamento </w:t>
      </w:r>
      <w:proofErr w:type="spellStart"/>
      <w:r w:rsidRPr="00784B81">
        <w:rPr>
          <w:rFonts w:eastAsia="Times New Roman"/>
          <w:sz w:val="24"/>
          <w:szCs w:val="24"/>
        </w:rPr>
        <w:t>endovascular</w:t>
      </w:r>
      <w:proofErr w:type="spellEnd"/>
      <w:r w:rsidRPr="00784B81">
        <w:rPr>
          <w:rFonts w:eastAsia="Times New Roman"/>
          <w:sz w:val="24"/>
          <w:szCs w:val="24"/>
        </w:rPr>
        <w:t xml:space="preserve"> da Síndrome de </w:t>
      </w:r>
      <w:proofErr w:type="spellStart"/>
      <w:r w:rsidRPr="00784B81">
        <w:rPr>
          <w:rFonts w:eastAsia="Times New Roman"/>
          <w:sz w:val="24"/>
          <w:szCs w:val="24"/>
        </w:rPr>
        <w:t>Cockett</w:t>
      </w:r>
      <w:proofErr w:type="spellEnd"/>
      <w:r w:rsidRPr="00784B81">
        <w:rPr>
          <w:rFonts w:eastAsia="Times New Roman"/>
          <w:sz w:val="24"/>
          <w:szCs w:val="24"/>
        </w:rPr>
        <w:t xml:space="preserve"> em paciente com </w:t>
      </w:r>
      <w:proofErr w:type="spellStart"/>
      <w:r w:rsidRPr="00784B81">
        <w:rPr>
          <w:rFonts w:eastAsia="Times New Roman"/>
          <w:sz w:val="24"/>
          <w:szCs w:val="24"/>
        </w:rPr>
        <w:t>situs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inversus</w:t>
      </w:r>
      <w:proofErr w:type="spellEnd"/>
      <w:r w:rsidRPr="00784B81">
        <w:rPr>
          <w:rFonts w:eastAsia="Times New Roman"/>
          <w:sz w:val="24"/>
          <w:szCs w:val="24"/>
        </w:rPr>
        <w:t xml:space="preserve"> </w:t>
      </w:r>
      <w:proofErr w:type="spellStart"/>
      <w:r w:rsidRPr="00784B81">
        <w:rPr>
          <w:rFonts w:eastAsia="Times New Roman"/>
          <w:sz w:val="24"/>
          <w:szCs w:val="24"/>
        </w:rPr>
        <w:t>totalis</w:t>
      </w:r>
      <w:proofErr w:type="spellEnd"/>
      <w:r w:rsidRPr="00784B81">
        <w:rPr>
          <w:rFonts w:eastAsia="Times New Roman"/>
          <w:sz w:val="24"/>
          <w:szCs w:val="24"/>
        </w:rPr>
        <w:t xml:space="preserve"> requer abordagem individualizada devido às particularidades anatômicas. A recanalização de </w:t>
      </w:r>
      <w:proofErr w:type="spellStart"/>
      <w:r w:rsidRPr="00784B81">
        <w:rPr>
          <w:rFonts w:eastAsia="Times New Roman"/>
          <w:sz w:val="24"/>
          <w:szCs w:val="24"/>
        </w:rPr>
        <w:t>stent</w:t>
      </w:r>
      <w:proofErr w:type="spellEnd"/>
      <w:r w:rsidRPr="00784B81">
        <w:rPr>
          <w:rFonts w:eastAsia="Times New Roman"/>
          <w:sz w:val="24"/>
          <w:szCs w:val="24"/>
        </w:rPr>
        <w:t xml:space="preserve"> previamente ocluído, embora desafiadora, demonstrou-se eficaz com o uso de técnicas avançadas de imagem e materiais específicos. O sucesso do procedimento, sem intercorrências, reforça a viabilidade da abordagem </w:t>
      </w:r>
      <w:proofErr w:type="spellStart"/>
      <w:r w:rsidRPr="00784B81">
        <w:rPr>
          <w:rFonts w:eastAsia="Times New Roman"/>
          <w:sz w:val="24"/>
          <w:szCs w:val="24"/>
        </w:rPr>
        <w:t>endovascular</w:t>
      </w:r>
      <w:proofErr w:type="spellEnd"/>
      <w:r w:rsidRPr="00784B81">
        <w:rPr>
          <w:rFonts w:eastAsia="Times New Roman"/>
          <w:sz w:val="24"/>
          <w:szCs w:val="24"/>
        </w:rPr>
        <w:t xml:space="preserve"> mesmo em casos complexos e raros</w:t>
      </w:r>
      <w:r w:rsidRPr="00784B81">
        <w:rPr>
          <w:sz w:val="24"/>
          <w:szCs w:val="24"/>
        </w:rPr>
        <w:t>.</w:t>
      </w:r>
      <w:r w:rsidR="004B5A4F" w:rsidRPr="00784B81">
        <w:rPr>
          <w:sz w:val="24"/>
          <w:szCs w:val="24"/>
        </w:rPr>
        <w:t xml:space="preserve"> </w:t>
      </w:r>
      <w:proofErr w:type="spellStart"/>
      <w:r w:rsidR="006B0877" w:rsidRPr="006B0877">
        <w:rPr>
          <w:b/>
          <w:bCs/>
          <w:sz w:val="24"/>
          <w:szCs w:val="24"/>
          <w:lang w:val="en-US"/>
        </w:rPr>
        <w:t>Palavras-chave</w:t>
      </w:r>
      <w:proofErr w:type="spellEnd"/>
      <w:r w:rsidR="006B0877" w:rsidRPr="006B0877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="006B0877" w:rsidRPr="006B0877">
        <w:rPr>
          <w:sz w:val="24"/>
          <w:szCs w:val="24"/>
          <w:lang w:val="en-US"/>
        </w:rPr>
        <w:t>Síndrome</w:t>
      </w:r>
      <w:proofErr w:type="spellEnd"/>
      <w:r w:rsidR="006B0877" w:rsidRPr="006B0877">
        <w:rPr>
          <w:sz w:val="24"/>
          <w:szCs w:val="24"/>
          <w:lang w:val="en-US"/>
        </w:rPr>
        <w:t xml:space="preserve"> de May-Thurner; </w:t>
      </w:r>
      <w:proofErr w:type="spellStart"/>
      <w:r w:rsidR="006B0877" w:rsidRPr="006B0877">
        <w:rPr>
          <w:sz w:val="24"/>
          <w:szCs w:val="24"/>
          <w:lang w:val="en-US"/>
        </w:rPr>
        <w:t>Procedimentos</w:t>
      </w:r>
      <w:proofErr w:type="spellEnd"/>
      <w:r w:rsidR="006B0877" w:rsidRPr="006B0877">
        <w:rPr>
          <w:sz w:val="24"/>
          <w:szCs w:val="24"/>
          <w:lang w:val="en-US"/>
        </w:rPr>
        <w:t xml:space="preserve"> </w:t>
      </w:r>
      <w:proofErr w:type="spellStart"/>
      <w:r w:rsidR="006B0877" w:rsidRPr="006B0877">
        <w:rPr>
          <w:sz w:val="24"/>
          <w:szCs w:val="24"/>
          <w:lang w:val="en-US"/>
        </w:rPr>
        <w:t>Endovasculares</w:t>
      </w:r>
      <w:proofErr w:type="spellEnd"/>
      <w:r w:rsidR="006B0877" w:rsidRPr="006B0877">
        <w:rPr>
          <w:sz w:val="24"/>
          <w:szCs w:val="24"/>
          <w:lang w:val="en-US"/>
        </w:rPr>
        <w:t xml:space="preserve">; </w:t>
      </w:r>
      <w:proofErr w:type="spellStart"/>
      <w:r w:rsidR="006B0877" w:rsidRPr="006B0877">
        <w:rPr>
          <w:sz w:val="24"/>
          <w:szCs w:val="24"/>
          <w:lang w:val="en-US"/>
        </w:rPr>
        <w:t>Veia</w:t>
      </w:r>
      <w:proofErr w:type="spellEnd"/>
      <w:r w:rsidR="006B0877" w:rsidRPr="006B0877">
        <w:rPr>
          <w:sz w:val="24"/>
          <w:szCs w:val="24"/>
          <w:lang w:val="en-US"/>
        </w:rPr>
        <w:t xml:space="preserve"> </w:t>
      </w:r>
      <w:proofErr w:type="spellStart"/>
      <w:r w:rsidR="006B0877" w:rsidRPr="006B0877">
        <w:rPr>
          <w:sz w:val="24"/>
          <w:szCs w:val="24"/>
          <w:lang w:val="en-US"/>
        </w:rPr>
        <w:t>Ilíaca</w:t>
      </w:r>
      <w:proofErr w:type="spellEnd"/>
      <w:r w:rsidR="006B0877" w:rsidRPr="006B0877">
        <w:rPr>
          <w:sz w:val="24"/>
          <w:szCs w:val="24"/>
          <w:lang w:val="en-US"/>
        </w:rPr>
        <w:t>; Situs Inversus.</w:t>
      </w:r>
    </w:p>
    <w:p w14:paraId="17453A2A" w14:textId="77777777" w:rsidR="006B0877" w:rsidRPr="00784B81" w:rsidRDefault="006B0877" w:rsidP="004B5A4F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784B81">
        <w:rPr>
          <w:b/>
          <w:bCs/>
          <w:sz w:val="24"/>
          <w:szCs w:val="24"/>
          <w:lang w:val="en-US"/>
        </w:rPr>
        <w:t>Referencias</w:t>
      </w:r>
      <w:proofErr w:type="spellEnd"/>
      <w:r w:rsidRPr="00784B81">
        <w:rPr>
          <w:b/>
          <w:bCs/>
          <w:sz w:val="24"/>
          <w:szCs w:val="24"/>
          <w:lang w:val="en-US"/>
        </w:rPr>
        <w:t>:</w:t>
      </w:r>
    </w:p>
    <w:p w14:paraId="4FFB82D0" w14:textId="16B1B876" w:rsidR="006B0877" w:rsidRPr="00784B81" w:rsidRDefault="006B0877" w:rsidP="004B5A4F">
      <w:pPr>
        <w:spacing w:line="240" w:lineRule="auto"/>
        <w:jc w:val="both"/>
        <w:rPr>
          <w:sz w:val="24"/>
          <w:szCs w:val="24"/>
          <w:lang w:val="en-US"/>
        </w:rPr>
      </w:pPr>
      <w:r w:rsidRPr="00784B81">
        <w:rPr>
          <w:sz w:val="24"/>
          <w:szCs w:val="24"/>
          <w:lang w:val="en-US"/>
        </w:rPr>
        <w:t xml:space="preserve">Gupta H, et al. Situs inversus </w:t>
      </w:r>
      <w:proofErr w:type="spellStart"/>
      <w:r w:rsidRPr="00784B81">
        <w:rPr>
          <w:sz w:val="24"/>
          <w:szCs w:val="24"/>
          <w:lang w:val="en-US"/>
        </w:rPr>
        <w:t>totalis</w:t>
      </w:r>
      <w:proofErr w:type="spellEnd"/>
      <w:r w:rsidRPr="00784B81">
        <w:rPr>
          <w:sz w:val="24"/>
          <w:szCs w:val="24"/>
          <w:lang w:val="en-US"/>
        </w:rPr>
        <w:t xml:space="preserve"> and implications for vascular procedures. Ann </w:t>
      </w:r>
      <w:proofErr w:type="spellStart"/>
      <w:r w:rsidRPr="00784B81">
        <w:rPr>
          <w:sz w:val="24"/>
          <w:szCs w:val="24"/>
          <w:lang w:val="en-US"/>
        </w:rPr>
        <w:t>Vasc</w:t>
      </w:r>
      <w:proofErr w:type="spellEnd"/>
      <w:r w:rsidRPr="00784B81">
        <w:rPr>
          <w:sz w:val="24"/>
          <w:szCs w:val="24"/>
          <w:lang w:val="en-US"/>
        </w:rPr>
        <w:t xml:space="preserve"> Surg. 2019.</w:t>
      </w:r>
    </w:p>
    <w:p w14:paraId="3B306E43" w14:textId="3AFE4D60" w:rsidR="006B0877" w:rsidRPr="006B0877" w:rsidRDefault="006B0877" w:rsidP="004B5A4F">
      <w:pPr>
        <w:spacing w:line="240" w:lineRule="auto"/>
        <w:jc w:val="both"/>
        <w:rPr>
          <w:sz w:val="24"/>
          <w:szCs w:val="24"/>
          <w:lang w:val="en-US"/>
        </w:rPr>
      </w:pPr>
      <w:r w:rsidRPr="006B0877">
        <w:rPr>
          <w:sz w:val="24"/>
          <w:szCs w:val="24"/>
          <w:lang w:val="en-US"/>
        </w:rPr>
        <w:t xml:space="preserve">Cackett F, et al. May-Thurner Syndrome: Current Diagnostic and Therapeutic Strategies. J </w:t>
      </w:r>
      <w:proofErr w:type="spellStart"/>
      <w:r w:rsidRPr="006B0877">
        <w:rPr>
          <w:sz w:val="24"/>
          <w:szCs w:val="24"/>
          <w:lang w:val="en-US"/>
        </w:rPr>
        <w:t>Vasc</w:t>
      </w:r>
      <w:proofErr w:type="spellEnd"/>
      <w:r w:rsidRPr="006B0877">
        <w:rPr>
          <w:sz w:val="24"/>
          <w:szCs w:val="24"/>
          <w:lang w:val="en-US"/>
        </w:rPr>
        <w:t xml:space="preserve"> </w:t>
      </w:r>
      <w:proofErr w:type="spellStart"/>
      <w:r w:rsidRPr="006B0877">
        <w:rPr>
          <w:sz w:val="24"/>
          <w:szCs w:val="24"/>
          <w:lang w:val="en-US"/>
        </w:rPr>
        <w:t>Interv</w:t>
      </w:r>
      <w:proofErr w:type="spellEnd"/>
      <w:r w:rsidRPr="006B0877">
        <w:rPr>
          <w:sz w:val="24"/>
          <w:szCs w:val="24"/>
          <w:lang w:val="en-US"/>
        </w:rPr>
        <w:t xml:space="preserve"> </w:t>
      </w:r>
      <w:proofErr w:type="spellStart"/>
      <w:r w:rsidRPr="006B0877">
        <w:rPr>
          <w:sz w:val="24"/>
          <w:szCs w:val="24"/>
          <w:lang w:val="en-US"/>
        </w:rPr>
        <w:t>Radiol</w:t>
      </w:r>
      <w:proofErr w:type="spellEnd"/>
      <w:r w:rsidRPr="006B0877">
        <w:rPr>
          <w:sz w:val="24"/>
          <w:szCs w:val="24"/>
          <w:lang w:val="en-US"/>
        </w:rPr>
        <w:t>. 2020.</w:t>
      </w:r>
    </w:p>
    <w:p w14:paraId="00000004" w14:textId="6A468CA0" w:rsidR="001D31BF" w:rsidRPr="00545F45" w:rsidRDefault="006B0877" w:rsidP="00545F45">
      <w:pPr>
        <w:spacing w:line="240" w:lineRule="auto"/>
        <w:jc w:val="both"/>
        <w:rPr>
          <w:sz w:val="24"/>
          <w:szCs w:val="24"/>
          <w:lang w:val="en-US"/>
        </w:rPr>
      </w:pPr>
      <w:r w:rsidRPr="006B0877">
        <w:rPr>
          <w:sz w:val="24"/>
          <w:szCs w:val="24"/>
          <w:lang w:val="en-US"/>
        </w:rPr>
        <w:t xml:space="preserve">Mahmood S, et al. Endovascular Management of May-Thurner Syndrome: A Review. Cardiovasc </w:t>
      </w:r>
      <w:proofErr w:type="spellStart"/>
      <w:r w:rsidRPr="006B0877">
        <w:rPr>
          <w:sz w:val="24"/>
          <w:szCs w:val="24"/>
          <w:lang w:val="en-US"/>
        </w:rPr>
        <w:t>Diagn</w:t>
      </w:r>
      <w:proofErr w:type="spellEnd"/>
      <w:r w:rsidRPr="006B0877">
        <w:rPr>
          <w:sz w:val="24"/>
          <w:szCs w:val="24"/>
          <w:lang w:val="en-US"/>
        </w:rPr>
        <w:t xml:space="preserve"> Ther. 2021</w:t>
      </w:r>
      <w:r w:rsidR="00545F45">
        <w:rPr>
          <w:sz w:val="24"/>
          <w:szCs w:val="24"/>
          <w:lang w:val="en-US"/>
        </w:rPr>
        <w:t>.</w:t>
      </w:r>
    </w:p>
    <w:sectPr w:rsidR="001D31BF" w:rsidRPr="00545F45" w:rsidSect="00784B81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406"/>
    <w:multiLevelType w:val="hybridMultilevel"/>
    <w:tmpl w:val="A850A228"/>
    <w:lvl w:ilvl="0" w:tplc="7F185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6E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ED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0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4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66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E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6C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90FE4"/>
    <w:multiLevelType w:val="hybridMultilevel"/>
    <w:tmpl w:val="F90A8F7A"/>
    <w:lvl w:ilvl="0" w:tplc="AD7E3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80602">
    <w:abstractNumId w:val="0"/>
  </w:num>
  <w:num w:numId="2" w16cid:durableId="62790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BF"/>
    <w:rsid w:val="001D31BF"/>
    <w:rsid w:val="004B5A4F"/>
    <w:rsid w:val="00545F45"/>
    <w:rsid w:val="006B0877"/>
    <w:rsid w:val="00784B81"/>
    <w:rsid w:val="008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862B"/>
  <w15:docId w15:val="{B2EE3B1D-2759-4F0D-8B06-399445B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Castro</cp:lastModifiedBy>
  <cp:revision>3</cp:revision>
  <dcterms:created xsi:type="dcterms:W3CDTF">2025-04-15T01:48:00Z</dcterms:created>
  <dcterms:modified xsi:type="dcterms:W3CDTF">2025-04-15T02:31:00Z</dcterms:modified>
</cp:coreProperties>
</file>