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RISCO CARDIOVASCULAR ASSOCIADO À SÍNDROME DOS OVÁRIOS POLICÍSTICOS</w:t>
      </w:r>
    </w:p>
    <w:p w:rsidR="00000000" w:rsidDel="00000000" w:rsidP="00000000" w:rsidRDefault="00000000" w:rsidRPr="00000000" w14:paraId="00000002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Julia de Oliveira Cavalcanti Moura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Giovanna Isabelle Sarmento Monteiro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Ivana Victoria Santos Araujo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; Luma Fernandes Bezerra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; Larissa Isabela Oliveira de Souza²</w:t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 xml:space="preserve">Centro Universitário CESMAC;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 xml:space="preserve">Centro Universitário CESMAC;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3 </w:t>
      </w:r>
      <w:r w:rsidDel="00000000" w:rsidR="00000000" w:rsidRPr="00000000">
        <w:rPr>
          <w:sz w:val="18"/>
          <w:szCs w:val="18"/>
          <w:rtl w:val="0"/>
        </w:rPr>
        <w:t xml:space="preserve">Centro Universitário CESMAC;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4 </w:t>
      </w:r>
      <w:r w:rsidDel="00000000" w:rsidR="00000000" w:rsidRPr="00000000">
        <w:rPr>
          <w:sz w:val="18"/>
          <w:szCs w:val="18"/>
          <w:rtl w:val="0"/>
        </w:rPr>
        <w:t xml:space="preserve">Centro Universitário CESMAC;⁵ Centro Universitário CESMAC 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Juliamoura837@gmail.com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sz w:val="22"/>
          <w:szCs w:val="22"/>
        </w:rPr>
      </w:pPr>
      <w:bookmarkStart w:colFirst="0" w:colLast="0" w:name="_f9cx1znxn5v8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sz w:val="22"/>
          <w:szCs w:val="22"/>
          <w:rtl w:val="0"/>
        </w:rPr>
        <w:t xml:space="preserve">A síndrome dos ovários policísticos (SOP) é a endocrinopatia mais comum em mulheres em idade reprodutiva, definida por hiperandrogenismo, oligo/anovulação e ovários policísticos. O fenótipo hiperandrogênico associa-se a alterações metabólicas, como obesidade, dislipidemia, hipertensão e risco aumentado de diabetes tipo 2. Além disso, evidências sugerem maior predisposição a doenças cardiovasculares (DCV).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Objetivos:</w:t>
      </w:r>
      <w:r w:rsidDel="00000000" w:rsidR="00000000" w:rsidRPr="00000000">
        <w:rPr>
          <w:sz w:val="22"/>
          <w:szCs w:val="22"/>
          <w:rtl w:val="0"/>
        </w:rPr>
        <w:t xml:space="preserve">Associar a SOP como fator de risco para DCV.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Metodologia:</w:t>
      </w:r>
      <w:r w:rsidDel="00000000" w:rsidR="00000000" w:rsidRPr="00000000">
        <w:rPr>
          <w:sz w:val="22"/>
          <w:szCs w:val="22"/>
          <w:rtl w:val="0"/>
        </w:rPr>
        <w:t xml:space="preserve">Revisão integrativa de literatura na base MedLine (via PubMed), com a estratégia de busca: “Polycystic Ovary Syndrome AND Heart Disease Risk Factors”. Foram incluídos artigos originais publicados nos últimos cinco anos, em qualquer idioma, que relacionassem SOP e cardiopatias. Critérios de exclusão: artigos duplicados, teses, dissertações e ensaios clínicos não randomizados.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sz w:val="22"/>
          <w:szCs w:val="22"/>
          <w:rtl w:val="0"/>
        </w:rPr>
        <w:t xml:space="preserve">Identificaram-se 74 artigos, dos quais quatro atenderam aos critérios após leitura dos títulos. Os estudos apontam associação da SOP com alterações metabólicas e cardiovasculares, como dislipidemia, resistência insulínica, hipertensão arterial e síndrome metabólica, além de marcadores de aterosclerose subclínica. Intervenções farmacológicas como estatinas, metformina e agonistas do receptor de peptídeo-1 semelhantes ao glucagon demonstraram benefício na redução do risco de DCV.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Conclusões:</w:t>
      </w:r>
      <w:r w:rsidDel="00000000" w:rsidR="00000000" w:rsidRPr="00000000">
        <w:rPr>
          <w:sz w:val="22"/>
          <w:szCs w:val="22"/>
          <w:rtl w:val="0"/>
        </w:rPr>
        <w:t xml:space="preserve">A SOP está fortemente ligada a fatores de risco cardiometabólicos e alterações vasculares precoces, exigindo prevenção e manejo integrado desde o diagnóstico. A estatina é a terapia mais indicada para mulheres com SOP que têm risco elevado de DCV.</w:t>
      </w:r>
    </w:p>
    <w:p w:rsidR="00000000" w:rsidDel="00000000" w:rsidP="00000000" w:rsidRDefault="00000000" w:rsidRPr="00000000" w14:paraId="00000007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rtl w:val="0"/>
        </w:rPr>
        <w:t xml:space="preserve">Síndrome dos ovários policísticos. Endocrinopatia. Doenças Cardiovasculares. </w:t>
      </w:r>
    </w:p>
    <w:p w:rsidR="00000000" w:rsidDel="00000000" w:rsidP="00000000" w:rsidRDefault="00000000" w:rsidRPr="00000000" w14:paraId="00000008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GUAN, Carolyn; ZAHID, Salman; MINHAS, Anum S.; OUYANG, Pamela; VAUGHT, Arthur; BAKER, Valerie L.; MICHOS, Erin D. Polycystic ovary syndrome: a “risk-enhancing” factor for cardiovascular disease. Fertility and Sterility, v. 117, n. 5, p. 924-935, maio 2022. DOI: 10.1016/j.fertnstert.2022.03.009. PMID: 35512976.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SASAKI, Aiko; EMI, Yayoi; MATSUDA, Miwa; SHARULA; KAMADA, Yasuhiko; CHEBIB CHEKIR; HIRAMATSU, Yuji; NAKATSUKA, Mikiya. Increased arterial stiffness in mildly-hypertensive women with polycystic ovary syndrome. *Journal of Obstetrics and Gynaecology Research*, v. 37, n. 5, p. 402-411, maio 2011. DOI: 10.1111/j.1447-0756.2010.01375.x. PMID: 21314808.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OSIBOGUN, Olatokunbo; OGUNMOROTI, Oluseye; MICHOS, Erin D. Polycystic ovary syndrome and cardiometabolic risk: Opportunities for cardiovascular disease prevention. Trends in Cardiovascular Medicine, v. 30, n. 7, p. 399-404, out. 2020. DOI: 10.1016/j.tcm.2019.08.010.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PILILIS, S.; et al. The Cardiometabolic Risk in Women with Polycystic Ovarian Syndrome (PCOS): From Pathophysiology to Diagnosis and Treatment. Medicina, v. 60, n. 10, art. 1656, 2024. DOI: 10.3390/medicina60101656.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8419" w:orient="portrait"/>
      <w:pgMar w:bottom="567" w:top="567" w:left="567" w:right="567" w:header="28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-115" w:firstLine="0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4678" l="0" r="0" t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uliamoura837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