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IMPLICAÇÕES DOS BIOMARCADORES NEUROINFLAMATÓRIOS  NA DOENÇA DE PARKINSON.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Lucas Ferreira Firpo Roriz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</w:t>
      </w:r>
      <w:r w:rsidDel="00000000" w:rsidR="00000000" w:rsidRPr="00000000">
        <w:rPr>
          <w:sz w:val="20"/>
          <w:szCs w:val="20"/>
          <w:rtl w:val="0"/>
        </w:rPr>
        <w:t xml:space="preserve">Ana Júlia da Silva Costa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;Jeovana de lima silva ¹;Maria Eduarda Ferreira de Lima Araújo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;Raianny Arielly Nascimento da Silva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;Rebecca Sátiro Correia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;Moezio de Vasconcellos Costa Santos Filho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18"/>
          <w:szCs w:val="18"/>
          <w:highlight w:val="white"/>
          <w:vertAlign w:val="superscript"/>
          <w:rtl w:val="0"/>
        </w:rPr>
        <w:t xml:space="preserve">1,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 D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iscente do 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Centro Universitário CESMAC, Maceió, AL, Brasil.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2  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Docente do Centro Universitário CESMAC, Maceió, AL,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lucasroriz@hotmail.com.br</w:t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moezio.vasconcellos@cesmac.edu.br</w:t>
      </w:r>
    </w:p>
    <w:p w:rsidR="00000000" w:rsidDel="00000000" w:rsidP="00000000" w:rsidRDefault="00000000" w:rsidRPr="00000000" w14:paraId="0000000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 doença de Parkinson (DP) é o segundo distúrbio neurodegenerativo mais comum. Ela afeta cerca de 0,3% da população. Visto seu aumento gradativo, o diagnóstico da DP baseia-se essencialmente nos sintomas motores que, no entanto, tornam-se detectáveis quando 70-80% dos terminais dopaminérgicos no estriado e cerca de 50% dos neurônios dopaminérgicos da substância negra são perdidos. Nesse sentido, os biomarcadores são importantes para detectar a DP no estágio inicial, bem como para monitorar a progressão da doença.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Descrever os principais biomarcadores neuroinflamatórios e analisar seu uso na clínica.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Trata-se de uma revisão de literatura, plataformas utilizadas: SciELO, LILACS e MEDLINE via Pubmed. Com a estratégia de busca “</w:t>
      </w:r>
      <w:r w:rsidDel="00000000" w:rsidR="00000000" w:rsidRPr="00000000">
        <w:rPr>
          <w:i w:val="1"/>
          <w:sz w:val="22"/>
          <w:szCs w:val="22"/>
          <w:rtl w:val="0"/>
        </w:rPr>
        <w:t xml:space="preserve">Biomarkers</w:t>
      </w:r>
      <w:r w:rsidDel="00000000" w:rsidR="00000000" w:rsidRPr="00000000">
        <w:rPr>
          <w:sz w:val="22"/>
          <w:szCs w:val="22"/>
          <w:rtl w:val="0"/>
        </w:rPr>
        <w:t xml:space="preserve"> AND </w:t>
      </w:r>
      <w:r w:rsidDel="00000000" w:rsidR="00000000" w:rsidRPr="00000000">
        <w:rPr>
          <w:i w:val="1"/>
          <w:sz w:val="22"/>
          <w:szCs w:val="22"/>
          <w:rtl w:val="0"/>
        </w:rPr>
        <w:t xml:space="preserve">Neurodegenerative Diseases</w:t>
      </w:r>
      <w:r w:rsidDel="00000000" w:rsidR="00000000" w:rsidRPr="00000000">
        <w:rPr>
          <w:sz w:val="22"/>
          <w:szCs w:val="22"/>
          <w:rtl w:val="0"/>
        </w:rPr>
        <w:t xml:space="preserve"> AND Parkinson AND </w:t>
      </w:r>
      <w:r w:rsidDel="00000000" w:rsidR="00000000" w:rsidRPr="00000000">
        <w:rPr>
          <w:i w:val="1"/>
          <w:sz w:val="22"/>
          <w:szCs w:val="22"/>
          <w:rtl w:val="0"/>
        </w:rPr>
        <w:t xml:space="preserve">Neuroinflammation</w:t>
      </w:r>
      <w:r w:rsidDel="00000000" w:rsidR="00000000" w:rsidRPr="00000000">
        <w:rPr>
          <w:sz w:val="22"/>
          <w:szCs w:val="22"/>
          <w:rtl w:val="0"/>
        </w:rPr>
        <w:t xml:space="preserve">”. Últimos 5 anos em todos os idiomas. Critério de inclusão: Textos que trouxessem biomarcadores relacionados à doença de Parkinson. Critério de exclusão: erros genéticos inatos. Seleção dos estudos: lendo título, resumos e artigos completos.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Encontraram-se 368 resultados na MEDLINE via PubMed, 0 no LILACS e 0 no SciELO. Após análise, 292 foram excluídos por título e leitura do resumo e 69 pela completa. Totalizando 7 para fundamentação. Foram identificados 8 principais candidatos a biomarcadores inflamatórios, entre eles: Diminuição de ADA, CD8A e aumento de CD5, CDCP1, IL-8R1, IL-6, alfa-sinucleína, beta-amiloide.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Com um número crescente de novos biomarcadores candidatos, é de grande importância estabelecer uma medida de avaliação padrão de biomarcadores de DP, que pode ajudar a conectar a descoberta à validação de biomarcadores candidatos.</w:t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Biomarcadores. Doença de Parkinson. Inflamação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ERKKINEN, M. G.; KIM, M.-O.; GESCHWIND, M. D. Clinical Neurology and Epidemiology of the Major Neurodegenerative Diseases.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Cold Spring Harbor Perspectives in Biology</w:t>
      </w:r>
      <w:r w:rsidDel="00000000" w:rsidR="00000000" w:rsidRPr="00000000">
        <w:rPr>
          <w:sz w:val="20"/>
          <w:szCs w:val="20"/>
          <w:rtl w:val="0"/>
        </w:rPr>
        <w:t xml:space="preserve">, v. 10, n. 4, p. a033118, 17 jul. 2018.</w:t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‌PICCA, A. et al. Mitochondrial Dysfunction, Protein Misfolding and Neuroinflammation in Parkinson’s Disease: Roads to Biomarker Discovery. </w:t>
      </w:r>
      <w:r w:rsidDel="00000000" w:rsidR="00000000" w:rsidRPr="00000000">
        <w:rPr>
          <w:b w:val="1"/>
          <w:sz w:val="20"/>
          <w:szCs w:val="20"/>
          <w:rtl w:val="0"/>
        </w:rPr>
        <w:t xml:space="preserve">Biomolecules</w:t>
      </w:r>
      <w:r w:rsidDel="00000000" w:rsidR="00000000" w:rsidRPr="00000000">
        <w:rPr>
          <w:sz w:val="20"/>
          <w:szCs w:val="20"/>
          <w:rtl w:val="0"/>
        </w:rPr>
        <w:t xml:space="preserve">, v. 11, n. 10, p. 1508, 13 out. 2021.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CAMILLA CHRISTINA PEDERSEN et al. Inflammatory Biomarkers in Newly Diagnosed Patients With Parkinson Disease and Related Neurodegenerative Disorders. </w:t>
      </w:r>
      <w:r w:rsidDel="00000000" w:rsidR="00000000" w:rsidRPr="00000000">
        <w:rPr>
          <w:b w:val="1"/>
          <w:sz w:val="20"/>
          <w:szCs w:val="20"/>
          <w:rtl w:val="0"/>
        </w:rPr>
        <w:t xml:space="preserve">Neurology® neuroimmunology &amp; neuroinflammation</w:t>
      </w:r>
      <w:r w:rsidDel="00000000" w:rsidR="00000000" w:rsidRPr="00000000">
        <w:rPr>
          <w:sz w:val="20"/>
          <w:szCs w:val="20"/>
          <w:rtl w:val="0"/>
        </w:rPr>
        <w:t xml:space="preserve">, v. 10, n. 4, 1 jul. 2023.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FAYYAD, M. et al. Parkinson’s disease biomarkers based on α-synuclein.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Journal of Neurochemistry</w:t>
      </w:r>
      <w:r w:rsidDel="00000000" w:rsidR="00000000" w:rsidRPr="00000000">
        <w:rPr>
          <w:sz w:val="20"/>
          <w:szCs w:val="20"/>
          <w:rtl w:val="0"/>
        </w:rPr>
        <w:t xml:space="preserve">, v. 150, n. 5, p. 626–636, 1 set. 2019.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HAMPEL, H. et al. The Amyloid-β Pathway in Alzheimer’s Disease. </w:t>
      </w:r>
      <w:r w:rsidDel="00000000" w:rsidR="00000000" w:rsidRPr="00000000">
        <w:rPr>
          <w:b w:val="1"/>
          <w:sz w:val="20"/>
          <w:szCs w:val="20"/>
          <w:rtl w:val="0"/>
        </w:rPr>
        <w:t xml:space="preserve">Molecular Psychiatry</w:t>
      </w:r>
      <w:r w:rsidDel="00000000" w:rsidR="00000000" w:rsidRPr="00000000">
        <w:rPr>
          <w:sz w:val="20"/>
          <w:szCs w:val="20"/>
          <w:rtl w:val="0"/>
        </w:rPr>
        <w:t xml:space="preserve">, v. 26, n. 10, 30 ago. 2021.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LIU, T.-W.; CHEN, C.-M.; CHANG, K.-H. Biomarker of Neuroinflammation in Parkinson’s Disease.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International Journal of Molecular Sciences</w:t>
      </w:r>
      <w:r w:rsidDel="00000000" w:rsidR="00000000" w:rsidRPr="00000000">
        <w:rPr>
          <w:sz w:val="20"/>
          <w:szCs w:val="20"/>
          <w:rtl w:val="0"/>
        </w:rPr>
        <w:t xml:space="preserve">, v. 23, n. 8, p. 4148, 8 abr. 2022.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LI, T.; LE, W. Biomarkers for Parkinson’s Disease: How Good Are They? </w:t>
      </w:r>
      <w:r w:rsidDel="00000000" w:rsidR="00000000" w:rsidRPr="00000000">
        <w:rPr>
          <w:b w:val="1"/>
          <w:sz w:val="20"/>
          <w:szCs w:val="20"/>
          <w:rtl w:val="0"/>
        </w:rPr>
        <w:t xml:space="preserve">Neuroscience Bulletin</w:t>
      </w:r>
      <w:r w:rsidDel="00000000" w:rsidR="00000000" w:rsidRPr="00000000">
        <w:rPr>
          <w:sz w:val="20"/>
          <w:szCs w:val="20"/>
          <w:rtl w:val="0"/>
        </w:rPr>
        <w:t xml:space="preserve">, v. 36, n. 2, p. 183–194, 23 out. 2019.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1f1f1f"/>
          <w:sz w:val="30"/>
          <w:szCs w:val="30"/>
          <w:shd w:fill="f8f9fa" w:val="clear"/>
        </w:rPr>
      </w:pPr>
      <w:r w:rsidDel="00000000" w:rsidR="00000000" w:rsidRPr="00000000">
        <w:rPr>
          <w:sz w:val="20"/>
          <w:szCs w:val="20"/>
          <w:rtl w:val="0"/>
        </w:rPr>
        <w:t xml:space="preserve">CHEN, R.; GU, X.; WANG, X. α-Synuclein in Parkinson’s disease and advances in detection. </w:t>
      </w:r>
      <w:r w:rsidDel="00000000" w:rsidR="00000000" w:rsidRPr="00000000">
        <w:rPr>
          <w:b w:val="1"/>
          <w:sz w:val="20"/>
          <w:szCs w:val="20"/>
          <w:rtl w:val="0"/>
        </w:rPr>
        <w:t xml:space="preserve">Clinica Chimica Acta</w:t>
      </w:r>
      <w:r w:rsidDel="00000000" w:rsidR="00000000" w:rsidRPr="00000000">
        <w:rPr>
          <w:sz w:val="20"/>
          <w:szCs w:val="20"/>
          <w:rtl w:val="0"/>
        </w:rPr>
        <w:t xml:space="preserve">, v. 529, p. 76–86, 1 abr.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08.5714285714286" w:lineRule="auto"/>
        <w:rPr>
          <w:color w:val="1f1f1f"/>
          <w:sz w:val="30"/>
          <w:szCs w:val="3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61811" cy="5349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character" w:styleId="eop" w:customStyle="1">
    <w:name w:val="eop"/>
    <w:basedOn w:val="Fontepargpadro"/>
    <w:rsid w:val="00B10D42"/>
  </w:style>
  <w:style w:type="paragraph" w:styleId="paragraph" w:customStyle="1">
    <w:name w:val="paragraph"/>
    <w:basedOn w:val="Normal"/>
    <w:rsid w:val="00B10D42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3lTCLEd/D+y4l0s0BibiVts2g==">CgMxLjA4AHIhMXpRc0NOQjVfeHhXS3dRYXNHUDBjb2dxS09KMEVUVEZT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2024-10-10T14:40:00Z</dcterms:created>
  <dc:creator>Gisa</dc:creator>
</cp:coreProperties>
</file>