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997A" w14:textId="65BF3091" w:rsidR="00F96439" w:rsidRPr="00FB1F03" w:rsidRDefault="00FB1F03">
      <w:pPr>
        <w:pStyle w:val="Ttulo"/>
        <w:rPr>
          <w:i w:val="0"/>
          <w:lang w:val="pt-BR"/>
        </w:rPr>
      </w:pPr>
      <w:r w:rsidRPr="00FB1F03">
        <w:rPr>
          <w:lang w:val="pt-BR"/>
        </w:rPr>
        <w:t xml:space="preserve">Células a combustível no Brasil e no mundo: uma análise de </w:t>
      </w:r>
      <w:r>
        <w:rPr>
          <w:lang w:val="pt-BR"/>
        </w:rPr>
        <w:t>publicações científicas e de patentes</w:t>
      </w:r>
    </w:p>
    <w:p w14:paraId="5527C70B" w14:textId="72B72A0D" w:rsidR="00F96439" w:rsidRPr="00084F42" w:rsidRDefault="00F96439">
      <w:pPr>
        <w:pStyle w:val="Corpodetexto"/>
        <w:spacing w:before="2"/>
        <w:ind w:left="112"/>
        <w:rPr>
          <w:lang w:val="pt-BR"/>
        </w:rPr>
      </w:pPr>
    </w:p>
    <w:p w14:paraId="720BD626" w14:textId="77777777" w:rsidR="00F96439" w:rsidRPr="00084F42" w:rsidRDefault="00000000">
      <w:pPr>
        <w:pStyle w:val="Corpodetexto"/>
        <w:rPr>
          <w:sz w:val="24"/>
          <w:lang w:val="pt-BR"/>
        </w:rPr>
      </w:pPr>
      <w:r w:rsidRPr="00084F42">
        <w:rPr>
          <w:lang w:val="pt-BR"/>
        </w:rPr>
        <w:br w:type="column"/>
      </w:r>
    </w:p>
    <w:p w14:paraId="4B2351E3" w14:textId="77777777" w:rsidR="00F96439" w:rsidRPr="00084F42" w:rsidRDefault="00F96439">
      <w:pPr>
        <w:pStyle w:val="Corpodetexto"/>
        <w:rPr>
          <w:sz w:val="24"/>
          <w:lang w:val="pt-BR"/>
        </w:rPr>
      </w:pPr>
    </w:p>
    <w:p w14:paraId="25094277" w14:textId="77777777" w:rsidR="00F96439" w:rsidRPr="000712CF" w:rsidRDefault="00F96439">
      <w:pPr>
        <w:pStyle w:val="Corpodetexto"/>
        <w:spacing w:before="10"/>
        <w:rPr>
          <w:sz w:val="22"/>
          <w:szCs w:val="18"/>
          <w:lang w:val="pt-BR"/>
        </w:rPr>
      </w:pPr>
    </w:p>
    <w:p w14:paraId="3BEEB831" w14:textId="23DE351E" w:rsidR="000712CF" w:rsidRPr="000712CF" w:rsidRDefault="000712CF" w:rsidP="000712CF">
      <w:pPr>
        <w:pStyle w:val="Corpodetexto"/>
        <w:spacing w:before="1"/>
        <w:ind w:right="103" w:hanging="426"/>
        <w:jc w:val="right"/>
        <w:rPr>
          <w:sz w:val="18"/>
          <w:szCs w:val="18"/>
        </w:rPr>
      </w:pPr>
      <w:r w:rsidRPr="000712CF">
        <w:rPr>
          <w:sz w:val="18"/>
          <w:szCs w:val="18"/>
        </w:rPr>
        <w:t>Daniella Fartes, CGEE</w:t>
      </w:r>
      <w:r w:rsidR="008C7971">
        <w:rPr>
          <w:sz w:val="18"/>
          <w:szCs w:val="18"/>
          <w:vertAlign w:val="superscript"/>
        </w:rPr>
        <w:t>1</w:t>
      </w:r>
      <w:r w:rsidRPr="000712CF">
        <w:rPr>
          <w:sz w:val="18"/>
          <w:szCs w:val="18"/>
        </w:rPr>
        <w:t xml:space="preserve">, </w:t>
      </w:r>
      <w:r>
        <w:rPr>
          <w:sz w:val="18"/>
          <w:szCs w:val="18"/>
        </w:rPr>
        <w:t>dfartes@hotmail.com</w:t>
      </w:r>
    </w:p>
    <w:p w14:paraId="2EFA6F60" w14:textId="6DBADF67" w:rsidR="000712CF" w:rsidRPr="000712CF" w:rsidRDefault="000712CF" w:rsidP="000712CF">
      <w:pPr>
        <w:pStyle w:val="Corpodetexto"/>
        <w:spacing w:before="1"/>
        <w:ind w:right="103" w:hanging="426"/>
        <w:jc w:val="right"/>
        <w:rPr>
          <w:sz w:val="18"/>
          <w:szCs w:val="18"/>
        </w:rPr>
      </w:pPr>
      <w:r w:rsidRPr="000712CF">
        <w:rPr>
          <w:sz w:val="18"/>
          <w:szCs w:val="18"/>
        </w:rPr>
        <w:t xml:space="preserve">Emilly Caroline Silva, CGEE, </w:t>
      </w:r>
      <w:r w:rsidRPr="001D62F2">
        <w:rPr>
          <w:sz w:val="18"/>
          <w:szCs w:val="18"/>
        </w:rPr>
        <w:t>esilva@cgee.org.br</w:t>
      </w:r>
    </w:p>
    <w:p w14:paraId="611A1BB1" w14:textId="286F5C34" w:rsidR="000712CF" w:rsidRPr="001D62F2" w:rsidRDefault="000712CF" w:rsidP="000712CF">
      <w:pPr>
        <w:pStyle w:val="Corpodetexto"/>
        <w:spacing w:before="1"/>
        <w:ind w:right="103" w:hanging="426"/>
        <w:jc w:val="right"/>
        <w:rPr>
          <w:sz w:val="18"/>
          <w:szCs w:val="18"/>
        </w:rPr>
      </w:pPr>
      <w:r w:rsidRPr="001D62F2">
        <w:rPr>
          <w:sz w:val="18"/>
          <w:szCs w:val="18"/>
        </w:rPr>
        <w:t>Bárbara Bressan, CGEE, bbressan@cgee.org.br</w:t>
      </w:r>
    </w:p>
    <w:p w14:paraId="11739037" w14:textId="5D4ACD63" w:rsidR="000712CF" w:rsidRPr="000712CF" w:rsidRDefault="000712CF" w:rsidP="000712CF">
      <w:pPr>
        <w:pStyle w:val="Corpodetexto"/>
        <w:spacing w:before="1"/>
        <w:ind w:right="103" w:hanging="426"/>
        <w:jc w:val="right"/>
        <w:rPr>
          <w:sz w:val="18"/>
          <w:szCs w:val="18"/>
        </w:rPr>
      </w:pPr>
      <w:r w:rsidRPr="000712CF">
        <w:rPr>
          <w:sz w:val="18"/>
          <w:szCs w:val="18"/>
        </w:rPr>
        <w:t>Gabriela Britto, CGEE, gabrielabritto.t@gm</w:t>
      </w:r>
      <w:r>
        <w:rPr>
          <w:sz w:val="18"/>
          <w:szCs w:val="18"/>
        </w:rPr>
        <w:t>ail.com</w:t>
      </w:r>
    </w:p>
    <w:p w14:paraId="6F479044" w14:textId="004BB170" w:rsidR="00F96439" w:rsidRPr="008C7971" w:rsidRDefault="000712CF" w:rsidP="00891851">
      <w:pPr>
        <w:pStyle w:val="Corpodetexto"/>
        <w:spacing w:before="1"/>
        <w:ind w:right="103" w:hanging="426"/>
        <w:jc w:val="right"/>
        <w:rPr>
          <w:rFonts w:asciiTheme="majorBidi" w:hAnsiTheme="majorBidi" w:cstheme="majorBidi"/>
          <w:w w:val="99"/>
          <w:sz w:val="18"/>
          <w:szCs w:val="18"/>
          <w:lang w:val="pt-BR"/>
        </w:rPr>
      </w:pPr>
      <w:r w:rsidRPr="008C7971">
        <w:rPr>
          <w:rFonts w:asciiTheme="majorBidi" w:hAnsiTheme="majorBidi" w:cstheme="majorBidi"/>
          <w:sz w:val="18"/>
          <w:szCs w:val="18"/>
          <w:lang w:val="pt-BR"/>
        </w:rPr>
        <w:t>Marcelo Poppe, CGEE, mpoppe@cgee.org.br</w:t>
      </w:r>
      <w:r w:rsidRPr="008C7971">
        <w:rPr>
          <w:rFonts w:asciiTheme="majorBidi" w:hAnsiTheme="majorBidi" w:cstheme="majorBidi"/>
          <w:w w:val="99"/>
          <w:sz w:val="18"/>
          <w:szCs w:val="18"/>
          <w:lang w:val="pt-BR"/>
        </w:rPr>
        <w:t xml:space="preserve"> </w:t>
      </w:r>
    </w:p>
    <w:p w14:paraId="27767405" w14:textId="08ABA631" w:rsidR="00F96439" w:rsidRPr="00780C65" w:rsidRDefault="008C7971" w:rsidP="00780C65">
      <w:pPr>
        <w:pStyle w:val="Corpodetexto"/>
        <w:spacing w:before="1"/>
        <w:ind w:right="103" w:hanging="426"/>
        <w:jc w:val="right"/>
        <w:rPr>
          <w:rFonts w:asciiTheme="majorBidi" w:hAnsiTheme="majorBidi" w:cstheme="majorBidi"/>
          <w:w w:val="99"/>
          <w:sz w:val="18"/>
          <w:szCs w:val="18"/>
          <w:lang w:val="pt-BR"/>
        </w:rPr>
        <w:sectPr w:rsidR="00F96439" w:rsidRPr="00780C65" w:rsidSect="009723E4">
          <w:type w:val="continuous"/>
          <w:pgSz w:w="12240" w:h="15840"/>
          <w:pgMar w:top="1240" w:right="620" w:bottom="280" w:left="600" w:header="720" w:footer="720" w:gutter="0"/>
          <w:cols w:num="2" w:space="2634" w:equalWidth="0">
            <w:col w:w="6778" w:space="49"/>
            <w:col w:w="4193"/>
          </w:cols>
        </w:sectPr>
      </w:pPr>
      <w:r w:rsidRPr="008C7971">
        <w:rPr>
          <w:rFonts w:asciiTheme="majorBidi" w:hAnsiTheme="majorBidi" w:cstheme="majorBidi"/>
          <w:w w:val="99"/>
          <w:sz w:val="18"/>
          <w:szCs w:val="18"/>
          <w:vertAlign w:val="superscript"/>
          <w:lang w:val="pt-BR"/>
        </w:rPr>
        <w:t>1</w:t>
      </w:r>
      <w:r w:rsidRPr="008C7971">
        <w:rPr>
          <w:rFonts w:asciiTheme="majorBidi" w:hAnsiTheme="majorBidi" w:cstheme="majorBidi"/>
          <w:w w:val="99"/>
          <w:sz w:val="18"/>
          <w:szCs w:val="18"/>
          <w:lang w:val="pt-BR"/>
        </w:rPr>
        <w:t>Centro de Gestão e Estudos Estratégico</w:t>
      </w:r>
      <w:r w:rsidR="00780C65">
        <w:rPr>
          <w:rFonts w:asciiTheme="majorBidi" w:hAnsiTheme="majorBidi" w:cstheme="majorBidi"/>
          <w:w w:val="99"/>
          <w:sz w:val="18"/>
          <w:szCs w:val="18"/>
          <w:lang w:val="pt-BR"/>
        </w:rPr>
        <w:t>s</w:t>
      </w:r>
    </w:p>
    <w:p w14:paraId="1843B566" w14:textId="7930C0DC" w:rsidR="00F96439" w:rsidRPr="006D020C" w:rsidRDefault="00F96439" w:rsidP="000712CF">
      <w:pPr>
        <w:pStyle w:val="Corpodetexto"/>
        <w:spacing w:line="230" w:lineRule="exact"/>
        <w:rPr>
          <w:rFonts w:asciiTheme="majorBidi" w:hAnsiTheme="majorBidi" w:cstheme="majorBidi"/>
          <w:lang w:val="pt-BR"/>
        </w:rPr>
      </w:pPr>
    </w:p>
    <w:p w14:paraId="32CB2191" w14:textId="5F777033" w:rsidR="00F96439" w:rsidRPr="006D020C" w:rsidRDefault="00F97B71" w:rsidP="00780C65">
      <w:pPr>
        <w:pStyle w:val="Ttulo1"/>
        <w:rPr>
          <w:rFonts w:asciiTheme="majorBidi" w:hAnsiTheme="majorBidi" w:cstheme="majorBidi"/>
          <w:lang w:val="pt-BR"/>
        </w:rPr>
      </w:pPr>
      <w:r w:rsidRPr="006D020C">
        <w:rPr>
          <w:rFonts w:asciiTheme="majorBidi" w:hAnsiTheme="majorBidi" w:cstheme="majorBidi"/>
          <w:lang w:val="pt-BR"/>
        </w:rPr>
        <w:t>Introdução</w:t>
      </w:r>
    </w:p>
    <w:p w14:paraId="2EF3FB1B" w14:textId="77777777" w:rsidR="00780C65" w:rsidRPr="00780C65" w:rsidRDefault="00780C65" w:rsidP="00780C65">
      <w:pPr>
        <w:pStyle w:val="Ttulo1"/>
        <w:rPr>
          <w:lang w:val="pt-BR"/>
        </w:rPr>
      </w:pPr>
    </w:p>
    <w:p w14:paraId="35D39051" w14:textId="12A250C4" w:rsidR="00F96439" w:rsidRDefault="00FB1F03" w:rsidP="004D5B65">
      <w:pPr>
        <w:pStyle w:val="Corpodetexto"/>
        <w:jc w:val="both"/>
        <w:rPr>
          <w:rFonts w:asciiTheme="majorBidi" w:hAnsiTheme="majorBidi" w:cstheme="majorBidi"/>
          <w:bCs/>
          <w:lang w:val="pt-BR"/>
        </w:rPr>
      </w:pPr>
      <w:r w:rsidRPr="00084F42">
        <w:rPr>
          <w:rFonts w:asciiTheme="majorBidi" w:hAnsiTheme="majorBidi" w:cstheme="majorBidi"/>
          <w:bCs/>
          <w:lang w:val="pt-BR"/>
        </w:rPr>
        <w:t>Num contex</w:t>
      </w:r>
      <w:r w:rsidR="004D5B65" w:rsidRPr="00084F42">
        <w:rPr>
          <w:rFonts w:asciiTheme="majorBidi" w:hAnsiTheme="majorBidi" w:cstheme="majorBidi"/>
          <w:bCs/>
          <w:lang w:val="pt-BR"/>
        </w:rPr>
        <w:t>to de mudanças climáticas e urgência por múltiplas soluções energéticas sustentáveis, as células a combustíve</w:t>
      </w:r>
      <w:r w:rsidR="00084F42">
        <w:rPr>
          <w:rFonts w:asciiTheme="majorBidi" w:hAnsiTheme="majorBidi" w:cstheme="majorBidi"/>
          <w:bCs/>
          <w:lang w:val="pt-BR"/>
        </w:rPr>
        <w:t xml:space="preserve">l </w:t>
      </w:r>
      <w:r w:rsidR="004D5B65" w:rsidRPr="00084F42">
        <w:rPr>
          <w:rFonts w:asciiTheme="majorBidi" w:hAnsiTheme="majorBidi" w:cstheme="majorBidi"/>
          <w:bCs/>
          <w:lang w:val="pt-BR"/>
        </w:rPr>
        <w:t>se apresentam como uma das soluções que podem contribuir para o enfrentamento da crise climática.</w:t>
      </w:r>
      <w:r w:rsidR="004D5B65" w:rsidRPr="00084F42">
        <w:rPr>
          <w:rFonts w:asciiTheme="majorBidi" w:hAnsiTheme="majorBidi" w:cstheme="majorBidi"/>
          <w:lang w:val="pt-BR"/>
        </w:rPr>
        <w:t xml:space="preserve"> </w:t>
      </w:r>
      <w:r w:rsidR="004D5B65" w:rsidRPr="00084F42">
        <w:rPr>
          <w:rFonts w:asciiTheme="majorBidi" w:hAnsiTheme="majorBidi" w:cstheme="majorBidi"/>
          <w:bCs/>
          <w:lang w:val="pt-BR"/>
        </w:rPr>
        <w:t xml:space="preserve">Uma célula ou uma pilha a combustível é um dispositivo que converte a energia química de um combustível diretamente em energia elétrica através de uma reação eletroquímica. As células a combustível </w:t>
      </w:r>
      <w:r w:rsidR="00084F42">
        <w:rPr>
          <w:rFonts w:asciiTheme="majorBidi" w:hAnsiTheme="majorBidi" w:cstheme="majorBidi"/>
          <w:bCs/>
          <w:lang w:val="pt-BR"/>
        </w:rPr>
        <w:t xml:space="preserve">(CC) </w:t>
      </w:r>
      <w:r w:rsidR="004D5B65" w:rsidRPr="00084F42">
        <w:rPr>
          <w:rFonts w:asciiTheme="majorBidi" w:hAnsiTheme="majorBidi" w:cstheme="majorBidi"/>
          <w:bCs/>
          <w:lang w:val="pt-BR"/>
        </w:rPr>
        <w:t>operam silenciosamente e de maneira eficiente e confiável. Elas não emitem poluição particulada, podendo ter como subproduto apenas água e oxigênio</w:t>
      </w:r>
      <w:r w:rsidR="004D5B65" w:rsidRPr="00084F42">
        <w:rPr>
          <w:rStyle w:val="Refdenotaderodap"/>
          <w:rFonts w:asciiTheme="majorBidi" w:hAnsiTheme="majorBidi" w:cstheme="majorBidi"/>
          <w:bCs/>
          <w:lang w:val="pt-BR"/>
        </w:rPr>
        <w:footnoteReference w:id="1"/>
      </w:r>
      <w:r w:rsidR="004D5B65" w:rsidRPr="00084F42">
        <w:rPr>
          <w:rFonts w:asciiTheme="majorBidi" w:hAnsiTheme="majorBidi" w:cstheme="majorBidi"/>
          <w:bCs/>
          <w:lang w:val="pt-BR"/>
        </w:rPr>
        <w:t>, não possuem partes móveis e sua construção modular permite arranjos em diferentes escalas de potência</w:t>
      </w:r>
      <w:r w:rsidR="00F141EE">
        <w:rPr>
          <w:rFonts w:asciiTheme="majorBidi" w:hAnsiTheme="majorBidi" w:cstheme="majorBidi"/>
          <w:bCs/>
          <w:lang w:val="pt-BR"/>
        </w:rPr>
        <w:t xml:space="preserve"> (</w:t>
      </w:r>
      <w:r w:rsidR="00F141EE" w:rsidRPr="00F141EE">
        <w:rPr>
          <w:rFonts w:asciiTheme="majorBidi" w:hAnsiTheme="majorBidi" w:cstheme="majorBidi"/>
          <w:color w:val="000000"/>
          <w:lang w:val="pt-BR"/>
        </w:rPr>
        <w:t>DICKS; RAND,</w:t>
      </w:r>
      <w:r w:rsidR="00F141EE">
        <w:rPr>
          <w:rFonts w:asciiTheme="majorBidi" w:hAnsiTheme="majorBidi" w:cstheme="majorBidi"/>
          <w:color w:val="000000"/>
          <w:lang w:val="pt-BR"/>
        </w:rPr>
        <w:t xml:space="preserve"> 2018)</w:t>
      </w:r>
      <w:r w:rsidR="00F141EE" w:rsidRPr="00084F42">
        <w:rPr>
          <w:rFonts w:asciiTheme="majorBidi" w:hAnsiTheme="majorBidi" w:cstheme="majorBidi"/>
          <w:bCs/>
          <w:lang w:val="pt-BR"/>
        </w:rPr>
        <w:t xml:space="preserve"> </w:t>
      </w:r>
      <w:r w:rsidR="004D5B65" w:rsidRPr="00084F42">
        <w:rPr>
          <w:rFonts w:asciiTheme="majorBidi" w:hAnsiTheme="majorBidi" w:cstheme="majorBidi"/>
          <w:bCs/>
          <w:lang w:val="pt-BR"/>
        </w:rPr>
        <w:t>Além disso, as CC</w:t>
      </w:r>
      <w:r w:rsidR="00084F42">
        <w:rPr>
          <w:rFonts w:asciiTheme="majorBidi" w:hAnsiTheme="majorBidi" w:cstheme="majorBidi"/>
          <w:bCs/>
          <w:lang w:val="pt-BR"/>
        </w:rPr>
        <w:t>s</w:t>
      </w:r>
      <w:r w:rsidR="004D5B65" w:rsidRPr="00084F42">
        <w:rPr>
          <w:rFonts w:asciiTheme="majorBidi" w:hAnsiTheme="majorBidi" w:cstheme="majorBidi"/>
          <w:bCs/>
          <w:lang w:val="pt-BR"/>
        </w:rPr>
        <w:t xml:space="preserve"> permitem o uso de combustíveis de fontes renováveis, como o hidrogênio </w:t>
      </w:r>
      <w:r w:rsidR="00084F42">
        <w:rPr>
          <w:rFonts w:asciiTheme="majorBidi" w:hAnsiTheme="majorBidi" w:cstheme="majorBidi"/>
          <w:bCs/>
          <w:lang w:val="pt-BR"/>
        </w:rPr>
        <w:t>renovável</w:t>
      </w:r>
      <w:r w:rsidR="004D5B65" w:rsidRPr="00084F42">
        <w:rPr>
          <w:rFonts w:asciiTheme="majorBidi" w:hAnsiTheme="majorBidi" w:cstheme="majorBidi"/>
          <w:bCs/>
          <w:lang w:val="pt-BR"/>
        </w:rPr>
        <w:t xml:space="preserve"> e o etanol. Ainda, as células a combustível são mais eficientes, pois possuem a conversão em uma etapa – a conversão química para elétrica – diferentemente do que ocorre nos motores a combustão, que demandam múltiplos passos de conversão de energia (OMAR; MEHMET, 2014).</w:t>
      </w:r>
    </w:p>
    <w:p w14:paraId="105448B3" w14:textId="63F363F7" w:rsidR="00F96439" w:rsidRPr="00084F42" w:rsidRDefault="00084F42" w:rsidP="00084F42">
      <w:pPr>
        <w:pStyle w:val="Corpodetexto"/>
        <w:jc w:val="both"/>
        <w:rPr>
          <w:rFonts w:asciiTheme="majorBidi" w:hAnsiTheme="majorBidi" w:cstheme="majorBidi"/>
          <w:bCs/>
          <w:lang w:val="pt-BR"/>
        </w:rPr>
      </w:pPr>
      <w:r w:rsidRPr="00084F42">
        <w:rPr>
          <w:rFonts w:asciiTheme="majorBidi" w:hAnsiTheme="majorBidi" w:cstheme="majorBidi"/>
          <w:bCs/>
          <w:lang w:val="pt-BR"/>
        </w:rPr>
        <w:t>Apesar das grandes vantagens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das células a combustível,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é necessário destacar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alguns pontos. Em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primeiro lugar, a não emissão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de gases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poluentes deve ser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considerada em células que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usam hidrogênio puro. Outro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ponto importante é: para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que a célula seja uma tecnologia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habilitadora da transição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energética, é necessário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 xml:space="preserve">que esse hidrogênio </w:t>
      </w:r>
      <w:r>
        <w:rPr>
          <w:rFonts w:asciiTheme="majorBidi" w:hAnsiTheme="majorBidi" w:cstheme="majorBidi"/>
          <w:bCs/>
          <w:lang w:val="pt-BR"/>
        </w:rPr>
        <w:t>seja de baixo carbono</w:t>
      </w:r>
      <w:r>
        <w:rPr>
          <w:rStyle w:val="Refdenotaderodap"/>
          <w:rFonts w:asciiTheme="majorBidi" w:hAnsiTheme="majorBidi" w:cstheme="majorBidi"/>
          <w:bCs/>
          <w:lang w:val="pt-BR"/>
        </w:rPr>
        <w:footnoteReference w:id="2"/>
      </w:r>
      <w:r w:rsidRPr="00084F42">
        <w:rPr>
          <w:rFonts w:asciiTheme="majorBidi" w:hAnsiTheme="majorBidi" w:cstheme="majorBidi"/>
          <w:bCs/>
          <w:lang w:val="pt-BR"/>
        </w:rPr>
        <w:t>. Sob esse aspecto,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deve-se levar em conta não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apenas a questão climática,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mas também a própria viabilidade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econômica e energética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do processo, uma vez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que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qualquer energia fóssil usada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para produção de hidrogênio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sempre terá mais conteúdo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energético do que o hidrogênio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="00F141EE">
        <w:rPr>
          <w:rFonts w:asciiTheme="majorBidi" w:hAnsiTheme="majorBidi" w:cstheme="majorBidi"/>
          <w:bCs/>
          <w:lang w:val="pt-BR"/>
        </w:rPr>
        <w:t>(</w:t>
      </w:r>
      <w:r w:rsidR="00F141EE" w:rsidRPr="00F141EE">
        <w:rPr>
          <w:rFonts w:asciiTheme="majorBidi" w:hAnsiTheme="majorBidi" w:cstheme="majorBidi"/>
          <w:color w:val="000000"/>
          <w:lang w:val="pt-BR"/>
        </w:rPr>
        <w:t>DICKS; RAND,</w:t>
      </w:r>
      <w:r w:rsidR="00F141EE">
        <w:rPr>
          <w:rFonts w:asciiTheme="majorBidi" w:hAnsiTheme="majorBidi" w:cstheme="majorBidi"/>
          <w:color w:val="000000"/>
          <w:lang w:val="pt-BR"/>
        </w:rPr>
        <w:t xml:space="preserve"> 2018). </w:t>
      </w:r>
      <w:r w:rsidRPr="00084F42">
        <w:rPr>
          <w:rFonts w:asciiTheme="majorBidi" w:hAnsiTheme="majorBidi" w:cstheme="majorBidi"/>
          <w:bCs/>
          <w:lang w:val="pt-BR"/>
        </w:rPr>
        <w:t>Nesse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>contexto, é relevante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Pr="00084F42">
        <w:rPr>
          <w:rFonts w:asciiTheme="majorBidi" w:hAnsiTheme="majorBidi" w:cstheme="majorBidi"/>
          <w:bCs/>
          <w:lang w:val="pt-BR"/>
        </w:rPr>
        <w:t xml:space="preserve">discutir o papel </w:t>
      </w:r>
      <w:r>
        <w:rPr>
          <w:rFonts w:asciiTheme="majorBidi" w:hAnsiTheme="majorBidi" w:cstheme="majorBidi"/>
          <w:bCs/>
          <w:lang w:val="pt-BR"/>
        </w:rPr>
        <w:t xml:space="preserve">que as </w:t>
      </w:r>
      <w:r w:rsidRPr="00084F42">
        <w:rPr>
          <w:rFonts w:asciiTheme="majorBidi" w:hAnsiTheme="majorBidi" w:cstheme="majorBidi"/>
          <w:bCs/>
          <w:lang w:val="pt-BR"/>
        </w:rPr>
        <w:t>células a combustível</w:t>
      </w:r>
      <w:r>
        <w:rPr>
          <w:rFonts w:asciiTheme="majorBidi" w:hAnsiTheme="majorBidi" w:cstheme="majorBidi"/>
          <w:bCs/>
          <w:lang w:val="pt-BR"/>
        </w:rPr>
        <w:t xml:space="preserve"> vêm tendo no mundo e seu potencial no cenário nacional</w:t>
      </w:r>
      <w:r w:rsidRPr="00084F42">
        <w:rPr>
          <w:rFonts w:asciiTheme="majorBidi" w:hAnsiTheme="majorBidi" w:cstheme="majorBidi"/>
          <w:bCs/>
          <w:lang w:val="pt-BR"/>
        </w:rPr>
        <w:t>.</w:t>
      </w:r>
      <w:r w:rsidR="00F97B71">
        <w:rPr>
          <w:rFonts w:asciiTheme="majorBidi" w:hAnsiTheme="majorBidi" w:cstheme="majorBidi"/>
          <w:bCs/>
          <w:lang w:val="pt-BR"/>
        </w:rPr>
        <w:t xml:space="preserve"> Uma forma de fazer isso é utilizar indicadores de maturidade tecnológica, como artigos científicos e patentes</w:t>
      </w:r>
      <w:r w:rsidR="0055763F">
        <w:rPr>
          <w:rFonts w:asciiTheme="majorBidi" w:hAnsiTheme="majorBidi" w:cstheme="majorBidi"/>
          <w:bCs/>
          <w:lang w:val="pt-BR"/>
        </w:rPr>
        <w:t>. Sendo assim, o objetivo deste trabalho foi investigar o nível de maturidade tecnológica das diferentes células a combustível num cenário internacional e nacional. Para isso foram utilizados dados de artigos científicos (</w:t>
      </w:r>
      <w:r w:rsidR="0055763F" w:rsidRPr="00F97B71">
        <w:rPr>
          <w:rFonts w:asciiTheme="majorBidi" w:hAnsiTheme="majorBidi" w:cstheme="majorBidi"/>
          <w:bCs/>
          <w:lang w:val="pt-BR"/>
        </w:rPr>
        <w:t>99.518</w:t>
      </w:r>
      <w:r w:rsidR="0055763F">
        <w:rPr>
          <w:rFonts w:asciiTheme="majorBidi" w:hAnsiTheme="majorBidi" w:cstheme="majorBidi"/>
          <w:bCs/>
          <w:lang w:val="pt-BR"/>
        </w:rPr>
        <w:t>) e patentes (</w:t>
      </w:r>
      <w:r w:rsidR="0055763F" w:rsidRPr="00F97B71">
        <w:rPr>
          <w:rFonts w:asciiTheme="majorBidi" w:hAnsiTheme="majorBidi" w:cstheme="majorBidi"/>
          <w:bCs/>
          <w:lang w:val="pt-BR"/>
        </w:rPr>
        <w:t>140.378</w:t>
      </w:r>
      <w:r w:rsidR="0055763F">
        <w:rPr>
          <w:rFonts w:asciiTheme="majorBidi" w:hAnsiTheme="majorBidi" w:cstheme="majorBidi"/>
          <w:bCs/>
          <w:lang w:val="pt-BR"/>
        </w:rPr>
        <w:t>) conforme será descrito na próxima seção.</w:t>
      </w:r>
    </w:p>
    <w:p w14:paraId="0C75A344" w14:textId="77777777" w:rsidR="00F96439" w:rsidRPr="00FB1F03" w:rsidRDefault="00F96439">
      <w:pPr>
        <w:pStyle w:val="Corpodetexto"/>
        <w:rPr>
          <w:rFonts w:ascii="Arial"/>
          <w:b/>
          <w:sz w:val="23"/>
          <w:lang w:val="pt-BR"/>
        </w:rPr>
      </w:pPr>
    </w:p>
    <w:p w14:paraId="18052FF0" w14:textId="3C9F6074" w:rsidR="00F96439" w:rsidRPr="006D020C" w:rsidRDefault="00000000">
      <w:pPr>
        <w:ind w:left="840"/>
        <w:rPr>
          <w:rFonts w:asciiTheme="majorBidi" w:hAnsiTheme="majorBidi" w:cstheme="majorBidi"/>
          <w:b/>
          <w:sz w:val="24"/>
          <w:lang w:val="pt-BR"/>
        </w:rPr>
      </w:pPr>
      <w:r w:rsidRPr="006D020C">
        <w:rPr>
          <w:rFonts w:asciiTheme="majorBidi" w:hAnsiTheme="majorBidi" w:cstheme="majorBidi"/>
          <w:b/>
          <w:sz w:val="24"/>
          <w:lang w:val="pt-BR"/>
        </w:rPr>
        <w:t>M</w:t>
      </w:r>
      <w:r w:rsidR="00F97B71" w:rsidRPr="006D020C">
        <w:rPr>
          <w:rFonts w:asciiTheme="majorBidi" w:hAnsiTheme="majorBidi" w:cstheme="majorBidi"/>
          <w:b/>
          <w:sz w:val="24"/>
          <w:lang w:val="pt-BR"/>
        </w:rPr>
        <w:t>etodologia</w:t>
      </w:r>
    </w:p>
    <w:p w14:paraId="1A0CC190" w14:textId="77777777" w:rsidR="00F96439" w:rsidRPr="00084F42" w:rsidRDefault="00F96439">
      <w:pPr>
        <w:pStyle w:val="Corpodetexto"/>
        <w:rPr>
          <w:rFonts w:ascii="Arial"/>
          <w:b/>
          <w:lang w:val="pt-BR"/>
        </w:rPr>
      </w:pPr>
    </w:p>
    <w:p w14:paraId="487F3FE9" w14:textId="581F5442" w:rsidR="008B192F" w:rsidRPr="00F97B71" w:rsidRDefault="0055763F" w:rsidP="00E5105D">
      <w:pPr>
        <w:pStyle w:val="Corpodetexto"/>
        <w:jc w:val="both"/>
        <w:rPr>
          <w:rFonts w:asciiTheme="majorBidi" w:hAnsiTheme="majorBidi" w:cstheme="majorBidi"/>
          <w:bCs/>
          <w:lang w:val="pt-BR"/>
        </w:rPr>
      </w:pPr>
      <w:r>
        <w:rPr>
          <w:rFonts w:asciiTheme="majorBidi" w:hAnsiTheme="majorBidi" w:cstheme="majorBidi"/>
          <w:bCs/>
          <w:lang w:val="pt-BR"/>
        </w:rPr>
        <w:t xml:space="preserve">A metodologia deste trabalho foi baseada em 3 </w:t>
      </w:r>
      <w:r w:rsidR="00A96185">
        <w:rPr>
          <w:rFonts w:asciiTheme="majorBidi" w:hAnsiTheme="majorBidi" w:cstheme="majorBidi"/>
          <w:bCs/>
          <w:lang w:val="pt-BR"/>
        </w:rPr>
        <w:t>blocos de atividades</w:t>
      </w:r>
      <w:r>
        <w:rPr>
          <w:rFonts w:asciiTheme="majorBidi" w:hAnsiTheme="majorBidi" w:cstheme="majorBidi"/>
          <w:bCs/>
          <w:lang w:val="pt-BR"/>
        </w:rPr>
        <w:t xml:space="preserve"> que ocorreram em paralelo: consulta a especialistas, </w:t>
      </w:r>
      <w:r w:rsidR="00A96185">
        <w:rPr>
          <w:rFonts w:asciiTheme="majorBidi" w:hAnsiTheme="majorBidi" w:cstheme="majorBidi"/>
          <w:bCs/>
          <w:lang w:val="pt-BR"/>
        </w:rPr>
        <w:t>análise de dados e discussão</w:t>
      </w:r>
      <w:r w:rsidR="00114C5F">
        <w:rPr>
          <w:rFonts w:asciiTheme="majorBidi" w:hAnsiTheme="majorBidi" w:cstheme="majorBidi"/>
          <w:bCs/>
          <w:lang w:val="pt-BR"/>
        </w:rPr>
        <w:t>,</w:t>
      </w:r>
      <w:r w:rsidR="00A96185">
        <w:rPr>
          <w:rFonts w:asciiTheme="majorBidi" w:hAnsiTheme="majorBidi" w:cstheme="majorBidi"/>
          <w:bCs/>
          <w:lang w:val="pt-BR"/>
        </w:rPr>
        <w:t xml:space="preserve"> e interpretação dos resultados. Para auxiliar no compreendimento do tema e definição das </w:t>
      </w:r>
      <w:r w:rsidR="00E5105D">
        <w:rPr>
          <w:rFonts w:asciiTheme="majorBidi" w:hAnsiTheme="majorBidi" w:cstheme="majorBidi"/>
          <w:bCs/>
          <w:lang w:val="pt-BR"/>
        </w:rPr>
        <w:t xml:space="preserve">análises pertinentes foi montado o </w:t>
      </w:r>
      <w:r w:rsidR="008B192F" w:rsidRPr="00F97B71">
        <w:rPr>
          <w:rFonts w:asciiTheme="majorBidi" w:hAnsiTheme="majorBidi" w:cstheme="majorBidi"/>
          <w:bCs/>
          <w:lang w:val="pt-BR"/>
        </w:rPr>
        <w:t>Grupo de Trabalho de Células a Combustível (GT FC). O GT FC</w:t>
      </w:r>
      <w:r w:rsidR="00E5105D">
        <w:rPr>
          <w:rFonts w:asciiTheme="majorBidi" w:hAnsiTheme="majorBidi" w:cstheme="majorBidi"/>
          <w:bCs/>
          <w:lang w:val="pt-BR"/>
        </w:rPr>
        <w:t xml:space="preserve"> </w:t>
      </w:r>
      <w:r w:rsidR="008B192F" w:rsidRPr="00F97B71">
        <w:rPr>
          <w:rFonts w:asciiTheme="majorBidi" w:hAnsiTheme="majorBidi" w:cstheme="majorBidi"/>
          <w:bCs/>
          <w:lang w:val="pt-BR"/>
        </w:rPr>
        <w:t xml:space="preserve">contribuiu principalmente em: levantar perguntas orientadoras para moldar o </w:t>
      </w:r>
      <w:r w:rsidR="00E5105D">
        <w:rPr>
          <w:rFonts w:asciiTheme="majorBidi" w:hAnsiTheme="majorBidi" w:cstheme="majorBidi"/>
          <w:bCs/>
          <w:lang w:val="pt-BR"/>
        </w:rPr>
        <w:t>estudo</w:t>
      </w:r>
      <w:r w:rsidR="008B192F" w:rsidRPr="00F97B71">
        <w:rPr>
          <w:rFonts w:asciiTheme="majorBidi" w:hAnsiTheme="majorBidi" w:cstheme="majorBidi"/>
          <w:bCs/>
          <w:lang w:val="pt-BR"/>
        </w:rPr>
        <w:t xml:space="preserve">, validar as metodologias de busca de dados (artigos e patentes), sugerir os tipos de análises mais relevantes e verificar os resultados obtidos. O GT FC foi formado por especialistas das instituições: Universidade Federal do Rio Grande do Sul (UFRGS), Instituto de Pesquisas Energéticas e Nucleares (Ipen), Centro de Pesquisas de Energia Elétrica (Cepel), Instituto Nacional de Propriedade Industrial (Inpi), Universidade Estadual de Campinas (Unicamp) e Universidade Federal do Rio de Janeiro (UFRJ). </w:t>
      </w:r>
    </w:p>
    <w:p w14:paraId="6F835BDC" w14:textId="77777777" w:rsidR="008B192F" w:rsidRPr="00F97B71" w:rsidRDefault="008B192F" w:rsidP="008B192F">
      <w:pPr>
        <w:pStyle w:val="Corpodetexto"/>
        <w:jc w:val="both"/>
        <w:rPr>
          <w:rFonts w:asciiTheme="majorBidi" w:hAnsiTheme="majorBidi" w:cstheme="majorBidi"/>
          <w:bCs/>
          <w:lang w:val="pt-BR"/>
        </w:rPr>
      </w:pPr>
      <w:r w:rsidRPr="00F97B71">
        <w:rPr>
          <w:rFonts w:asciiTheme="majorBidi" w:hAnsiTheme="majorBidi" w:cstheme="majorBidi"/>
          <w:bCs/>
          <w:lang w:val="pt-BR"/>
        </w:rPr>
        <w:t>Para o panorama de artigos científicos, foi utilizada a base de dados do Web of Science (WoS) com o termo de busca “fuel cell” considerando toda a série histórica da base. Essa busca resgatou 99.518 desde 1955 até setembro de 2022, que corresponde à data da busca. A WoS foi escolhida por ser uma base internacionalmente reconhecida por sua ampla abrangência de periódicos representativos e de qualidade.</w:t>
      </w:r>
    </w:p>
    <w:p w14:paraId="6C6F47B5" w14:textId="5BF4C05F" w:rsidR="008B192F" w:rsidRPr="00F97B71" w:rsidRDefault="008B192F" w:rsidP="008B192F">
      <w:pPr>
        <w:pStyle w:val="Corpodetexto"/>
        <w:jc w:val="both"/>
        <w:rPr>
          <w:rFonts w:asciiTheme="majorBidi" w:hAnsiTheme="majorBidi" w:cstheme="majorBidi"/>
          <w:bCs/>
          <w:lang w:val="pt-BR"/>
        </w:rPr>
      </w:pPr>
      <w:r w:rsidRPr="00F97B71">
        <w:rPr>
          <w:rFonts w:asciiTheme="majorBidi" w:hAnsiTheme="majorBidi" w:cstheme="majorBidi"/>
          <w:bCs/>
          <w:lang w:val="pt-BR"/>
        </w:rPr>
        <w:t xml:space="preserve">Para o levantamento das patentes sobre células a combustível, foi utilizada a base Derwent Innovation Index, também disponibilizada pela Clarivate.  A escolha dessa base foi determinada a partir do mapeamento e da comparação de bases internacionais de patentes. Como o foco deste estudo </w:t>
      </w:r>
      <w:r w:rsidR="000C2D18">
        <w:rPr>
          <w:rFonts w:asciiTheme="majorBidi" w:hAnsiTheme="majorBidi" w:cstheme="majorBidi"/>
          <w:bCs/>
          <w:lang w:val="pt-BR"/>
        </w:rPr>
        <w:t>foi</w:t>
      </w:r>
      <w:r w:rsidRPr="00F97B71">
        <w:rPr>
          <w:rFonts w:asciiTheme="majorBidi" w:hAnsiTheme="majorBidi" w:cstheme="majorBidi"/>
          <w:bCs/>
          <w:lang w:val="pt-BR"/>
        </w:rPr>
        <w:t xml:space="preserve"> uma análise global, a base da Derwent foi escolhida por fornecer uma versão traduzida de todos os seus registros para o inglês, além de aprimorar os títulos e resumos, harmonizando os dados e facilitando o processamento das informações. Outro fator-chave para a escolha foi a disponibilização do código International Patent Classification (IPC) para cada patente, auxiliando no processo de caracterização por temática tecnológica do conjunto de dados.</w:t>
      </w:r>
    </w:p>
    <w:p w14:paraId="232F4D76" w14:textId="090FF2DA" w:rsidR="00E5105D" w:rsidRPr="00E5105D" w:rsidRDefault="00D84F62" w:rsidP="00E5105D">
      <w:pPr>
        <w:pStyle w:val="Corpodetexto"/>
        <w:jc w:val="both"/>
        <w:rPr>
          <w:rFonts w:ascii="Arial"/>
          <w:bCs/>
          <w:lang w:val="pt-BR"/>
        </w:rPr>
      </w:pPr>
      <w:r>
        <w:rPr>
          <w:rFonts w:asciiTheme="majorBidi" w:hAnsiTheme="majorBidi" w:cstheme="majorBidi"/>
          <w:bCs/>
          <w:lang w:val="pt-BR"/>
        </w:rPr>
        <w:t>Para o levantamento de patentes, foi utilizado o</w:t>
      </w:r>
      <w:r w:rsidR="008B192F" w:rsidRPr="00F97B71">
        <w:rPr>
          <w:rFonts w:asciiTheme="majorBidi" w:hAnsiTheme="majorBidi" w:cstheme="majorBidi"/>
          <w:bCs/>
          <w:lang w:val="pt-BR"/>
        </w:rPr>
        <w:t xml:space="preserve"> termo “</w:t>
      </w:r>
      <w:r w:rsidR="008B192F" w:rsidRPr="004D4605">
        <w:rPr>
          <w:rFonts w:asciiTheme="majorBidi" w:hAnsiTheme="majorBidi" w:cstheme="majorBidi"/>
          <w:bCs/>
          <w:i/>
          <w:iCs/>
          <w:lang w:val="pt-BR"/>
        </w:rPr>
        <w:t>fuel cell</w:t>
      </w:r>
      <w:r w:rsidR="008B192F" w:rsidRPr="00F97B71">
        <w:rPr>
          <w:rFonts w:asciiTheme="majorBidi" w:hAnsiTheme="majorBidi" w:cstheme="majorBidi"/>
          <w:bCs/>
          <w:lang w:val="pt-BR"/>
        </w:rPr>
        <w:t>” e a linha temporal utilizada foi do período inicial da base de janeiro de 1966 até setembro de 2022, totalizando 140.378 registros completos de patentes.</w:t>
      </w:r>
      <w:r>
        <w:rPr>
          <w:rFonts w:asciiTheme="majorBidi" w:hAnsiTheme="majorBidi" w:cstheme="majorBidi"/>
          <w:bCs/>
          <w:lang w:val="pt-BR"/>
        </w:rPr>
        <w:t xml:space="preserve"> </w:t>
      </w:r>
      <w:r w:rsidR="008B192F" w:rsidRPr="00F97B71">
        <w:rPr>
          <w:rFonts w:asciiTheme="majorBidi" w:hAnsiTheme="majorBidi" w:cstheme="majorBidi"/>
          <w:bCs/>
          <w:lang w:val="pt-BR"/>
        </w:rPr>
        <w:t>A decisão da busca expressão “fuel cell” — e consequentemente o não uso de IPCs pré-determinados — teve como objetivo captar conteúdos abrangentes, que incluíssem as áreas do conhecimento que possam estar relacionadas com as CCs, ainda que a patente não trate especificamente dessa tecnologia</w:t>
      </w:r>
      <w:r w:rsidR="008B192F" w:rsidRPr="008B192F">
        <w:rPr>
          <w:rFonts w:ascii="Arial"/>
          <w:bCs/>
          <w:lang w:val="pt-BR"/>
        </w:rPr>
        <w:t>.</w:t>
      </w:r>
    </w:p>
    <w:p w14:paraId="43380A8A" w14:textId="77777777" w:rsidR="00F96439" w:rsidRPr="008B192F" w:rsidRDefault="00F96439">
      <w:pPr>
        <w:pStyle w:val="Corpodetexto"/>
        <w:rPr>
          <w:rFonts w:ascii="Arial"/>
          <w:b/>
          <w:sz w:val="23"/>
          <w:lang w:val="pt-BR"/>
        </w:rPr>
      </w:pPr>
    </w:p>
    <w:p w14:paraId="57F92B9E" w14:textId="69A576DC" w:rsidR="00F96439" w:rsidRPr="006D020C" w:rsidRDefault="00000000">
      <w:pPr>
        <w:pStyle w:val="Ttulo1"/>
        <w:rPr>
          <w:rFonts w:asciiTheme="majorBidi" w:hAnsiTheme="majorBidi" w:cstheme="majorBidi"/>
          <w:lang w:val="pt-BR"/>
        </w:rPr>
      </w:pPr>
      <w:r w:rsidRPr="006D020C">
        <w:rPr>
          <w:rFonts w:asciiTheme="majorBidi" w:hAnsiTheme="majorBidi" w:cstheme="majorBidi"/>
          <w:lang w:val="pt-BR"/>
        </w:rPr>
        <w:t>Resul</w:t>
      </w:r>
      <w:r w:rsidR="006D020C" w:rsidRPr="006D020C">
        <w:rPr>
          <w:rFonts w:asciiTheme="majorBidi" w:hAnsiTheme="majorBidi" w:cstheme="majorBidi"/>
          <w:lang w:val="pt-BR"/>
        </w:rPr>
        <w:t>tados</w:t>
      </w:r>
    </w:p>
    <w:p w14:paraId="0D0B444A" w14:textId="77777777" w:rsidR="00F96439" w:rsidRPr="002C3DA9" w:rsidRDefault="00F96439">
      <w:pPr>
        <w:pStyle w:val="Corpodetexto"/>
        <w:rPr>
          <w:rFonts w:ascii="Arial"/>
          <w:b/>
          <w:lang w:val="pt-BR"/>
        </w:rPr>
      </w:pPr>
    </w:p>
    <w:p w14:paraId="5815441A" w14:textId="7F56AD2E" w:rsidR="00F96439" w:rsidRPr="00780C65" w:rsidRDefault="002C3DA9" w:rsidP="00780C65">
      <w:pPr>
        <w:pStyle w:val="Corpodetexto"/>
        <w:jc w:val="both"/>
        <w:rPr>
          <w:rFonts w:asciiTheme="majorBidi" w:hAnsiTheme="majorBidi" w:cstheme="majorBidi"/>
          <w:bCs/>
          <w:lang w:val="pt-BR"/>
        </w:rPr>
      </w:pPr>
      <w:r w:rsidRPr="002C3DA9">
        <w:rPr>
          <w:rFonts w:asciiTheme="majorBidi" w:hAnsiTheme="majorBidi" w:cstheme="majorBidi"/>
          <w:bCs/>
          <w:lang w:val="pt-BR"/>
        </w:rPr>
        <w:t xml:space="preserve">Os resultados desse estudo podem ser divididos em 2 partes, a análise de artigos científicos e a </w:t>
      </w:r>
      <w:r>
        <w:rPr>
          <w:rFonts w:asciiTheme="majorBidi" w:hAnsiTheme="majorBidi" w:cstheme="majorBidi"/>
          <w:bCs/>
          <w:lang w:val="pt-BR"/>
        </w:rPr>
        <w:t>análise de patentes. Para a análise de</w:t>
      </w:r>
      <w:r w:rsidR="008C7971">
        <w:rPr>
          <w:rFonts w:asciiTheme="majorBidi" w:hAnsiTheme="majorBidi" w:cstheme="majorBidi"/>
          <w:bCs/>
          <w:lang w:val="pt-BR"/>
        </w:rPr>
        <w:t xml:space="preserve"> </w:t>
      </w:r>
      <w:r>
        <w:rPr>
          <w:rFonts w:asciiTheme="majorBidi" w:hAnsiTheme="majorBidi" w:cstheme="majorBidi"/>
          <w:bCs/>
          <w:lang w:val="pt-BR"/>
        </w:rPr>
        <w:lastRenderedPageBreak/>
        <w:t>artigos científicos foi feito inicialmente uma</w:t>
      </w:r>
      <w:r w:rsidR="008C7971">
        <w:rPr>
          <w:rFonts w:asciiTheme="majorBidi" w:hAnsiTheme="majorBidi" w:cstheme="majorBidi"/>
          <w:bCs/>
          <w:lang w:val="pt-BR"/>
        </w:rPr>
        <w:t xml:space="preserve"> análise geral considerando: linha temporal (Fig.1), área do conhecimento (Fig 1), frequência de palavras-chaves, distribuição por países, cenário nacional e uma caracterização específica voltada para os temas mais frequentes dentro do contexto de células a combustíveis. Para essa caracterização temática foi utilizado um </w:t>
      </w:r>
      <w:r w:rsidR="008C7971" w:rsidRPr="00780C65">
        <w:rPr>
          <w:rFonts w:asciiTheme="majorBidi" w:hAnsiTheme="majorBidi" w:cstheme="majorBidi"/>
          <w:bCs/>
          <w:i/>
          <w:iCs/>
          <w:lang w:val="pt-BR"/>
        </w:rPr>
        <w:t>software</w:t>
      </w:r>
      <w:r w:rsidR="008C7971">
        <w:rPr>
          <w:rFonts w:asciiTheme="majorBidi" w:hAnsiTheme="majorBidi" w:cstheme="majorBidi"/>
          <w:bCs/>
          <w:lang w:val="pt-BR"/>
        </w:rPr>
        <w:t xml:space="preserve"> próprio do CGEE de análise de dados que forma </w:t>
      </w:r>
      <w:r w:rsidR="008C7971" w:rsidRPr="00780C65">
        <w:rPr>
          <w:rFonts w:asciiTheme="majorBidi" w:hAnsiTheme="majorBidi" w:cstheme="majorBidi"/>
          <w:bCs/>
          <w:i/>
          <w:iCs/>
          <w:lang w:val="pt-BR"/>
        </w:rPr>
        <w:t>clusters</w:t>
      </w:r>
      <w:r w:rsidR="008C7971">
        <w:rPr>
          <w:rFonts w:asciiTheme="majorBidi" w:hAnsiTheme="majorBidi" w:cstheme="majorBidi"/>
          <w:bCs/>
          <w:lang w:val="pt-BR"/>
        </w:rPr>
        <w:t xml:space="preserve"> de artigos científicos por similaridade semântica. Foram analisados 8 </w:t>
      </w:r>
      <w:r w:rsidR="008C7971" w:rsidRPr="00780C65">
        <w:rPr>
          <w:rFonts w:asciiTheme="majorBidi" w:hAnsiTheme="majorBidi" w:cstheme="majorBidi"/>
          <w:bCs/>
          <w:i/>
          <w:iCs/>
          <w:lang w:val="pt-BR"/>
        </w:rPr>
        <w:t>clusters</w:t>
      </w:r>
      <w:r w:rsidR="008C7971">
        <w:rPr>
          <w:rFonts w:asciiTheme="majorBidi" w:hAnsiTheme="majorBidi" w:cstheme="majorBidi"/>
          <w:bCs/>
          <w:lang w:val="pt-BR"/>
        </w:rPr>
        <w:t xml:space="preserve"> de artigos: (1) Otimização d</w:t>
      </w:r>
      <w:r w:rsidR="00030199">
        <w:rPr>
          <w:rFonts w:asciiTheme="majorBidi" w:hAnsiTheme="majorBidi" w:cstheme="majorBidi"/>
          <w:bCs/>
          <w:lang w:val="pt-BR"/>
        </w:rPr>
        <w:t>e</w:t>
      </w:r>
      <w:r w:rsidR="008C7971">
        <w:rPr>
          <w:rFonts w:asciiTheme="majorBidi" w:hAnsiTheme="majorBidi" w:cstheme="majorBidi"/>
          <w:bCs/>
          <w:lang w:val="pt-BR"/>
        </w:rPr>
        <w:t xml:space="preserve"> sistema e aumento de performance (2) PEMFC – CC de membrana polimérica de troca de prótons (3) SOFC – CC de óxido sólido (4) Catalisadores – foco em nanopartículas (5) Catalisadores – foco em base de platina (6) DMFC – CC de metanol direto (7) CC biológica (8) CC a etanol.</w:t>
      </w:r>
    </w:p>
    <w:p w14:paraId="6FA7AD20" w14:textId="76F9DDE3" w:rsidR="00D84F62" w:rsidRDefault="00D84F62" w:rsidP="00780C65">
      <w:pPr>
        <w:pStyle w:val="Corpodetexto"/>
        <w:jc w:val="center"/>
        <w:rPr>
          <w:rFonts w:ascii="Arial"/>
          <w:b/>
          <w:sz w:val="23"/>
        </w:rPr>
      </w:pPr>
      <w:r>
        <w:rPr>
          <w:rFonts w:ascii="Arial"/>
          <w:b/>
          <w:noProof/>
          <w:sz w:val="23"/>
        </w:rPr>
        <w:drawing>
          <wp:inline distT="0" distB="0" distL="0" distR="0" wp14:anchorId="7F7C8A5F" wp14:editId="2E3840CF">
            <wp:extent cx="3146961" cy="1888697"/>
            <wp:effectExtent l="0" t="0" r="0" b="0"/>
            <wp:docPr id="14094992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134" cy="1906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9D5B5" w14:textId="3AB5642F" w:rsidR="002C3DA9" w:rsidRDefault="002C3DA9" w:rsidP="00780C65">
      <w:pPr>
        <w:pStyle w:val="Corpodetexto"/>
        <w:jc w:val="center"/>
        <w:rPr>
          <w:rFonts w:asciiTheme="majorBidi" w:hAnsiTheme="majorBidi" w:cstheme="majorBidi"/>
          <w:bCs/>
          <w:lang w:val="pt-BR"/>
        </w:rPr>
      </w:pPr>
      <w:r w:rsidRPr="00780C65">
        <w:rPr>
          <w:rFonts w:asciiTheme="majorBidi" w:hAnsiTheme="majorBidi" w:cstheme="majorBidi"/>
          <w:b/>
          <w:lang w:val="pt-BR"/>
        </w:rPr>
        <w:t>Figura 1</w:t>
      </w:r>
      <w:r w:rsidRPr="00780C65">
        <w:rPr>
          <w:rFonts w:asciiTheme="majorBidi" w:hAnsiTheme="majorBidi" w:cstheme="majorBidi"/>
          <w:bCs/>
          <w:lang w:val="pt-BR"/>
        </w:rPr>
        <w:t xml:space="preserve">: </w:t>
      </w:r>
      <w:r w:rsidR="00780C65" w:rsidRPr="00780C65">
        <w:rPr>
          <w:rFonts w:asciiTheme="majorBidi" w:hAnsiTheme="majorBidi" w:cstheme="majorBidi"/>
          <w:bCs/>
          <w:lang w:val="pt-BR"/>
        </w:rPr>
        <w:t>Análise anual do número de artigos científicos no tema de CCs</w:t>
      </w:r>
      <w:r w:rsidR="00780C65">
        <w:rPr>
          <w:rFonts w:asciiTheme="majorBidi" w:hAnsiTheme="majorBidi" w:cstheme="majorBidi"/>
          <w:bCs/>
          <w:lang w:val="pt-BR"/>
        </w:rPr>
        <w:t xml:space="preserve"> e caracterização por área de conhecimento.</w:t>
      </w:r>
    </w:p>
    <w:p w14:paraId="24A97C6A" w14:textId="77777777" w:rsidR="00780C65" w:rsidRDefault="00780C65" w:rsidP="00780C65">
      <w:pPr>
        <w:pStyle w:val="Corpodetexto"/>
        <w:jc w:val="both"/>
        <w:rPr>
          <w:rFonts w:asciiTheme="majorBidi" w:hAnsiTheme="majorBidi" w:cstheme="majorBidi"/>
          <w:bCs/>
          <w:lang w:val="pt-BR"/>
        </w:rPr>
      </w:pPr>
    </w:p>
    <w:p w14:paraId="46E898CD" w14:textId="376F92C3" w:rsidR="002C3DA9" w:rsidRPr="00780C65" w:rsidRDefault="00780C65" w:rsidP="00780C65">
      <w:pPr>
        <w:pStyle w:val="Corpodetexto"/>
        <w:jc w:val="both"/>
        <w:rPr>
          <w:rFonts w:ascii="Arial"/>
          <w:b/>
          <w:sz w:val="23"/>
          <w:lang w:val="pt-BR"/>
        </w:rPr>
      </w:pPr>
      <w:r>
        <w:rPr>
          <w:rFonts w:asciiTheme="majorBidi" w:hAnsiTheme="majorBidi" w:cstheme="majorBidi"/>
          <w:bCs/>
          <w:lang w:val="pt-BR"/>
        </w:rPr>
        <w:t xml:space="preserve">Para a análise de patentes foram </w:t>
      </w:r>
      <w:r w:rsidR="001F6650">
        <w:rPr>
          <w:rFonts w:asciiTheme="majorBidi" w:hAnsiTheme="majorBidi" w:cstheme="majorBidi"/>
          <w:bCs/>
          <w:lang w:val="pt-BR"/>
        </w:rPr>
        <w:t>verificados</w:t>
      </w:r>
      <w:r>
        <w:rPr>
          <w:rFonts w:asciiTheme="majorBidi" w:hAnsiTheme="majorBidi" w:cstheme="majorBidi"/>
          <w:bCs/>
          <w:lang w:val="pt-BR"/>
        </w:rPr>
        <w:t>: evolução do número de depósitos de patentes por ano, distribuição de depósitos por país (Fig. 2), principais instituições/empresas depositantes, áreas do conhecimento, caracterização por IPC, cenário nacional (distribuição por ano, principais depositantes e caracterização por código IPC) e maturidade tecnológica de 3 principais tecnologias (PEMFC, SOFC e DMFC).</w:t>
      </w:r>
    </w:p>
    <w:p w14:paraId="0D6CD3A2" w14:textId="4406854A" w:rsidR="002C3DA9" w:rsidRDefault="002C3DA9" w:rsidP="00780C65">
      <w:pPr>
        <w:pStyle w:val="Corpodetexto"/>
        <w:jc w:val="center"/>
        <w:rPr>
          <w:rFonts w:ascii="Arial"/>
          <w:b/>
          <w:sz w:val="23"/>
        </w:rPr>
      </w:pPr>
      <w:r>
        <w:rPr>
          <w:rFonts w:ascii="Arial"/>
          <w:b/>
          <w:noProof/>
          <w:sz w:val="23"/>
        </w:rPr>
        <w:drawing>
          <wp:inline distT="0" distB="0" distL="0" distR="0" wp14:anchorId="7A25C7CD" wp14:editId="3E17B2EF">
            <wp:extent cx="2819400" cy="1674099"/>
            <wp:effectExtent l="0" t="0" r="0" b="0"/>
            <wp:docPr id="122169256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78" cy="168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FF091" w14:textId="307EB56C" w:rsidR="002C3DA9" w:rsidRPr="00780C65" w:rsidRDefault="00780C65" w:rsidP="00780C65">
      <w:pPr>
        <w:pStyle w:val="Corpodetexto"/>
        <w:jc w:val="center"/>
        <w:rPr>
          <w:rFonts w:asciiTheme="majorBidi" w:hAnsiTheme="majorBidi" w:cstheme="majorBidi"/>
          <w:bCs/>
          <w:lang w:val="pt-BR"/>
        </w:rPr>
      </w:pPr>
      <w:r w:rsidRPr="00780C65">
        <w:rPr>
          <w:rFonts w:asciiTheme="majorBidi" w:hAnsiTheme="majorBidi" w:cstheme="majorBidi"/>
          <w:b/>
          <w:lang w:val="pt-BR"/>
        </w:rPr>
        <w:t xml:space="preserve">Figura </w:t>
      </w:r>
      <w:r>
        <w:rPr>
          <w:rFonts w:asciiTheme="majorBidi" w:hAnsiTheme="majorBidi" w:cstheme="majorBidi"/>
          <w:b/>
          <w:lang w:val="pt-BR"/>
        </w:rPr>
        <w:t>2</w:t>
      </w:r>
      <w:r w:rsidRPr="00780C65">
        <w:rPr>
          <w:rFonts w:asciiTheme="majorBidi" w:hAnsiTheme="majorBidi" w:cstheme="majorBidi"/>
          <w:bCs/>
          <w:lang w:val="pt-BR"/>
        </w:rPr>
        <w:t xml:space="preserve">: </w:t>
      </w:r>
      <w:r>
        <w:rPr>
          <w:rFonts w:asciiTheme="majorBidi" w:hAnsiTheme="majorBidi" w:cstheme="majorBidi"/>
          <w:bCs/>
          <w:lang w:val="pt-BR"/>
        </w:rPr>
        <w:t>Distribuição de depósito de patentes por país</w:t>
      </w:r>
    </w:p>
    <w:p w14:paraId="462D5224" w14:textId="6CA5DC14" w:rsidR="00F96439" w:rsidRPr="00780C65" w:rsidRDefault="00000000" w:rsidP="00780C65">
      <w:pPr>
        <w:ind w:left="840"/>
        <w:rPr>
          <w:rFonts w:asciiTheme="majorBidi" w:hAnsiTheme="majorBidi" w:cstheme="majorBidi"/>
          <w:b/>
          <w:sz w:val="24"/>
          <w:lang w:val="pt-BR"/>
        </w:rPr>
      </w:pPr>
      <w:r w:rsidRPr="00780C65">
        <w:rPr>
          <w:rFonts w:asciiTheme="majorBidi" w:hAnsiTheme="majorBidi" w:cstheme="majorBidi"/>
          <w:b/>
          <w:sz w:val="24"/>
          <w:lang w:val="pt-BR"/>
        </w:rPr>
        <w:t>Con</w:t>
      </w:r>
      <w:r w:rsidR="00780C65" w:rsidRPr="00780C65">
        <w:rPr>
          <w:rFonts w:asciiTheme="majorBidi" w:hAnsiTheme="majorBidi" w:cstheme="majorBidi"/>
          <w:b/>
          <w:sz w:val="24"/>
          <w:lang w:val="pt-BR"/>
        </w:rPr>
        <w:t>clusões</w:t>
      </w:r>
    </w:p>
    <w:p w14:paraId="295BCF60" w14:textId="77777777" w:rsidR="00780C65" w:rsidRPr="00780C65" w:rsidRDefault="00780C65" w:rsidP="00780C65">
      <w:pPr>
        <w:ind w:left="840"/>
        <w:rPr>
          <w:rFonts w:ascii="Arial"/>
          <w:b/>
          <w:sz w:val="24"/>
          <w:lang w:val="pt-BR"/>
        </w:rPr>
      </w:pPr>
    </w:p>
    <w:p w14:paraId="53B50193" w14:textId="00921F30" w:rsidR="00F96439" w:rsidRPr="00030199" w:rsidRDefault="00780C65" w:rsidP="00030199">
      <w:pPr>
        <w:pStyle w:val="Corpodetexto"/>
        <w:jc w:val="both"/>
        <w:rPr>
          <w:rFonts w:cs="Gotham Book"/>
          <w:color w:val="000000"/>
          <w:lang w:val="pt-BR"/>
        </w:rPr>
      </w:pPr>
      <w:r w:rsidRPr="00030199">
        <w:rPr>
          <w:rFonts w:cs="Gotham Book"/>
          <w:color w:val="000000"/>
          <w:lang w:val="pt-BR"/>
        </w:rPr>
        <w:t>Neste estudo foi possível verificar que alguns tipos de células possuem um nível de amadurecimen</w:t>
      </w:r>
      <w:r w:rsidRPr="00030199">
        <w:rPr>
          <w:rFonts w:cs="Gotham Book"/>
          <w:color w:val="000000"/>
          <w:lang w:val="pt-BR"/>
        </w:rPr>
        <w:softHyphen/>
        <w:t>to elevado, muitas já em nível comercial como os casos das PEMFCs e das SOFCs. Os resultados também mostram a importância de várias áreas relacionadas com as CCs e que apoiam o seu desenvolvimento</w:t>
      </w:r>
      <w:r w:rsidR="001F6650" w:rsidRPr="00030199">
        <w:rPr>
          <w:rFonts w:cs="Gotham Book"/>
          <w:color w:val="000000"/>
          <w:lang w:val="pt-BR"/>
        </w:rPr>
        <w:t>,</w:t>
      </w:r>
      <w:r w:rsidRPr="00030199">
        <w:rPr>
          <w:rFonts w:cs="Gotham Book"/>
          <w:color w:val="000000"/>
          <w:lang w:val="pt-BR"/>
        </w:rPr>
        <w:t xml:space="preserve"> como a área de novos materiais, nanotecnologia e catalisadores. Outras são mais abrangentes, como os estudos sobre produção, armazenamento e logística do hidrogênio para uso nas células. Outro exemplo é a aplicação veicular e o desenvolvimento de sistemas</w:t>
      </w:r>
      <w:r w:rsidR="001F6650" w:rsidRPr="00030199">
        <w:rPr>
          <w:rFonts w:cs="Gotham Book"/>
          <w:color w:val="000000"/>
          <w:lang w:val="pt-BR"/>
        </w:rPr>
        <w:t xml:space="preserve"> </w:t>
      </w:r>
      <w:r w:rsidR="00030199" w:rsidRPr="00030199">
        <w:rPr>
          <w:rFonts w:cs="Gotham Book"/>
          <w:color w:val="000000"/>
          <w:lang w:val="pt-BR"/>
        </w:rPr>
        <w:t>completos</w:t>
      </w:r>
      <w:r w:rsidRPr="00030199">
        <w:rPr>
          <w:rFonts w:cs="Gotham Book"/>
          <w:color w:val="000000"/>
          <w:lang w:val="pt-BR"/>
        </w:rPr>
        <w:t xml:space="preserve"> que utilizam as </w:t>
      </w:r>
      <w:r w:rsidR="001F6650" w:rsidRPr="00030199">
        <w:rPr>
          <w:rFonts w:cs="Gotham Book"/>
          <w:color w:val="000000"/>
          <w:lang w:val="pt-BR"/>
        </w:rPr>
        <w:t>CC</w:t>
      </w:r>
      <w:r w:rsidR="00030199">
        <w:rPr>
          <w:rFonts w:cs="Gotham Book"/>
          <w:color w:val="000000"/>
          <w:lang w:val="pt-BR"/>
        </w:rPr>
        <w:t xml:space="preserve">. </w:t>
      </w:r>
      <w:r w:rsidR="001F6650" w:rsidRPr="00030199">
        <w:rPr>
          <w:rFonts w:cs="Gotham Book"/>
          <w:color w:val="000000"/>
          <w:lang w:val="pt-BR"/>
        </w:rPr>
        <w:t xml:space="preserve">Também foi possível verificar </w:t>
      </w:r>
      <w:r w:rsidRPr="00030199">
        <w:rPr>
          <w:rFonts w:cs="Gotham Book"/>
          <w:color w:val="000000"/>
          <w:lang w:val="pt-BR"/>
        </w:rPr>
        <w:t xml:space="preserve">o crescente interesse da China e Coreia do Sul na última década. Esses países somam se aos EUA, ao Japão e à Alemanha </w:t>
      </w:r>
      <w:r w:rsidR="001F6650" w:rsidRPr="00030199">
        <w:rPr>
          <w:rFonts w:cs="Gotham Book"/>
          <w:color w:val="000000"/>
          <w:lang w:val="pt-BR"/>
        </w:rPr>
        <w:t>na corrida pelo desenvolvimento das CC.</w:t>
      </w:r>
    </w:p>
    <w:p w14:paraId="620A3DB7" w14:textId="2331D8DF" w:rsidR="00F96439" w:rsidRDefault="001F6650" w:rsidP="00030199">
      <w:pPr>
        <w:pStyle w:val="Corpodetexto"/>
        <w:jc w:val="both"/>
        <w:rPr>
          <w:rFonts w:cs="Gotham Book"/>
          <w:color w:val="000000"/>
          <w:lang w:val="pt-BR"/>
        </w:rPr>
      </w:pPr>
      <w:r w:rsidRPr="00030199">
        <w:rPr>
          <w:rFonts w:cs="Gotham Book"/>
          <w:color w:val="000000"/>
          <w:lang w:val="pt-BR"/>
        </w:rPr>
        <w:t>As diferentes análises feitas no contexto brasileiro mostram que o Brasil tem focado em estudar sistemas que utilizem o etanol como combustível da célula. O que é bastante coerente uma vez que o país é um dos líderes mundiais de produção de etanol e já possui toda uma cadeia eficiente e sustentável de produção e distribuição a preços competitivos. Entretanto, é importante levar em consideração os desenvolvimentos recentes ocorridos no país relacionados à produção e ao uso do hidrogênio renovável. A busca por técnicas sustentáveis de produção, criação de normas de armazenamento, distribuição e uso e políticas de incentivo abrem a oportunidade para o país de utilizar células a hidrogênio.</w:t>
      </w:r>
    </w:p>
    <w:p w14:paraId="12ECE6FD" w14:textId="2284871A" w:rsidR="00FC344E" w:rsidRPr="00030199" w:rsidRDefault="00FC344E" w:rsidP="00030199">
      <w:pPr>
        <w:pStyle w:val="Corpodetexto"/>
        <w:jc w:val="both"/>
        <w:rPr>
          <w:rFonts w:cs="Gotham Book"/>
          <w:color w:val="000000"/>
          <w:lang w:val="pt-BR"/>
        </w:rPr>
      </w:pPr>
      <w:r>
        <w:rPr>
          <w:rFonts w:cs="Gotham Book"/>
          <w:color w:val="000000"/>
          <w:lang w:val="pt-BR"/>
        </w:rPr>
        <w:t>Como próximos passos sugere-se uma análise comparativa com outras tecnologias, podendo ser mais maduras, como os motores à combustão com biocombustíveis, ou mais recentes, como os carros elétricos.</w:t>
      </w:r>
    </w:p>
    <w:p w14:paraId="47806055" w14:textId="77777777" w:rsidR="001F6650" w:rsidRPr="001F6650" w:rsidRDefault="001F6650" w:rsidP="001F6650">
      <w:pPr>
        <w:pStyle w:val="Corpodetexto"/>
        <w:rPr>
          <w:rFonts w:cs="Gotham Book"/>
          <w:color w:val="000000"/>
          <w:sz w:val="21"/>
          <w:szCs w:val="21"/>
          <w:lang w:val="pt-BR"/>
        </w:rPr>
      </w:pPr>
    </w:p>
    <w:p w14:paraId="3DEE831A" w14:textId="04CF67C0" w:rsidR="00F96439" w:rsidRPr="001D62F2" w:rsidRDefault="00780C65">
      <w:pPr>
        <w:pStyle w:val="Ttulo1"/>
        <w:rPr>
          <w:rFonts w:asciiTheme="majorBidi" w:hAnsiTheme="majorBidi" w:cstheme="majorBidi"/>
        </w:rPr>
      </w:pPr>
      <w:r w:rsidRPr="001D62F2">
        <w:rPr>
          <w:rFonts w:asciiTheme="majorBidi" w:hAnsiTheme="majorBidi" w:cstheme="majorBidi"/>
        </w:rPr>
        <w:t>Referências</w:t>
      </w:r>
    </w:p>
    <w:p w14:paraId="1BB83802" w14:textId="0F54AA58" w:rsidR="00D84F62" w:rsidRPr="00D84F62" w:rsidRDefault="00D84F62" w:rsidP="00780C65">
      <w:pPr>
        <w:pStyle w:val="Corpodetexto"/>
        <w:rPr>
          <w:rFonts w:asciiTheme="majorBidi" w:hAnsiTheme="majorBidi" w:cstheme="majorBidi"/>
          <w:color w:val="000000"/>
        </w:rPr>
      </w:pPr>
      <w:r w:rsidRPr="00D84F62">
        <w:rPr>
          <w:rFonts w:asciiTheme="majorBidi" w:hAnsiTheme="majorBidi" w:cstheme="majorBidi"/>
          <w:color w:val="000000"/>
        </w:rPr>
        <w:t>DICKS, A.L.; RAND, D.A.J. Fuels cell systems explained. Wiley. 2018.</w:t>
      </w:r>
    </w:p>
    <w:p w14:paraId="0BC7822F" w14:textId="64F2C2B4" w:rsidR="00D84F62" w:rsidRPr="00D84F62" w:rsidRDefault="00D84F62" w:rsidP="00D84F62">
      <w:pPr>
        <w:pStyle w:val="Corpodetexto"/>
        <w:rPr>
          <w:rFonts w:asciiTheme="majorBidi" w:hAnsiTheme="majorBidi" w:cstheme="majorBidi"/>
          <w:b/>
        </w:rPr>
      </w:pPr>
      <w:r w:rsidRPr="00D84F62">
        <w:rPr>
          <w:rFonts w:asciiTheme="majorBidi" w:hAnsiTheme="majorBidi" w:cstheme="majorBidi"/>
          <w:color w:val="000000"/>
        </w:rPr>
        <w:t>OMAR, Z.S.; MEHMET F.O. An overview of fuel cell technology: Fundamentals and applications. Renewable and Sustainable Energy Reviews, v.32C, p. 810–853. 2014. Disponível em: https:// www.sciencedirect.com/science/article/abs/pii/S1364032114000227</w:t>
      </w:r>
    </w:p>
    <w:p w14:paraId="5F04B164" w14:textId="77777777" w:rsidR="00F96439" w:rsidRPr="00D84F62" w:rsidRDefault="00F96439">
      <w:pPr>
        <w:pStyle w:val="Corpodetexto"/>
        <w:rPr>
          <w:rFonts w:ascii="Arial"/>
          <w:b/>
        </w:rPr>
      </w:pPr>
    </w:p>
    <w:p w14:paraId="555F3BA3" w14:textId="17992C68" w:rsidR="00F96439" w:rsidRDefault="00F96439" w:rsidP="00D84F62">
      <w:pPr>
        <w:pStyle w:val="Corpodetexto"/>
        <w:ind w:right="2905"/>
      </w:pPr>
    </w:p>
    <w:sectPr w:rsidR="00F96439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BC52A" w14:textId="77777777" w:rsidR="009723E4" w:rsidRDefault="009723E4" w:rsidP="004D5B65">
      <w:r>
        <w:separator/>
      </w:r>
    </w:p>
  </w:endnote>
  <w:endnote w:type="continuationSeparator" w:id="0">
    <w:p w14:paraId="38311158" w14:textId="77777777" w:rsidR="009723E4" w:rsidRDefault="009723E4" w:rsidP="004D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F80C6" w14:textId="77777777" w:rsidR="009723E4" w:rsidRDefault="009723E4" w:rsidP="004D5B65">
      <w:r>
        <w:separator/>
      </w:r>
    </w:p>
  </w:footnote>
  <w:footnote w:type="continuationSeparator" w:id="0">
    <w:p w14:paraId="53E276DE" w14:textId="77777777" w:rsidR="009723E4" w:rsidRDefault="009723E4" w:rsidP="004D5B65">
      <w:r>
        <w:continuationSeparator/>
      </w:r>
    </w:p>
  </w:footnote>
  <w:footnote w:id="1">
    <w:p w14:paraId="75D0CE5A" w14:textId="36815769" w:rsidR="004D5B65" w:rsidRPr="004D5B65" w:rsidRDefault="004D5B6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4D5B65">
        <w:rPr>
          <w:lang w:val="pt-BR"/>
        </w:rPr>
        <w:t xml:space="preserve"> </w:t>
      </w:r>
      <w:r>
        <w:rPr>
          <w:lang w:val="pt-BR"/>
        </w:rPr>
        <w:t>Considerando o uso de hidrogênio como combustível</w:t>
      </w:r>
    </w:p>
  </w:footnote>
  <w:footnote w:id="2">
    <w:p w14:paraId="764933B6" w14:textId="743B7C17" w:rsidR="00084F42" w:rsidRPr="00084F42" w:rsidRDefault="00084F4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84F42">
        <w:rPr>
          <w:lang w:val="pt-BR"/>
        </w:rPr>
        <w:t xml:space="preserve"> </w:t>
      </w:r>
      <w:r>
        <w:rPr>
          <w:lang w:val="pt-BR"/>
        </w:rPr>
        <w:t>Hidrogênio a partir de fontes renováveis ou com processo de captura de carbono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439"/>
    <w:rsid w:val="00012EAB"/>
    <w:rsid w:val="00030199"/>
    <w:rsid w:val="000712CF"/>
    <w:rsid w:val="00084F42"/>
    <w:rsid w:val="000C2D18"/>
    <w:rsid w:val="00114C5F"/>
    <w:rsid w:val="001D62F2"/>
    <w:rsid w:val="001F6650"/>
    <w:rsid w:val="00212512"/>
    <w:rsid w:val="002400CB"/>
    <w:rsid w:val="00251A2B"/>
    <w:rsid w:val="00251CEE"/>
    <w:rsid w:val="002C3DA9"/>
    <w:rsid w:val="002E6D52"/>
    <w:rsid w:val="00336E52"/>
    <w:rsid w:val="003961E8"/>
    <w:rsid w:val="004D4605"/>
    <w:rsid w:val="004D5B65"/>
    <w:rsid w:val="0055763F"/>
    <w:rsid w:val="006364B3"/>
    <w:rsid w:val="00670369"/>
    <w:rsid w:val="006943F6"/>
    <w:rsid w:val="00694C90"/>
    <w:rsid w:val="006D020C"/>
    <w:rsid w:val="00780C65"/>
    <w:rsid w:val="00891851"/>
    <w:rsid w:val="008B192F"/>
    <w:rsid w:val="008C7971"/>
    <w:rsid w:val="008E570A"/>
    <w:rsid w:val="008F7867"/>
    <w:rsid w:val="009723E4"/>
    <w:rsid w:val="00A12D72"/>
    <w:rsid w:val="00A96185"/>
    <w:rsid w:val="00AA635F"/>
    <w:rsid w:val="00B04E1E"/>
    <w:rsid w:val="00B05981"/>
    <w:rsid w:val="00B87C9D"/>
    <w:rsid w:val="00CE5FD2"/>
    <w:rsid w:val="00D12647"/>
    <w:rsid w:val="00D84F62"/>
    <w:rsid w:val="00DD568E"/>
    <w:rsid w:val="00E5105D"/>
    <w:rsid w:val="00E834DB"/>
    <w:rsid w:val="00E8739A"/>
    <w:rsid w:val="00F141EE"/>
    <w:rsid w:val="00F76053"/>
    <w:rsid w:val="00F96439"/>
    <w:rsid w:val="00F97B71"/>
    <w:rsid w:val="00FB1F03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CA0A"/>
  <w15:docId w15:val="{A0839B7F-BC9D-4561-9F2D-574B618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5B6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5B65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5B6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84F6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4F62"/>
    <w:rPr>
      <w:color w:val="605E5C"/>
      <w:shd w:val="clear" w:color="auto" w:fill="E1DFDD"/>
    </w:rPr>
  </w:style>
  <w:style w:type="paragraph" w:customStyle="1" w:styleId="Pa31">
    <w:name w:val="Pa31"/>
    <w:basedOn w:val="Normal"/>
    <w:next w:val="Normal"/>
    <w:uiPriority w:val="99"/>
    <w:rsid w:val="00D84F62"/>
    <w:pPr>
      <w:widowControl/>
      <w:adjustRightInd w:val="0"/>
      <w:spacing w:line="211" w:lineRule="atLeast"/>
    </w:pPr>
    <w:rPr>
      <w:rFonts w:ascii="Gotham Book" w:eastAsiaTheme="minorHAnsi" w:hAnsi="Gotham Book" w:cstheme="minorBidi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80C6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5DCD-E17E-49C6-9633-DA21904D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2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daniella fartes</cp:lastModifiedBy>
  <cp:revision>12</cp:revision>
  <dcterms:created xsi:type="dcterms:W3CDTF">2024-01-16T13:16:00Z</dcterms:created>
  <dcterms:modified xsi:type="dcterms:W3CDTF">2024-03-11T01:43:00Z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