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A7" w:rsidRDefault="00E543C3">
      <w:pPr>
        <w:pStyle w:val="Corpodetexto"/>
        <w:rPr>
          <w:sz w:val="20"/>
        </w:rPr>
      </w:pPr>
      <w:r>
        <w:rPr>
          <w:noProof/>
          <w:lang w:val="pt-BR" w:eastAsia="pt-BR"/>
        </w:rPr>
        <w:drawing>
          <wp:anchor distT="0" distB="0" distL="0" distR="0" simplePos="0" relativeHeight="487556096" behindDoc="1" locked="0" layoutInCell="1" allowOverlap="1">
            <wp:simplePos x="0" y="0"/>
            <wp:positionH relativeFrom="page">
              <wp:posOffset>0</wp:posOffset>
            </wp:positionH>
            <wp:positionV relativeFrom="page">
              <wp:posOffset>9</wp:posOffset>
            </wp:positionV>
            <wp:extent cx="7560309" cy="236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309" cy="236220"/>
                    </a:xfrm>
                    <a:prstGeom prst="rect">
                      <a:avLst/>
                    </a:prstGeom>
                  </pic:spPr>
                </pic:pic>
              </a:graphicData>
            </a:graphic>
          </wp:anchor>
        </w:drawing>
      </w:r>
      <w:r>
        <w:rPr>
          <w:noProof/>
          <w:lang w:val="pt-BR" w:eastAsia="pt-BR"/>
        </w:rPr>
        <w:drawing>
          <wp:anchor distT="0" distB="0" distL="0" distR="0" simplePos="0" relativeHeight="15729664" behindDoc="0" locked="0" layoutInCell="1" allowOverlap="1">
            <wp:simplePos x="0" y="0"/>
            <wp:positionH relativeFrom="page">
              <wp:posOffset>0</wp:posOffset>
            </wp:positionH>
            <wp:positionV relativeFrom="page">
              <wp:posOffset>10455906</wp:posOffset>
            </wp:positionV>
            <wp:extent cx="7560309" cy="23609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60309" cy="236093"/>
                    </a:xfrm>
                    <a:prstGeom prst="rect">
                      <a:avLst/>
                    </a:prstGeom>
                  </pic:spPr>
                </pic:pic>
              </a:graphicData>
            </a:graphic>
          </wp:anchor>
        </w:drawing>
      </w:r>
    </w:p>
    <w:p w:rsidR="008F3FA7" w:rsidRDefault="008F3FA7">
      <w:pPr>
        <w:pStyle w:val="Corpodetexto"/>
        <w:rPr>
          <w:sz w:val="20"/>
        </w:rPr>
      </w:pPr>
    </w:p>
    <w:p w:rsidR="008F3FA7" w:rsidRDefault="008F3FA7">
      <w:pPr>
        <w:pStyle w:val="Corpodetexto"/>
        <w:rPr>
          <w:sz w:val="20"/>
        </w:rPr>
      </w:pPr>
    </w:p>
    <w:p w:rsidR="008F3FA7" w:rsidRDefault="008F3FA7">
      <w:pPr>
        <w:pStyle w:val="Corpodetexto"/>
        <w:spacing w:before="2"/>
        <w:rPr>
          <w:sz w:val="29"/>
        </w:rPr>
      </w:pPr>
    </w:p>
    <w:p w:rsidR="008F3FA7" w:rsidRDefault="00E543C3">
      <w:pPr>
        <w:pStyle w:val="Ttulo"/>
        <w:ind w:right="1237" w:firstLine="0"/>
        <w:jc w:val="center"/>
      </w:pPr>
      <w:r>
        <w:rPr>
          <w:noProof/>
          <w:lang w:val="pt-BR" w:eastAsia="pt-BR"/>
        </w:rPr>
        <w:drawing>
          <wp:anchor distT="0" distB="0" distL="0" distR="0" simplePos="0" relativeHeight="15728640" behindDoc="0" locked="0" layoutInCell="1" allowOverlap="1">
            <wp:simplePos x="0" y="0"/>
            <wp:positionH relativeFrom="page">
              <wp:posOffset>638809</wp:posOffset>
            </wp:positionH>
            <wp:positionV relativeFrom="paragraph">
              <wp:posOffset>-308570</wp:posOffset>
            </wp:positionV>
            <wp:extent cx="588251" cy="61531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588251" cy="615315"/>
                    </a:xfrm>
                    <a:prstGeom prst="rect">
                      <a:avLst/>
                    </a:prstGeom>
                  </pic:spPr>
                </pic:pic>
              </a:graphicData>
            </a:graphic>
          </wp:anchor>
        </w:drawing>
      </w:r>
      <w:r>
        <w:rPr>
          <w:spacing w:val="-1"/>
        </w:rPr>
        <w:t>I</w:t>
      </w:r>
      <w:r>
        <w:rPr>
          <w:spacing w:val="-3"/>
        </w:rPr>
        <w:t xml:space="preserve"> </w:t>
      </w:r>
      <w:r>
        <w:rPr>
          <w:spacing w:val="-1"/>
        </w:rPr>
        <w:t>CONGRESSO BRASILEIRO</w:t>
      </w:r>
      <w:r>
        <w:rPr>
          <w:spacing w:val="-2"/>
        </w:rPr>
        <w:t xml:space="preserve"> </w:t>
      </w:r>
      <w:r>
        <w:t>DE</w:t>
      </w:r>
      <w:r>
        <w:rPr>
          <w:spacing w:val="-1"/>
        </w:rPr>
        <w:t xml:space="preserve"> </w:t>
      </w:r>
      <w:r>
        <w:t>GINECOLOGIA</w:t>
      </w:r>
      <w:r>
        <w:rPr>
          <w:spacing w:val="-14"/>
        </w:rPr>
        <w:t xml:space="preserve"> </w:t>
      </w:r>
      <w:r>
        <w:t>E</w:t>
      </w:r>
      <w:r>
        <w:rPr>
          <w:spacing w:val="-2"/>
        </w:rPr>
        <w:t xml:space="preserve"> </w:t>
      </w:r>
      <w:r>
        <w:t>OBSTETRÍCIA</w:t>
      </w:r>
    </w:p>
    <w:p w:rsidR="008F3FA7" w:rsidRDefault="008F3FA7">
      <w:pPr>
        <w:pStyle w:val="Corpodetexto"/>
        <w:rPr>
          <w:b/>
          <w:sz w:val="20"/>
        </w:rPr>
      </w:pPr>
    </w:p>
    <w:p w:rsidR="008F3FA7" w:rsidRDefault="008F3FA7">
      <w:pPr>
        <w:pStyle w:val="Corpodetexto"/>
        <w:rPr>
          <w:b/>
          <w:sz w:val="20"/>
        </w:rPr>
      </w:pPr>
    </w:p>
    <w:p w:rsidR="008F3FA7" w:rsidRDefault="008F3FA7">
      <w:pPr>
        <w:pStyle w:val="Corpodetexto"/>
        <w:rPr>
          <w:b/>
          <w:sz w:val="20"/>
        </w:rPr>
      </w:pPr>
    </w:p>
    <w:p w:rsidR="008F3FA7" w:rsidRPr="00386EF0" w:rsidRDefault="00C8541E" w:rsidP="00386EF0">
      <w:pPr>
        <w:pStyle w:val="Corpodetexto"/>
        <w:jc w:val="center"/>
        <w:rPr>
          <w:b/>
          <w:bCs/>
          <w:sz w:val="28"/>
          <w:szCs w:val="28"/>
        </w:rPr>
      </w:pPr>
      <w:r w:rsidRPr="00C8541E">
        <w:rPr>
          <w:b/>
          <w:bCs/>
          <w:sz w:val="28"/>
          <w:szCs w:val="28"/>
        </w:rPr>
        <w:t>SÍFILIS GESTACIONAL: AVALIAÇÃO EPIDEMIOLÓGICA DE CASOS NA POPULAÇÃO GESTANTE DE MINAS GERAIS NOS ÚLTIMOS 3 ANOS</w:t>
      </w:r>
    </w:p>
    <w:p w:rsidR="00386EF0" w:rsidRDefault="00386EF0" w:rsidP="00386EF0">
      <w:pPr>
        <w:pStyle w:val="Corpodetexto"/>
        <w:jc w:val="center"/>
        <w:rPr>
          <w:b/>
        </w:rPr>
      </w:pPr>
    </w:p>
    <w:p w:rsidR="008F3FA7" w:rsidRDefault="00A32C64">
      <w:pPr>
        <w:ind w:left="235"/>
        <w:rPr>
          <w:b/>
          <w:sz w:val="16"/>
        </w:rPr>
      </w:pPr>
      <w:r>
        <w:rPr>
          <w:b/>
          <w:sz w:val="16"/>
        </w:rPr>
        <w:t>Amanda Helena Novaes Saldanha Ruy de Almeida</w:t>
      </w:r>
    </w:p>
    <w:p w:rsidR="008F3FA7" w:rsidRDefault="00A32C64">
      <w:pPr>
        <w:ind w:left="235"/>
        <w:rPr>
          <w:sz w:val="16"/>
        </w:rPr>
      </w:pPr>
      <w:r>
        <w:rPr>
          <w:sz w:val="16"/>
        </w:rPr>
        <w:t xml:space="preserve">Graduando </w:t>
      </w:r>
      <w:r w:rsidR="00E543C3">
        <w:rPr>
          <w:sz w:val="16"/>
        </w:rPr>
        <w:t>em</w:t>
      </w:r>
      <w:r w:rsidR="00E543C3">
        <w:rPr>
          <w:spacing w:val="-3"/>
          <w:sz w:val="16"/>
        </w:rPr>
        <w:t xml:space="preserve"> </w:t>
      </w:r>
      <w:r>
        <w:rPr>
          <w:sz w:val="16"/>
        </w:rPr>
        <w:t>Medicina</w:t>
      </w:r>
      <w:r w:rsidR="00E543C3">
        <w:rPr>
          <w:spacing w:val="-2"/>
          <w:sz w:val="16"/>
        </w:rPr>
        <w:t xml:space="preserve"> </w:t>
      </w:r>
      <w:r w:rsidR="00E543C3">
        <w:rPr>
          <w:sz w:val="16"/>
        </w:rPr>
        <w:t>pela</w:t>
      </w:r>
      <w:r w:rsidR="00E543C3">
        <w:rPr>
          <w:spacing w:val="-4"/>
          <w:sz w:val="16"/>
        </w:rPr>
        <w:t xml:space="preserve"> </w:t>
      </w:r>
      <w:r w:rsidR="00E543C3">
        <w:rPr>
          <w:sz w:val="16"/>
        </w:rPr>
        <w:t>Universidade</w:t>
      </w:r>
      <w:r w:rsidR="00E543C3">
        <w:rPr>
          <w:spacing w:val="-3"/>
          <w:sz w:val="16"/>
        </w:rPr>
        <w:t xml:space="preserve"> </w:t>
      </w:r>
      <w:r>
        <w:rPr>
          <w:sz w:val="16"/>
        </w:rPr>
        <w:t xml:space="preserve">Federal de Juiz de Fora </w:t>
      </w:r>
      <w:r w:rsidR="00F60072">
        <w:rPr>
          <w:sz w:val="16"/>
        </w:rPr>
        <w:t>-</w:t>
      </w:r>
      <w:r>
        <w:rPr>
          <w:sz w:val="16"/>
        </w:rPr>
        <w:t xml:space="preserve"> UFJF</w:t>
      </w:r>
    </w:p>
    <w:p w:rsidR="00F60072" w:rsidRDefault="00C8541E">
      <w:pPr>
        <w:ind w:left="235"/>
        <w:rPr>
          <w:b/>
          <w:sz w:val="16"/>
        </w:rPr>
      </w:pPr>
      <w:r w:rsidRPr="00C8541E">
        <w:rPr>
          <w:b/>
          <w:sz w:val="16"/>
        </w:rPr>
        <w:t>Fernanda Alves Carvalho</w:t>
      </w:r>
      <w:r w:rsidR="00F60072" w:rsidRPr="00C8541E">
        <w:rPr>
          <w:b/>
          <w:sz w:val="16"/>
        </w:rPr>
        <w:tab/>
      </w:r>
    </w:p>
    <w:p w:rsidR="00F60072" w:rsidRDefault="00E543C3">
      <w:pPr>
        <w:ind w:left="235"/>
        <w:rPr>
          <w:spacing w:val="-4"/>
          <w:sz w:val="16"/>
        </w:rPr>
      </w:pPr>
      <w:r>
        <w:rPr>
          <w:sz w:val="16"/>
        </w:rPr>
        <w:t>Graduando</w:t>
      </w:r>
      <w:r>
        <w:rPr>
          <w:spacing w:val="-2"/>
          <w:sz w:val="16"/>
        </w:rPr>
        <w:t xml:space="preserve"> </w:t>
      </w:r>
      <w:r>
        <w:rPr>
          <w:sz w:val="16"/>
        </w:rPr>
        <w:t>em</w:t>
      </w:r>
      <w:r w:rsidR="002F4B83">
        <w:rPr>
          <w:spacing w:val="-4"/>
          <w:sz w:val="16"/>
        </w:rPr>
        <w:t xml:space="preserve"> Medicina pe</w:t>
      </w:r>
      <w:r>
        <w:rPr>
          <w:spacing w:val="-4"/>
          <w:sz w:val="16"/>
        </w:rPr>
        <w:t>lo Centro Universitário IMEPAC Araguari</w:t>
      </w:r>
    </w:p>
    <w:p w:rsidR="002F4B83" w:rsidRDefault="00C8541E">
      <w:pPr>
        <w:ind w:left="235"/>
        <w:rPr>
          <w:b/>
          <w:sz w:val="16"/>
        </w:rPr>
      </w:pPr>
      <w:r w:rsidRPr="00C8541E">
        <w:rPr>
          <w:b/>
          <w:sz w:val="16"/>
        </w:rPr>
        <w:t>Livia Verdinasse Furukawa</w:t>
      </w:r>
      <w:r w:rsidR="00F60072" w:rsidRPr="00F60072">
        <w:rPr>
          <w:b/>
          <w:sz w:val="16"/>
        </w:rPr>
        <w:tab/>
      </w:r>
    </w:p>
    <w:p w:rsidR="00F60072" w:rsidRDefault="00F60072" w:rsidP="00F60072">
      <w:pPr>
        <w:ind w:left="235"/>
        <w:rPr>
          <w:spacing w:val="-4"/>
          <w:sz w:val="16"/>
        </w:rPr>
      </w:pPr>
      <w:r>
        <w:rPr>
          <w:sz w:val="16"/>
        </w:rPr>
        <w:t>Graduando</w:t>
      </w:r>
      <w:r>
        <w:rPr>
          <w:spacing w:val="-2"/>
          <w:sz w:val="16"/>
        </w:rPr>
        <w:t xml:space="preserve"> </w:t>
      </w:r>
      <w:r>
        <w:rPr>
          <w:sz w:val="16"/>
        </w:rPr>
        <w:t>em</w:t>
      </w:r>
      <w:r>
        <w:rPr>
          <w:spacing w:val="-4"/>
          <w:sz w:val="16"/>
        </w:rPr>
        <w:t xml:space="preserve"> Medicina p</w:t>
      </w:r>
      <w:r w:rsidR="00E543C3">
        <w:rPr>
          <w:spacing w:val="-4"/>
          <w:sz w:val="16"/>
        </w:rPr>
        <w:t xml:space="preserve">ela </w:t>
      </w:r>
      <w:r w:rsidR="00E543C3" w:rsidRPr="00E543C3">
        <w:rPr>
          <w:spacing w:val="-4"/>
          <w:sz w:val="16"/>
        </w:rPr>
        <w:t>Fai- Centro Universitário de Adamantina</w:t>
      </w:r>
    </w:p>
    <w:p w:rsidR="00F60072" w:rsidRDefault="00C8541E" w:rsidP="002F4B83">
      <w:pPr>
        <w:ind w:left="235"/>
        <w:rPr>
          <w:b/>
          <w:sz w:val="16"/>
        </w:rPr>
      </w:pPr>
      <w:r w:rsidRPr="00C8541E">
        <w:rPr>
          <w:b/>
          <w:sz w:val="16"/>
        </w:rPr>
        <w:t>Carla Knopp Barreto</w:t>
      </w:r>
    </w:p>
    <w:p w:rsidR="008F3FA7" w:rsidRPr="00E543C3" w:rsidRDefault="00E543C3" w:rsidP="00E543C3">
      <w:pPr>
        <w:ind w:left="235"/>
        <w:rPr>
          <w:spacing w:val="-4"/>
          <w:sz w:val="16"/>
        </w:rPr>
      </w:pPr>
      <w:r>
        <w:rPr>
          <w:sz w:val="16"/>
        </w:rPr>
        <w:t>Graduando</w:t>
      </w:r>
      <w:r>
        <w:rPr>
          <w:spacing w:val="-2"/>
          <w:sz w:val="16"/>
        </w:rPr>
        <w:t xml:space="preserve"> </w:t>
      </w:r>
      <w:r>
        <w:rPr>
          <w:sz w:val="16"/>
        </w:rPr>
        <w:t>em</w:t>
      </w:r>
      <w:r>
        <w:rPr>
          <w:spacing w:val="-4"/>
          <w:sz w:val="16"/>
        </w:rPr>
        <w:t xml:space="preserve"> Medicina p</w:t>
      </w:r>
      <w:r>
        <w:rPr>
          <w:spacing w:val="-4"/>
          <w:sz w:val="16"/>
        </w:rPr>
        <w:t xml:space="preserve">elo </w:t>
      </w:r>
      <w:r w:rsidRPr="00E543C3">
        <w:rPr>
          <w:spacing w:val="-4"/>
          <w:sz w:val="16"/>
        </w:rPr>
        <w:t>Centro Unive</w:t>
      </w:r>
      <w:r>
        <w:rPr>
          <w:spacing w:val="-4"/>
          <w:sz w:val="16"/>
        </w:rPr>
        <w:t>rsitário Antônio Carlos - UNIPAC</w:t>
      </w:r>
      <w:r w:rsidRPr="00E543C3">
        <w:rPr>
          <w:spacing w:val="-4"/>
          <w:sz w:val="16"/>
        </w:rPr>
        <w:t xml:space="preserve"> Juiz de Fora</w:t>
      </w:r>
    </w:p>
    <w:p w:rsidR="00C8541E" w:rsidRDefault="00C8541E" w:rsidP="004F6888">
      <w:pPr>
        <w:pStyle w:val="Corpodetexto"/>
        <w:jc w:val="both"/>
      </w:pPr>
    </w:p>
    <w:p w:rsidR="00C8541E" w:rsidRPr="00C8541E" w:rsidRDefault="00C8541E" w:rsidP="00C8541E">
      <w:pPr>
        <w:jc w:val="both"/>
        <w:rPr>
          <w:sz w:val="24"/>
          <w:szCs w:val="24"/>
        </w:rPr>
      </w:pPr>
      <w:r w:rsidRPr="00C8541E">
        <w:rPr>
          <w:b/>
          <w:sz w:val="24"/>
          <w:szCs w:val="24"/>
        </w:rPr>
        <w:t>INTRODUÇÃO:</w:t>
      </w:r>
      <w:r w:rsidRPr="00C8541E">
        <w:rPr>
          <w:sz w:val="24"/>
          <w:szCs w:val="24"/>
        </w:rPr>
        <w:t xml:space="preserve"> A sífilis é uma patologia infecto-contagiosa sistêmica, causada pela bactéria Treponema pallidum. Indivíduos sexualmente ativos devem realizar o teste para diagnóstico da doença, em especial as gestantes, uma vez que essa patologia pode levar ao aborto, má formação </w:t>
      </w:r>
      <w:r>
        <w:rPr>
          <w:sz w:val="24"/>
          <w:szCs w:val="24"/>
        </w:rPr>
        <w:t>do fetal e morte ao nascimento</w:t>
      </w:r>
      <w:r w:rsidRPr="00C8541E">
        <w:rPr>
          <w:sz w:val="24"/>
          <w:szCs w:val="24"/>
        </w:rPr>
        <w:t>. Além disso, quando não tratada ou inadequadamente tratada, pode ser transmitida por via transplacentária durante a gravidez, da gestante para o feto, recebendo o nome de sífilis congênita e podendo resultar em diversas consequências, como prematuridade, sequelas ne</w:t>
      </w:r>
      <w:r>
        <w:rPr>
          <w:sz w:val="24"/>
          <w:szCs w:val="24"/>
        </w:rPr>
        <w:t xml:space="preserve">urológicas, natimorto e aborto. </w:t>
      </w:r>
      <w:r w:rsidRPr="00C8541E">
        <w:rPr>
          <w:b/>
          <w:sz w:val="24"/>
          <w:szCs w:val="24"/>
        </w:rPr>
        <w:t>OBJETIVO:</w:t>
      </w:r>
      <w:r w:rsidRPr="00C8541E">
        <w:rPr>
          <w:sz w:val="24"/>
          <w:szCs w:val="24"/>
        </w:rPr>
        <w:t xml:space="preserve"> O objetivo deste trabalho foi avaliar a prevalência de sífilis gestacional em gestantes de Minas Gerais entre os anos de 2021 e 2023. </w:t>
      </w:r>
      <w:r w:rsidRPr="00C8541E">
        <w:rPr>
          <w:b/>
          <w:sz w:val="24"/>
          <w:szCs w:val="24"/>
        </w:rPr>
        <w:t>MÉTODO:</w:t>
      </w:r>
      <w:r w:rsidRPr="00C8541E">
        <w:rPr>
          <w:sz w:val="24"/>
          <w:szCs w:val="24"/>
        </w:rPr>
        <w:t xml:space="preserve"> Realizou-se um estudo epidemiológico transversal descritivo sobre sífilis gestacional e a prevalência entre as gestantes de Minas Gerais, através do Sistema de Informação de Agravos de Notificação (SINAN) na base de dados DATASUS, fornecida pelo Ministério da Saúde. Foram analisadas notificações de gestantes de qualquer faixa etária no período de 2021 a 2023. </w:t>
      </w:r>
      <w:r w:rsidRPr="00C8541E">
        <w:rPr>
          <w:b/>
          <w:sz w:val="24"/>
          <w:szCs w:val="24"/>
        </w:rPr>
        <w:t>RESULTADOS</w:t>
      </w:r>
      <w:r>
        <w:rPr>
          <w:b/>
          <w:sz w:val="24"/>
          <w:szCs w:val="24"/>
        </w:rPr>
        <w:t xml:space="preserve"> E DISCUSSÃO</w:t>
      </w:r>
      <w:r w:rsidRPr="00C8541E">
        <w:rPr>
          <w:b/>
          <w:sz w:val="24"/>
          <w:szCs w:val="24"/>
        </w:rPr>
        <w:t>:</w:t>
      </w:r>
      <w:r w:rsidRPr="00C8541E">
        <w:rPr>
          <w:sz w:val="24"/>
          <w:szCs w:val="24"/>
        </w:rPr>
        <w:t xml:space="preserve"> Observou-se 2.961 casos de sífilis gestacional em Minas Gerais no período avaliado. Desses, houve uma maior prevalência no ano de 2023, com 2.547 casos (86% dos casos totais), e uma menor prevalência no ano de 2021, com apenas 9 casos notificados (0,3% dos casos totais). Além disso, foi observada uma prevalência significativa de casos em gestantes com idade entre 20 e 39 anos, cujo total foi de 2.290 casos, representando 77,33% dos casos totais. Em contrapartida, houveram apenas 12 casos em gestantes de 10 a 14 anos, configurando 0,40% dos casos totais. </w:t>
      </w:r>
      <w:r w:rsidRPr="00C8541E">
        <w:rPr>
          <w:b/>
          <w:sz w:val="24"/>
          <w:szCs w:val="24"/>
        </w:rPr>
        <w:t>CONCLUSÃO:</w:t>
      </w:r>
      <w:r w:rsidRPr="00C8541E">
        <w:rPr>
          <w:sz w:val="24"/>
          <w:szCs w:val="24"/>
        </w:rPr>
        <w:t xml:space="preserve"> Dessa forma, foi observado que gestantes entre 20 e 39 anos representam a faixa etária mais prevalente dentre os casos de sífilis gestacional em Minas Gerais, entre 2021 e 2023, totalizando 77,33% dos casos notificados. Pode-se concluir, também, que houve um aumento no número geral de casos de 2021 para 2023, visto que o último representa 86% dos casos totais notificados no período analisado.</w:t>
      </w:r>
    </w:p>
    <w:p w:rsidR="00C8541E" w:rsidRDefault="00C8541E" w:rsidP="004F6888">
      <w:pPr>
        <w:pStyle w:val="Corpodetexto"/>
        <w:jc w:val="both"/>
      </w:pPr>
    </w:p>
    <w:p w:rsidR="00DC11C7" w:rsidRDefault="00DC11C7">
      <w:pPr>
        <w:pStyle w:val="Corpodetexto"/>
      </w:pPr>
    </w:p>
    <w:p w:rsidR="008F3FA7" w:rsidRDefault="00E543C3" w:rsidP="00E543C3">
      <w:pPr>
        <w:pStyle w:val="NormalWeb"/>
        <w:spacing w:before="0" w:beforeAutospacing="0" w:after="0" w:afterAutospacing="0"/>
      </w:pPr>
      <w:r>
        <w:rPr>
          <w:b/>
        </w:rPr>
        <w:t xml:space="preserve">PALAVRAS-CHAVE: </w:t>
      </w:r>
      <w:r>
        <w:rPr>
          <w:color w:val="000000"/>
          <w:sz w:val="22"/>
          <w:szCs w:val="22"/>
        </w:rPr>
        <w:t>Sífilis; Obstetrícia; Epidemiologia.</w:t>
      </w:r>
    </w:p>
    <w:p w:rsidR="008F3FA7" w:rsidRDefault="008F3FA7">
      <w:pPr>
        <w:pStyle w:val="Corpodetexto"/>
      </w:pPr>
    </w:p>
    <w:p w:rsidR="008F3FA7" w:rsidRDefault="002F4B83" w:rsidP="00BF538E">
      <w:pPr>
        <w:pStyle w:val="Corpodetexto"/>
        <w:ind w:right="118"/>
        <w:jc w:val="both"/>
      </w:pPr>
      <w:r>
        <w:rPr>
          <w:b/>
        </w:rPr>
        <w:t>REFERÊNCIAS:</w:t>
      </w:r>
    </w:p>
    <w:p w:rsidR="002F4B83" w:rsidRPr="002F4B83" w:rsidRDefault="002F4B83" w:rsidP="00F60072">
      <w:pPr>
        <w:pStyle w:val="Corpodetexto"/>
        <w:ind w:right="118"/>
        <w:jc w:val="both"/>
        <w:rPr>
          <w:sz w:val="16"/>
          <w:szCs w:val="16"/>
        </w:rPr>
      </w:pPr>
    </w:p>
    <w:p w:rsidR="00E543C3" w:rsidRDefault="00E543C3" w:rsidP="00E543C3">
      <w:pPr>
        <w:pStyle w:val="Corpodetexto"/>
        <w:numPr>
          <w:ilvl w:val="0"/>
          <w:numId w:val="1"/>
        </w:numPr>
        <w:ind w:right="118"/>
        <w:jc w:val="both"/>
        <w:rPr>
          <w:sz w:val="16"/>
          <w:szCs w:val="16"/>
        </w:rPr>
      </w:pPr>
      <w:r w:rsidRPr="00E543C3">
        <w:rPr>
          <w:sz w:val="16"/>
          <w:szCs w:val="16"/>
        </w:rPr>
        <w:t xml:space="preserve">BRASIL. Ministério da Saúde. Secretaria de Vigilância em Saúde. Departamento de Vigilância Epidemiológica . Sistema de Informação de Agravos de Notificação </w:t>
      </w:r>
      <w:r>
        <w:rPr>
          <w:sz w:val="16"/>
          <w:szCs w:val="16"/>
        </w:rPr>
        <w:t>–</w:t>
      </w:r>
      <w:r w:rsidRPr="00E543C3">
        <w:rPr>
          <w:sz w:val="16"/>
          <w:szCs w:val="16"/>
        </w:rPr>
        <w:t xml:space="preserve"> Sinan</w:t>
      </w:r>
    </w:p>
    <w:p w:rsidR="00E543C3" w:rsidRDefault="00E543C3" w:rsidP="00E543C3">
      <w:pPr>
        <w:pStyle w:val="PargrafodaLista"/>
        <w:rPr>
          <w:sz w:val="16"/>
          <w:szCs w:val="16"/>
        </w:rPr>
      </w:pPr>
    </w:p>
    <w:p w:rsidR="00E543C3" w:rsidRDefault="00E543C3" w:rsidP="00E543C3">
      <w:pPr>
        <w:pStyle w:val="Corpodetexto"/>
        <w:numPr>
          <w:ilvl w:val="0"/>
          <w:numId w:val="1"/>
        </w:numPr>
        <w:ind w:right="118"/>
        <w:jc w:val="both"/>
        <w:rPr>
          <w:sz w:val="16"/>
          <w:szCs w:val="16"/>
        </w:rPr>
      </w:pPr>
      <w:r w:rsidRPr="00E543C3">
        <w:rPr>
          <w:sz w:val="16"/>
          <w:szCs w:val="16"/>
        </w:rPr>
        <w:t>MACÊDO, V. C. DE . et al.. Sífilis na gestação: barreiras na assistência pré-natal para o controle da transmissão vertical. Cadernos Saúde Coletiva, v. 28, n. 4, p. 518–528, out. 2020.</w:t>
      </w:r>
    </w:p>
    <w:p w:rsidR="00E543C3" w:rsidRDefault="00E543C3" w:rsidP="00E543C3">
      <w:pPr>
        <w:pStyle w:val="PargrafodaLista"/>
        <w:rPr>
          <w:sz w:val="16"/>
          <w:szCs w:val="16"/>
        </w:rPr>
      </w:pPr>
    </w:p>
    <w:p w:rsidR="00E543C3" w:rsidRDefault="00E543C3" w:rsidP="00E543C3">
      <w:pPr>
        <w:pStyle w:val="Corpodetexto"/>
        <w:numPr>
          <w:ilvl w:val="0"/>
          <w:numId w:val="1"/>
        </w:numPr>
        <w:ind w:right="118"/>
        <w:jc w:val="both"/>
        <w:rPr>
          <w:sz w:val="16"/>
          <w:szCs w:val="16"/>
        </w:rPr>
      </w:pPr>
      <w:r w:rsidRPr="00E543C3">
        <w:rPr>
          <w:sz w:val="16"/>
          <w:szCs w:val="16"/>
        </w:rPr>
        <w:t>Peeling RW, Mabey D, Kamb ML, Chen XS, Radolf JD, Benzaken AS. Syphilis. Nat Rev Dis Primers. 2017 Oct 12;3:17073. doi: 10.1038/nrdp.2017.73. PMID: 29022569; PMCID: PMC5809176.</w:t>
      </w:r>
    </w:p>
    <w:p w:rsidR="00E543C3" w:rsidRPr="00E543C3" w:rsidRDefault="00E543C3" w:rsidP="00E543C3">
      <w:pPr>
        <w:pStyle w:val="Corpodetexto"/>
        <w:ind w:left="955" w:right="118"/>
        <w:jc w:val="both"/>
        <w:rPr>
          <w:sz w:val="16"/>
          <w:szCs w:val="16"/>
        </w:rPr>
      </w:pPr>
      <w:bookmarkStart w:id="0" w:name="_GoBack"/>
      <w:bookmarkEnd w:id="0"/>
    </w:p>
    <w:sectPr w:rsidR="00E543C3" w:rsidRPr="00E543C3">
      <w:type w:val="continuous"/>
      <w:pgSz w:w="11910" w:h="16840"/>
      <w:pgMar w:top="0" w:right="102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04A1"/>
    <w:multiLevelType w:val="hybridMultilevel"/>
    <w:tmpl w:val="672EB412"/>
    <w:lvl w:ilvl="0" w:tplc="0416000F">
      <w:start w:val="1"/>
      <w:numFmt w:val="decimal"/>
      <w:lvlText w:val="%1."/>
      <w:lvlJc w:val="left"/>
      <w:pPr>
        <w:ind w:left="955" w:hanging="360"/>
      </w:pPr>
    </w:lvl>
    <w:lvl w:ilvl="1" w:tplc="04160019" w:tentative="1">
      <w:start w:val="1"/>
      <w:numFmt w:val="lowerLetter"/>
      <w:lvlText w:val="%2."/>
      <w:lvlJc w:val="left"/>
      <w:pPr>
        <w:ind w:left="1675" w:hanging="360"/>
      </w:pPr>
    </w:lvl>
    <w:lvl w:ilvl="2" w:tplc="0416001B" w:tentative="1">
      <w:start w:val="1"/>
      <w:numFmt w:val="lowerRoman"/>
      <w:lvlText w:val="%3."/>
      <w:lvlJc w:val="right"/>
      <w:pPr>
        <w:ind w:left="2395" w:hanging="180"/>
      </w:pPr>
    </w:lvl>
    <w:lvl w:ilvl="3" w:tplc="0416000F" w:tentative="1">
      <w:start w:val="1"/>
      <w:numFmt w:val="decimal"/>
      <w:lvlText w:val="%4."/>
      <w:lvlJc w:val="left"/>
      <w:pPr>
        <w:ind w:left="3115" w:hanging="360"/>
      </w:pPr>
    </w:lvl>
    <w:lvl w:ilvl="4" w:tplc="04160019" w:tentative="1">
      <w:start w:val="1"/>
      <w:numFmt w:val="lowerLetter"/>
      <w:lvlText w:val="%5."/>
      <w:lvlJc w:val="left"/>
      <w:pPr>
        <w:ind w:left="3835" w:hanging="360"/>
      </w:pPr>
    </w:lvl>
    <w:lvl w:ilvl="5" w:tplc="0416001B" w:tentative="1">
      <w:start w:val="1"/>
      <w:numFmt w:val="lowerRoman"/>
      <w:lvlText w:val="%6."/>
      <w:lvlJc w:val="right"/>
      <w:pPr>
        <w:ind w:left="4555" w:hanging="180"/>
      </w:pPr>
    </w:lvl>
    <w:lvl w:ilvl="6" w:tplc="0416000F" w:tentative="1">
      <w:start w:val="1"/>
      <w:numFmt w:val="decimal"/>
      <w:lvlText w:val="%7."/>
      <w:lvlJc w:val="left"/>
      <w:pPr>
        <w:ind w:left="5275" w:hanging="360"/>
      </w:pPr>
    </w:lvl>
    <w:lvl w:ilvl="7" w:tplc="04160019" w:tentative="1">
      <w:start w:val="1"/>
      <w:numFmt w:val="lowerLetter"/>
      <w:lvlText w:val="%8."/>
      <w:lvlJc w:val="left"/>
      <w:pPr>
        <w:ind w:left="5995" w:hanging="360"/>
      </w:pPr>
    </w:lvl>
    <w:lvl w:ilvl="8" w:tplc="0416001B" w:tentative="1">
      <w:start w:val="1"/>
      <w:numFmt w:val="lowerRoman"/>
      <w:lvlText w:val="%9."/>
      <w:lvlJc w:val="right"/>
      <w:pPr>
        <w:ind w:left="67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A7"/>
    <w:rsid w:val="002F4B83"/>
    <w:rsid w:val="00386EF0"/>
    <w:rsid w:val="00410C96"/>
    <w:rsid w:val="004F6888"/>
    <w:rsid w:val="005A7719"/>
    <w:rsid w:val="008F3FA7"/>
    <w:rsid w:val="00A32C64"/>
    <w:rsid w:val="00A456F4"/>
    <w:rsid w:val="00A77C79"/>
    <w:rsid w:val="00BF538E"/>
    <w:rsid w:val="00C8541E"/>
    <w:rsid w:val="00DC11C7"/>
    <w:rsid w:val="00E543C3"/>
    <w:rsid w:val="00F60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E466"/>
  <w15:docId w15:val="{FBD5CD64-8774-41C2-AE23-194C3D8F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0"/>
      <w:ind w:left="1354" w:hanging="2376"/>
    </w:pPr>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E543C3"/>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2024-07-11T14:55:00Z</dcterms:created>
  <dcterms:modified xsi:type="dcterms:W3CDTF">2024-07-11T14:55:00Z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Writer</vt:lpwstr>
  </property>
  <property fmtid="{D5CDD505-2E9C-101B-9397-08002B2CF9AE}" pid="4" name="LastSaved">
    <vt:filetime>2024-04-23T00:00:00Z</vt:filetime>
  </property>
</Properties>
</file>