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color w:val="002f3c"/>
        </w:rPr>
      </w:pPr>
      <w:r w:rsidDel="00000000" w:rsidR="00000000" w:rsidRPr="00000000">
        <w:rPr>
          <w:rFonts w:ascii="Arial" w:cs="Arial" w:eastAsia="Arial" w:hAnsi="Arial"/>
          <w:b w:val="1"/>
          <w:color w:val="002f3c"/>
          <w:rtl w:val="0"/>
        </w:rPr>
        <w:t xml:space="preserve">ENTRE MUDANÇA CLIMÁTICA E A FLORESTA: SABERES AUSENTES NA EDUCAÇÃO DE JOVENS AMAZÔNIDAS</w:t>
      </w:r>
    </w:p>
    <w:p w:rsidR="00000000" w:rsidDel="00000000" w:rsidP="00000000" w:rsidRDefault="00000000" w:rsidRPr="00000000" w14:paraId="00000002">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Camilly Vitoria Reis Gondinho  Bolsista CNPq , PIBIC/INPA- graduanda da FAMETRO - camillyvic103@gmail.com </w:t>
      </w:r>
    </w:p>
    <w:p w:rsidR="00000000" w:rsidDel="00000000" w:rsidP="00000000" w:rsidRDefault="00000000" w:rsidRPr="00000000" w14:paraId="00000003">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Isabella Felix Ono - Mestranda do Programa de Pós-Graduação em Ciências de Florestas Tropicais - INPA – belfelixono@gmail.com </w:t>
      </w:r>
    </w:p>
    <w:p w:rsidR="00000000" w:rsidDel="00000000" w:rsidP="00000000" w:rsidRDefault="00000000" w:rsidRPr="00000000" w14:paraId="00000004">
      <w:pPr>
        <w:spacing w:after="0" w:line="240" w:lineRule="auto"/>
        <w:jc w:val="right"/>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Genoveva Chagas de Azevedo - Dra. - LAPSEA/ COSAS/ INPA – genopan@gmail.com</w:t>
      </w:r>
    </w:p>
    <w:p w:rsidR="00000000" w:rsidDel="00000000" w:rsidP="00000000" w:rsidRDefault="00000000" w:rsidRPr="00000000" w14:paraId="00000005">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6">
      <w:pPr>
        <w:spacing w:after="0" w:line="240" w:lineRule="auto"/>
        <w:jc w:val="right"/>
        <w:rPr>
          <w:rFonts w:ascii="Arial" w:cs="Arial" w:eastAsia="Arial" w:hAnsi="Arial"/>
          <w:b w:val="1"/>
          <w:color w:val="002f3c"/>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002f3c"/>
          <w:sz w:val="20"/>
          <w:szCs w:val="20"/>
        </w:rPr>
      </w:pPr>
      <w:r w:rsidDel="00000000" w:rsidR="00000000" w:rsidRPr="00000000">
        <w:rPr>
          <w:rFonts w:ascii="Arial" w:cs="Arial" w:eastAsia="Arial" w:hAnsi="Arial"/>
          <w:b w:val="1"/>
          <w:color w:val="002f3c"/>
          <w:sz w:val="20"/>
          <w:szCs w:val="20"/>
          <w:rtl w:val="0"/>
        </w:rPr>
        <w:t xml:space="preserve">Eixo 02 - Educação, Ciência e Sustentabilidade Social</w:t>
      </w:r>
    </w:p>
    <w:p w:rsidR="00000000" w:rsidDel="00000000" w:rsidP="00000000" w:rsidRDefault="00000000" w:rsidRPr="00000000" w14:paraId="00000008">
      <w:pPr>
        <w:spacing w:line="360" w:lineRule="auto"/>
        <w:jc w:val="both"/>
        <w:rPr>
          <w:rFonts w:ascii="Arial" w:cs="Arial" w:eastAsia="Arial" w:hAnsi="Arial"/>
          <w:color w:val="002f3c"/>
        </w:rPr>
      </w:pPr>
      <w:r w:rsidDel="00000000" w:rsidR="00000000" w:rsidRPr="00000000">
        <w:rPr>
          <w:rFonts w:ascii="Arial" w:cs="Arial" w:eastAsia="Arial" w:hAnsi="Arial"/>
          <w:color w:val="002f3c"/>
          <w:rtl w:val="0"/>
        </w:rPr>
        <w:t xml:space="preserve"> </w:t>
      </w:r>
    </w:p>
    <w:p w:rsidR="00000000" w:rsidDel="00000000" w:rsidP="00000000" w:rsidRDefault="00000000" w:rsidRPr="00000000" w14:paraId="00000009">
      <w:pPr>
        <w:spacing w:line="360"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Resumo</w:t>
      </w:r>
      <w:r w:rsidDel="00000000" w:rsidR="00000000" w:rsidRPr="00000000">
        <w:rPr>
          <w:rtl w:val="0"/>
        </w:rPr>
      </w:r>
    </w:p>
    <w:p w:rsidR="00000000" w:rsidDel="00000000" w:rsidP="00000000" w:rsidRDefault="00000000" w:rsidRPr="00000000" w14:paraId="0000000A">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trabalho analisa os conhecimentos conceituais sobre mudança climática e sua relação com a floresta amazônica de estudantes do 9º ano do Ensino Fundamental II, no estado do Amazonas. A pesquisa utilizou dados secundários de uma Base de Dados com 792 alunos. Os resultados apontam que, embora os estudantes apresentem bom desempenho em itens factuais, há limitações significativas na compreensão de conceitos mais complexos, como o papel dos diferentes gases de efeito estufa, a diferenciação entre tempo e clima e os processos ligados à decomposição e queima da vegetação. Tais lacunas destacam a necessidade de abordagens pedagógicas mais interdisciplinares, que favoreçam a construção de pontes conceituais entre o conteúdo escolar e a realidade amazônica dos alunos.</w: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b w:val="1"/>
          <w:rtl w:val="0"/>
        </w:rPr>
        <w:t xml:space="preserve">Palavras-chave:</w:t>
      </w:r>
      <w:r w:rsidDel="00000000" w:rsidR="00000000" w:rsidRPr="00000000">
        <w:rPr>
          <w:rFonts w:ascii="Arial" w:cs="Arial" w:eastAsia="Arial" w:hAnsi="Arial"/>
          <w:rtl w:val="0"/>
        </w:rPr>
        <w:t xml:space="preserve"> Mudança Climática; Floresta Amazônica; Ensino Fundamental II; Conhecimento Conceitual.</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Introdução</w:t>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A mudança climática é entendida como alterações significativas nos padrões climáticos globais e regionais, resultantes de fatores naturais e, mais recentemente, das atividades humanas (IPCC, 2022). Nesse contexto, a floresta amazônica exerce papel fundamental, funcionando como sumidouro de carbono e reguladora do ciclo hidrológico (Saraiva, Higuchi &amp; Higuchi, 2014). Apesar da relevância do tema, estudos mostram que a aprendizagem escolar sobre mudança climática é frequentemente fragmentada e centrada em memorização, dificultando a compreensão integrada do fenômeno (Costa et al., 2022). Considerando as diretrizes da BNCC (MEC, 2017) e do Referencial Curricular Amazonense (SEDUC-AM, 2020), este trabalho busca responder: </w:t>
      </w:r>
      <w:r w:rsidDel="00000000" w:rsidR="00000000" w:rsidRPr="00000000">
        <w:rPr>
          <w:rFonts w:ascii="Arial" w:cs="Arial" w:eastAsia="Arial" w:hAnsi="Arial"/>
          <w:b w:val="1"/>
          <w:rtl w:val="0"/>
        </w:rPr>
        <w:t xml:space="preserve">quais conhecimentos conceituais sobre mudança climática e a relação destes com a floresta amazônica estudantes do Amazonas do 9º ano ainda não dominam?</w:t>
      </w:r>
      <w:r w:rsidDel="00000000" w:rsidR="00000000" w:rsidRPr="00000000">
        <w:rPr>
          <w:rtl w:val="0"/>
        </w:rPr>
      </w:r>
    </w:p>
    <w:p w:rsidR="00000000" w:rsidDel="00000000" w:rsidP="00000000" w:rsidRDefault="00000000" w:rsidRPr="00000000" w14:paraId="0000000F">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Metodologia</w:t>
      </w:r>
    </w:p>
    <w:p w:rsidR="00000000" w:rsidDel="00000000" w:rsidP="00000000" w:rsidRDefault="00000000" w:rsidRPr="00000000" w14:paraId="00000010">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 estudo analisou dados secundários oriundos da Base do projeto guarda-chuva LAPSEA/LMF-INPA, financiado pela FAPEAM. Participaram 792 alunos do 9º ano de 15 escolas públicas, distribuídas em 8 municípios do Amazonas, incluindo Manaus. O instrumento aplicado na coleta de dados foi um </w:t>
      </w:r>
      <w:r w:rsidDel="00000000" w:rsidR="00000000" w:rsidRPr="00000000">
        <w:rPr>
          <w:rFonts w:ascii="Arial" w:cs="Arial" w:eastAsia="Arial" w:hAnsi="Arial"/>
          <w:b w:val="1"/>
          <w:i w:val="1"/>
          <w:rtl w:val="0"/>
        </w:rPr>
        <w:t xml:space="preserve">survey</w:t>
      </w:r>
      <w:r w:rsidDel="00000000" w:rsidR="00000000" w:rsidRPr="00000000">
        <w:rPr>
          <w:rFonts w:ascii="Arial" w:cs="Arial" w:eastAsia="Arial" w:hAnsi="Arial"/>
          <w:rtl w:val="0"/>
        </w:rPr>
        <w:t xml:space="preserve"> de conhecimentos conceituais e dados socioambientais. A partir dos itens referentes à mudança climática, 06 foram organizados segundo a </w:t>
      </w:r>
      <w:r w:rsidDel="00000000" w:rsidR="00000000" w:rsidRPr="00000000">
        <w:rPr>
          <w:rFonts w:ascii="Arial" w:cs="Arial" w:eastAsia="Arial" w:hAnsi="Arial"/>
          <w:b w:val="1"/>
          <w:rtl w:val="0"/>
        </w:rPr>
        <w:t xml:space="preserve">Taxonomia Revisada de Bloom</w:t>
      </w:r>
      <w:r w:rsidDel="00000000" w:rsidR="00000000" w:rsidRPr="00000000">
        <w:rPr>
          <w:rFonts w:ascii="Arial" w:cs="Arial" w:eastAsia="Arial" w:hAnsi="Arial"/>
          <w:rtl w:val="0"/>
        </w:rPr>
        <w:t xml:space="preserve"> (Anderson et al., 2001; Ferraz &amp; Belhot, 2010), classificando-os como conhecimento factual e conceitual, evidenciando itens com porcentagens de acertos abaixo da média geral.</w:t>
      </w:r>
    </w:p>
    <w:p w:rsidR="00000000" w:rsidDel="00000000" w:rsidP="00000000" w:rsidRDefault="00000000" w:rsidRPr="00000000" w14:paraId="00000011">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Discussão</w:t>
      </w:r>
    </w:p>
    <w:p w:rsidR="00000000" w:rsidDel="00000000" w:rsidP="00000000" w:rsidRDefault="00000000" w:rsidRPr="00000000" w14:paraId="0000001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Os resultados indicam que os estudantes possuem certo domínio de conceitos factuais, como a identificação dos principais gases de efeito estufa (75,9%). No entanto, apresentaram baixa compreensão em itens que exigiam raciocínio conceitual, como a emissão de gases decorrente da decomposição ou queima de árvores (33,7% a 45,7%).</w:t>
      </w:r>
    </w:p>
    <w:p w:rsidR="00000000" w:rsidDel="00000000" w:rsidP="00000000" w:rsidRDefault="00000000" w:rsidRPr="00000000" w14:paraId="00000013">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Conclusões</w:t>
      </w:r>
    </w:p>
    <w:p w:rsidR="00000000" w:rsidDel="00000000" w:rsidP="00000000" w:rsidRDefault="00000000" w:rsidRPr="00000000" w14:paraId="00000016">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Os resultados corroboram estudos que apontam a necessidade de ensino investigativo e interdisciplinar, que ultrapasse a simples memorização. A aprendizagem significativa exige integração entre teoria e prática, possibilitando que os estudantes compreendam a relevância da floresta amazônica no equilíbrio climático. Nesse sentido, estratégias como aulas de campo, experimentos e contato com pesquisadores podem favorecer a construção de conceitos mais sólidos e contextualizados.</w:t>
      </w:r>
    </w:p>
    <w:p w:rsidR="00000000" w:rsidDel="00000000" w:rsidP="00000000" w:rsidRDefault="00000000" w:rsidRPr="00000000" w14:paraId="00000017">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Referências </w:t>
      </w:r>
    </w:p>
    <w:p w:rsidR="00000000" w:rsidDel="00000000" w:rsidP="00000000" w:rsidRDefault="00000000" w:rsidRPr="00000000" w14:paraId="00000019">
      <w:pPr>
        <w:spacing w:line="360" w:lineRule="auto"/>
        <w:jc w:val="both"/>
        <w:rPr>
          <w:rFonts w:ascii="Arial" w:cs="Arial" w:eastAsia="Arial" w:hAnsi="Arial"/>
        </w:rPr>
      </w:pPr>
      <w:r w:rsidDel="00000000" w:rsidR="00000000" w:rsidRPr="00000000">
        <w:rPr>
          <w:rFonts w:ascii="Arial" w:cs="Arial" w:eastAsia="Arial" w:hAnsi="Arial"/>
          <w:rtl w:val="0"/>
        </w:rPr>
        <w:t xml:space="preserve">ANDERSON, L. W. et al. A taxonomy for learning, teaching and assessing: a revision of Bloom’s taxonomy of educational objectives. Nova Iorque: Addison Wesley Longman, 2001.</w:t>
      </w:r>
    </w:p>
    <w:p w:rsidR="00000000" w:rsidDel="00000000" w:rsidP="00000000" w:rsidRDefault="00000000" w:rsidRPr="00000000" w14:paraId="0000001A">
      <w:pPr>
        <w:spacing w:line="360" w:lineRule="auto"/>
        <w:jc w:val="both"/>
        <w:rPr>
          <w:rFonts w:ascii="Arial" w:cs="Arial" w:eastAsia="Arial" w:hAnsi="Arial"/>
        </w:rPr>
      </w:pPr>
      <w:r w:rsidDel="00000000" w:rsidR="00000000" w:rsidRPr="00000000">
        <w:rPr>
          <w:rFonts w:ascii="Arial" w:cs="Arial" w:eastAsia="Arial" w:hAnsi="Arial"/>
          <w:rtl w:val="0"/>
        </w:rPr>
        <w:t xml:space="preserve">COSTA, A. M.; SILVA, D. A. L.; ALMEIDA, M. F. Educação ambiental e mudanças climáticas: desafios para o ensino na escola básica. Revista Brasileira de Educação Ambiental, São Paulo, v. 27, n. 2, 2022.</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FERRAZ, A. P. C. M.; BELHOT, R. V. Taxonomia de Bloom: revisão teórica e apresentação das adequações. Gestão &amp; Produção, São Carlos, v. 17, n. 2, 2010.</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IPCC. Climate Change 2022: Impacts, Adaptation, and Vulnerability. Genebra, 2022.</w:t>
      </w:r>
    </w:p>
    <w:p w:rsidR="00000000" w:rsidDel="00000000" w:rsidP="00000000" w:rsidRDefault="00000000" w:rsidRPr="00000000" w14:paraId="0000001D">
      <w:pPr>
        <w:spacing w:line="360" w:lineRule="auto"/>
        <w:jc w:val="both"/>
        <w:rPr>
          <w:rFonts w:ascii="Arial" w:cs="Arial" w:eastAsia="Arial" w:hAnsi="Arial"/>
        </w:rPr>
      </w:pPr>
      <w:r w:rsidDel="00000000" w:rsidR="00000000" w:rsidRPr="00000000">
        <w:rPr>
          <w:rFonts w:ascii="Arial" w:cs="Arial" w:eastAsia="Arial" w:hAnsi="Arial"/>
          <w:rtl w:val="0"/>
        </w:rPr>
        <w:t xml:space="preserve">MEC. Base Nacional Comum Curricular. Brasília, DF, 2017.</w:t>
      </w:r>
    </w:p>
    <w:p w:rsidR="00000000" w:rsidDel="00000000" w:rsidP="00000000" w:rsidRDefault="00000000" w:rsidRPr="00000000" w14:paraId="0000001E">
      <w:pPr>
        <w:spacing w:line="360" w:lineRule="auto"/>
        <w:jc w:val="both"/>
        <w:rPr>
          <w:rFonts w:ascii="Arial" w:cs="Arial" w:eastAsia="Arial" w:hAnsi="Arial"/>
        </w:rPr>
      </w:pPr>
      <w:r w:rsidDel="00000000" w:rsidR="00000000" w:rsidRPr="00000000">
        <w:rPr>
          <w:rFonts w:ascii="Arial" w:cs="Arial" w:eastAsia="Arial" w:hAnsi="Arial"/>
          <w:rtl w:val="0"/>
        </w:rPr>
        <w:t xml:space="preserve">SARAIVA, D. P.; HIGUCHI, M. I. G.; HIGUCHI, N. A terra em tempo de mudança climática e a ação da floresta. Manaus: INPA, 2014.</w:t>
      </w:r>
    </w:p>
    <w:p w:rsidR="00000000" w:rsidDel="00000000" w:rsidP="00000000" w:rsidRDefault="00000000" w:rsidRPr="00000000" w14:paraId="0000001F">
      <w:pPr>
        <w:spacing w:line="360" w:lineRule="auto"/>
        <w:jc w:val="both"/>
        <w:rPr>
          <w:rFonts w:ascii="Arial" w:cs="Arial" w:eastAsia="Arial" w:hAnsi="Arial"/>
        </w:rPr>
      </w:pPr>
      <w:r w:rsidDel="00000000" w:rsidR="00000000" w:rsidRPr="00000000">
        <w:rPr>
          <w:rFonts w:ascii="Arial" w:cs="Arial" w:eastAsia="Arial" w:hAnsi="Arial"/>
          <w:rtl w:val="0"/>
        </w:rPr>
        <w:t xml:space="preserve">SEDUC-AM. Diretrizes curriculares e pedagógicas: frente aos desafios do contexto atual. Manaus, AM, 2020.</w:t>
      </w:r>
    </w:p>
    <w:p w:rsidR="00000000" w:rsidDel="00000000" w:rsidP="00000000" w:rsidRDefault="00000000" w:rsidRPr="00000000" w14:paraId="00000020">
      <w:pPr>
        <w:spacing w:line="360" w:lineRule="auto"/>
        <w:jc w:val="both"/>
        <w:rPr>
          <w:rFonts w:ascii="Arial" w:cs="Arial" w:eastAsia="Arial" w:hAnsi="Arial"/>
          <w:color w:val="002f3c"/>
        </w:rPr>
      </w:pPr>
      <w:r w:rsidDel="00000000" w:rsidR="00000000" w:rsidRPr="00000000">
        <w:rPr>
          <w:rtl w:val="0"/>
        </w:rPr>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-1082672</wp:posOffset>
          </wp:positionH>
          <wp:positionV relativeFrom="paragraph">
            <wp:posOffset>-3945683</wp:posOffset>
          </wp:positionV>
          <wp:extent cx="7557831" cy="5150331"/>
          <wp:effectExtent b="0" l="0" r="0" t="0"/>
          <wp:wrapNone/>
          <wp:docPr id="196170495"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t xml:space="preserve">11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-1105330</wp:posOffset>
          </wp:positionH>
          <wp:positionV relativeFrom="paragraph">
            <wp:posOffset>-440052</wp:posOffset>
          </wp:positionV>
          <wp:extent cx="7626753" cy="5603132"/>
          <wp:effectExtent b="0" l="0" r="0" t="0"/>
          <wp:wrapNone/>
          <wp:docPr id="196170496" name="image2.png"/>
          <a:graphic>
            <a:graphicData uri="http://schemas.openxmlformats.org/drawingml/2006/picture">
              <pic:pic>
                <pic:nvPicPr>
                  <pic:cNvPr id="0" name="image2.png"/>
                  <pic:cNvPicPr preferRelativeResize="0"/>
                </pic:nvPicPr>
                <pic:blipFill>
                  <a:blip r:embed="rId1"/>
                  <a:srcRect b="48053"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har" w:customStyle="1">
    <w:name w:val="Título 1 Char"/>
    <w:basedOn w:val="Fontepargpadro"/>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Reviso">
    <w:name w:val="Revision"/>
    <w:hidden w:val="1"/>
    <w:uiPriority w:val="99"/>
    <w:semiHidden w:val="1"/>
    <w:rsid w:val="0033044C"/>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Q0DVz4caacdeJj59okVA7tDA==">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2025-09-10T13:44:00Z</dcterms:created>
  <dc:creator>Thaíssa Gabrielle Ferreira Henrique</dc:creator>
</cp:coreProperties>
</file>