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771F" w:rsidRPr="00531D00" w:rsidRDefault="00B777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8"/>
          <w:szCs w:val="28"/>
        </w:rPr>
      </w:pPr>
    </w:p>
    <w:p w14:paraId="00000002" w14:textId="444E230C" w:rsidR="00B7771F" w:rsidRPr="00531D00" w:rsidRDefault="00531D00" w:rsidP="00531D00">
      <w:pPr>
        <w:spacing w:line="360" w:lineRule="auto"/>
        <w:ind w:right="257"/>
        <w:jc w:val="center"/>
        <w:rPr>
          <w:b/>
          <w:sz w:val="28"/>
          <w:szCs w:val="28"/>
        </w:rPr>
      </w:pPr>
      <w:r w:rsidRPr="00531D00">
        <w:rPr>
          <w:b/>
          <w:sz w:val="28"/>
          <w:szCs w:val="28"/>
          <w:highlight w:val="white"/>
        </w:rPr>
        <w:t>M</w:t>
      </w:r>
      <w:r w:rsidRPr="00531D00">
        <w:rPr>
          <w:b/>
          <w:sz w:val="28"/>
          <w:szCs w:val="28"/>
        </w:rPr>
        <w:t xml:space="preserve">onitorização Hemodinâmica Básica Na Emergência: Reconhecendo </w:t>
      </w:r>
      <w:r>
        <w:rPr>
          <w:b/>
          <w:sz w:val="28"/>
          <w:szCs w:val="28"/>
        </w:rPr>
        <w:t>o</w:t>
      </w:r>
      <w:r w:rsidRPr="00531D00">
        <w:rPr>
          <w:b/>
          <w:sz w:val="28"/>
          <w:szCs w:val="28"/>
        </w:rPr>
        <w:t xml:space="preserve"> Paciente Grave</w:t>
      </w:r>
    </w:p>
    <w:p w14:paraId="0EE6E70D" w14:textId="77777777" w:rsidR="00531D00" w:rsidRPr="00531D00" w:rsidRDefault="00531D00" w:rsidP="00531D0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b/>
          <w:sz w:val="24"/>
          <w:szCs w:val="24"/>
        </w:rPr>
      </w:pPr>
    </w:p>
    <w:p w14:paraId="00000004" w14:textId="15F47007" w:rsidR="00B7771F" w:rsidRPr="00531D00" w:rsidRDefault="00531D00" w:rsidP="00531D00">
      <w:pPr>
        <w:widowControl/>
        <w:spacing w:line="360" w:lineRule="auto"/>
        <w:rPr>
          <w:sz w:val="24"/>
          <w:szCs w:val="24"/>
          <w:vertAlign w:val="superscript"/>
        </w:rPr>
      </w:pPr>
      <w:r w:rsidRPr="00531D00">
        <w:rPr>
          <w:sz w:val="24"/>
          <w:szCs w:val="24"/>
        </w:rPr>
        <w:t>Catharina Carvalho Santana</w:t>
      </w:r>
      <w:r w:rsidRPr="00531D00">
        <w:rPr>
          <w:sz w:val="24"/>
          <w:szCs w:val="24"/>
          <w:vertAlign w:val="superscript"/>
        </w:rPr>
        <w:t>1</w:t>
      </w:r>
      <w:r w:rsidRPr="00531D0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D00">
        <w:rPr>
          <w:sz w:val="24"/>
          <w:szCs w:val="24"/>
        </w:rPr>
        <w:t>Daniela de Jesus Costa</w:t>
      </w:r>
      <w:r w:rsidRPr="00531D00">
        <w:rPr>
          <w:sz w:val="24"/>
          <w:szCs w:val="24"/>
          <w:vertAlign w:val="superscript"/>
        </w:rPr>
        <w:t>2</w:t>
      </w:r>
      <w:r w:rsidRPr="00531D00">
        <w:rPr>
          <w:sz w:val="24"/>
          <w:szCs w:val="24"/>
        </w:rPr>
        <w:t>, Eduarda Pereira Damião</w:t>
      </w:r>
      <w:r w:rsidRPr="00531D00">
        <w:rPr>
          <w:sz w:val="24"/>
          <w:szCs w:val="24"/>
          <w:vertAlign w:val="superscript"/>
        </w:rPr>
        <w:t>3</w:t>
      </w:r>
      <w:r w:rsidRPr="00531D00">
        <w:rPr>
          <w:sz w:val="24"/>
          <w:szCs w:val="24"/>
        </w:rPr>
        <w:t xml:space="preserve">, Adryane Gomes </w:t>
      </w:r>
      <w:r>
        <w:rPr>
          <w:sz w:val="24"/>
          <w:szCs w:val="24"/>
        </w:rPr>
        <w:t>M</w:t>
      </w:r>
      <w:r w:rsidRPr="00531D00">
        <w:rPr>
          <w:sz w:val="24"/>
          <w:szCs w:val="24"/>
        </w:rPr>
        <w:t>ascarenhas</w:t>
      </w:r>
      <w:r w:rsidRPr="00531D00">
        <w:rPr>
          <w:sz w:val="24"/>
          <w:szCs w:val="24"/>
          <w:vertAlign w:val="superscript"/>
        </w:rPr>
        <w:t>4</w:t>
      </w:r>
    </w:p>
    <w:p w14:paraId="00000005" w14:textId="77777777" w:rsidR="00B7771F" w:rsidRDefault="00531D00">
      <w:pPr>
        <w:widowControl/>
        <w:spacing w:line="276" w:lineRule="auto"/>
        <w:rPr>
          <w:vertAlign w:val="superscript"/>
        </w:rPr>
      </w:pPr>
      <w:r>
        <w:t>Unaerp - Universidade de Ribeirão Preto</w:t>
      </w:r>
      <w:r>
        <w:rPr>
          <w:vertAlign w:val="superscript"/>
        </w:rPr>
        <w:t>1</w:t>
      </w:r>
      <w:r>
        <w:t>, UNEB-Universidade do Estado da Bahia</w:t>
      </w:r>
      <w:r>
        <w:rPr>
          <w:vertAlign w:val="superscript"/>
        </w:rPr>
        <w:t>23</w:t>
      </w:r>
      <w:r>
        <w:t>,UFSB-Universidade Federal do Sul da Bahia</w:t>
      </w:r>
      <w:r>
        <w:rPr>
          <w:vertAlign w:val="superscript"/>
        </w:rPr>
        <w:t>4</w:t>
      </w:r>
    </w:p>
    <w:p w14:paraId="00000006" w14:textId="245C3113" w:rsidR="00B7771F" w:rsidRDefault="00531D00">
      <w:pPr>
        <w:widowControl/>
        <w:spacing w:line="276" w:lineRule="auto"/>
      </w:pPr>
      <w:r>
        <w:t>(</w:t>
      </w:r>
      <w:hyperlink r:id="rId5" w:history="1">
        <w:r w:rsidRPr="00531D00">
          <w:rPr>
            <w:rStyle w:val="Hyperlink"/>
            <w:color w:val="auto"/>
            <w:u w:val="none"/>
          </w:rPr>
          <w:t>Adryanemascarenhas@gmail.com</w:t>
        </w:r>
      </w:hyperlink>
      <w:r w:rsidRPr="00531D00">
        <w:t>)</w:t>
      </w:r>
    </w:p>
    <w:p w14:paraId="0BC50D7C" w14:textId="77777777" w:rsidR="00531D00" w:rsidRDefault="00531D00">
      <w:pPr>
        <w:widowControl/>
        <w:spacing w:line="276" w:lineRule="auto"/>
      </w:pPr>
    </w:p>
    <w:p w14:paraId="00000007" w14:textId="77777777" w:rsidR="00B7771F" w:rsidRDefault="00B7771F">
      <w:pPr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B7771F" w:rsidRDefault="00531D00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205" w:right="463"/>
        <w:jc w:val="both"/>
        <w:rPr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O manejo inicial do paciente grave objetiva encontrar sinais e sintomas de disfunções orgânicas, o qual pode ser resultado de um quadro de choque/falência circulatória. Assim, é necessário a rápida identificação com adequada monitorização hemodinâmica e c</w:t>
      </w:r>
      <w:r>
        <w:rPr>
          <w:color w:val="000000"/>
          <w:sz w:val="24"/>
          <w:szCs w:val="24"/>
        </w:rPr>
        <w:t xml:space="preserve">ondutas imediatas. A monitorização hemodinamica básica é subestimada, mas pode evitar o risco de procedimentos invasivos e gastos desnecessário, sendo possível a sua utilização nas enfermarias, urgencia e emergencias dos serviços de saude.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Descre</w:t>
      </w:r>
      <w:r>
        <w:rPr>
          <w:color w:val="000000"/>
          <w:sz w:val="24"/>
          <w:szCs w:val="24"/>
        </w:rPr>
        <w:t xml:space="preserve">ver a importância da monitorização hemodinamica básica em adultos para reconhecimento do paciente grave e manejo precoce. </w:t>
      </w:r>
      <w:r>
        <w:rPr>
          <w:b/>
          <w:color w:val="000000"/>
          <w:sz w:val="24"/>
          <w:szCs w:val="24"/>
        </w:rPr>
        <w:t>Método:</w:t>
      </w:r>
      <w:r>
        <w:rPr>
          <w:color w:val="000000"/>
          <w:sz w:val="24"/>
          <w:szCs w:val="24"/>
        </w:rPr>
        <w:t xml:space="preserve"> A pesquisa aplicou buscas nas bases de dados PubMed, Web of Science, Scientific Electronic Library Online (SciELO) e arquivos </w:t>
      </w:r>
      <w:r>
        <w:rPr>
          <w:color w:val="000000"/>
          <w:sz w:val="24"/>
          <w:szCs w:val="24"/>
        </w:rPr>
        <w:t xml:space="preserve">da AMIB de 2014 a 2024 com o uso dos termos Medical Subject Headings - MeSH. Foram incluídos 10 artigos que se enquadraram dentro dos criterios de elegibilidade de acordo com a relevancia sobre a temática.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A monitorização hemodinâmica básica é </w:t>
      </w:r>
      <w:r>
        <w:rPr>
          <w:color w:val="000000"/>
          <w:sz w:val="24"/>
          <w:szCs w:val="24"/>
        </w:rPr>
        <w:t>um parâmetro importante para identificar um paciente com instabilidade hemodinamicamente. A abordagem inicial deve ser baseada numa anamnese adequada e exame físico detalhado, através da utilização de métodos de monitorização básica como pressão arterial s</w:t>
      </w:r>
      <w:r>
        <w:rPr>
          <w:color w:val="000000"/>
          <w:sz w:val="24"/>
          <w:szCs w:val="24"/>
        </w:rPr>
        <w:t>istêmica, perfusão e sinais vitais (frequência cardíaca, respiratória e temperatura), oximetria, diurese, lactato. A correlação entre esses fatores são muitas vezes suficientes para orientação terapêutica eficiente, sendo eficazes para reverter as anormali</w:t>
      </w:r>
      <w:r>
        <w:rPr>
          <w:color w:val="000000"/>
          <w:sz w:val="24"/>
          <w:szCs w:val="24"/>
        </w:rPr>
        <w:t>dades identificadas. Padrões de hipoperfusão grave vão se relacionar com padrões hemodinâmicos característicos como taquicardia (&gt; 100), hipotensão (PAM &lt;65 mmHg), baixa perfusão e livedo, oligúria/anúria, acidose, alteração no padrão ventilatório, dessatu</w:t>
      </w:r>
      <w:r>
        <w:rPr>
          <w:color w:val="000000"/>
          <w:sz w:val="24"/>
          <w:szCs w:val="24"/>
        </w:rPr>
        <w:t>ração (&lt;90%),  hiperlactenemia. Assim, é possível avaliar de forma precoce sinais e sintomas de instabilidade e realizar o manejo rapido, a partir de uma exímia história clínica associada aos fatores coletados durante a monitorização hemodinâmica básica. E</w:t>
      </w:r>
      <w:r>
        <w:rPr>
          <w:color w:val="000000"/>
          <w:sz w:val="24"/>
          <w:szCs w:val="24"/>
        </w:rPr>
        <w:t xml:space="preserve">ntretanto, existem fatores limitantes a depender da gravidade e nível de disfunções orgânicas superpostas, os quais serão necessários o uso de métodos avançados de monitorização.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Desta forma, apesar de algumas limitações, com a alta sensibilidad</w:t>
      </w:r>
      <w:r>
        <w:rPr>
          <w:color w:val="000000"/>
          <w:sz w:val="24"/>
          <w:szCs w:val="24"/>
        </w:rPr>
        <w:t xml:space="preserve">e e baixa especificidade do método, é possível aferir a perfusão de vários órgãos de forma global, o que se torna importante maneira de manejo das condições clínicas de forma individualizada, reconhecimento de mau prognóstico e manejar patologias antes da </w:t>
      </w:r>
      <w:r>
        <w:rPr>
          <w:color w:val="000000"/>
          <w:sz w:val="24"/>
          <w:szCs w:val="24"/>
        </w:rPr>
        <w:t xml:space="preserve">sua admissão na UTI. </w:t>
      </w:r>
    </w:p>
    <w:bookmarkEnd w:id="0"/>
    <w:p w14:paraId="00000009" w14:textId="77777777" w:rsidR="00B7771F" w:rsidRDefault="00B7771F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205" w:right="463"/>
        <w:jc w:val="both"/>
        <w:rPr>
          <w:color w:val="000000"/>
          <w:sz w:val="24"/>
          <w:szCs w:val="24"/>
        </w:rPr>
      </w:pPr>
    </w:p>
    <w:p w14:paraId="0000000A" w14:textId="77777777" w:rsidR="00B7771F" w:rsidRDefault="00531D00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205" w:right="463"/>
        <w:jc w:val="both"/>
        <w:rPr>
          <w:color w:val="000000"/>
          <w:sz w:val="24"/>
          <w:szCs w:val="24"/>
        </w:rPr>
      </w:pPr>
      <w:r w:rsidRPr="00531D00">
        <w:rPr>
          <w:b/>
          <w:color w:val="000000"/>
          <w:sz w:val="24"/>
          <w:szCs w:val="24"/>
        </w:rPr>
        <w:t>Palavras-chave:</w:t>
      </w:r>
      <w:r>
        <w:rPr>
          <w:color w:val="000000"/>
          <w:sz w:val="24"/>
          <w:szCs w:val="24"/>
        </w:rPr>
        <w:t xml:space="preserve"> Monitorização hemodinamica; Choque; Cuidados intensivos. </w:t>
      </w:r>
    </w:p>
    <w:p w14:paraId="0000000B" w14:textId="77777777" w:rsidR="00B7771F" w:rsidRDefault="00B7771F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205" w:right="463"/>
        <w:jc w:val="both"/>
        <w:rPr>
          <w:color w:val="000000"/>
          <w:sz w:val="24"/>
          <w:szCs w:val="24"/>
        </w:rPr>
      </w:pPr>
    </w:p>
    <w:p w14:paraId="0000000C" w14:textId="44FAE7B8" w:rsidR="00B7771F" w:rsidRDefault="00531D00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205" w:right="46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Área temática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Assistência em Urgência e emergência e UTI</w:t>
      </w:r>
    </w:p>
    <w:p w14:paraId="0B5D6ECE" w14:textId="7CAAD500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40BA58E3" w14:textId="7B3258D6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5586FB1C" w14:textId="77777777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69809E5D" w14:textId="06483C24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1C37E934" w14:textId="27FA253E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6A9F3181" w14:textId="77777777" w:rsidR="00531D00" w:rsidRDefault="00531D00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0000000E" w14:textId="77777777" w:rsidR="00B7771F" w:rsidRDefault="00B7771F">
      <w:pPr>
        <w:spacing w:line="246" w:lineRule="auto"/>
        <w:jc w:val="both"/>
      </w:pPr>
    </w:p>
    <w:p w14:paraId="0000000F" w14:textId="77777777" w:rsidR="00B7771F" w:rsidRDefault="00B7771F">
      <w:pPr>
        <w:spacing w:line="246" w:lineRule="auto"/>
        <w:jc w:val="both"/>
      </w:pPr>
    </w:p>
    <w:p w14:paraId="00000010" w14:textId="659ABF54" w:rsidR="00B7771F" w:rsidRPr="00531D00" w:rsidRDefault="00531D00">
      <w:pPr>
        <w:spacing w:line="246" w:lineRule="auto"/>
        <w:jc w:val="both"/>
        <w:rPr>
          <w:b/>
        </w:rPr>
      </w:pPr>
      <w:r w:rsidRPr="00531D00">
        <w:rPr>
          <w:b/>
        </w:rPr>
        <w:lastRenderedPageBreak/>
        <w:t>Refe</w:t>
      </w:r>
      <w:r>
        <w:rPr>
          <w:b/>
        </w:rPr>
        <w:t>rê</w:t>
      </w:r>
      <w:r w:rsidRPr="00531D00">
        <w:rPr>
          <w:b/>
        </w:rPr>
        <w:t>ncias</w:t>
      </w:r>
      <w:r>
        <w:rPr>
          <w:b/>
        </w:rPr>
        <w:t>:</w:t>
      </w:r>
    </w:p>
    <w:p w14:paraId="00000011" w14:textId="77777777" w:rsidR="00B7771F" w:rsidRDefault="00B7771F">
      <w:pPr>
        <w:spacing w:line="246" w:lineRule="auto"/>
        <w:jc w:val="both"/>
      </w:pPr>
    </w:p>
    <w:p w14:paraId="00000012" w14:textId="77777777" w:rsidR="00B7771F" w:rsidRDefault="00531D00">
      <w:pPr>
        <w:spacing w:line="246" w:lineRule="auto"/>
        <w:jc w:val="both"/>
      </w:pPr>
      <w:r>
        <w:t xml:space="preserve">AMELOOT, Koen; PALMERS, Pieter-Jan; MALBRAIN, Manu. The accuracy of noninvasive cardiac output and pressure measurements with finger cuff: a concise review. </w:t>
      </w:r>
      <w:r>
        <w:rPr>
          <w:b/>
        </w:rPr>
        <w:t>Curr Opin Crit Care</w:t>
      </w:r>
      <w:r>
        <w:t>, n. 21, v. 3, p. 232-9, 2015.</w:t>
      </w:r>
    </w:p>
    <w:p w14:paraId="00000013" w14:textId="77777777" w:rsidR="00B7771F" w:rsidRDefault="00B7771F">
      <w:pPr>
        <w:spacing w:line="246" w:lineRule="auto"/>
        <w:jc w:val="both"/>
      </w:pPr>
    </w:p>
    <w:p w14:paraId="00000014" w14:textId="77777777" w:rsidR="00B7771F" w:rsidRDefault="00531D00">
      <w:pPr>
        <w:spacing w:line="246" w:lineRule="auto"/>
        <w:jc w:val="both"/>
      </w:pPr>
      <w:r>
        <w:t xml:space="preserve">ASSOCIAÇÃO DE MEDICINA INTENSIVA BRASILEIRA. </w:t>
      </w:r>
      <w:r>
        <w:rPr>
          <w:b/>
        </w:rPr>
        <w:t>Mon</w:t>
      </w:r>
      <w:r>
        <w:rPr>
          <w:b/>
        </w:rPr>
        <w:t>itorização hemodinamica</w:t>
      </w:r>
      <w:r>
        <w:t>. 2021.</w:t>
      </w:r>
    </w:p>
    <w:p w14:paraId="00000015" w14:textId="77777777" w:rsidR="00B7771F" w:rsidRDefault="00B7771F">
      <w:pPr>
        <w:spacing w:line="246" w:lineRule="auto"/>
        <w:jc w:val="both"/>
      </w:pPr>
    </w:p>
    <w:p w14:paraId="00000016" w14:textId="77777777" w:rsidR="00B7771F" w:rsidRDefault="00531D00">
      <w:pPr>
        <w:spacing w:line="246" w:lineRule="auto"/>
        <w:jc w:val="both"/>
      </w:pPr>
      <w:r>
        <w:t xml:space="preserve">BRUNAUER, Andreas et al. Changes in peripheral perfusion relate to visceral organ perfusion in early septic shock: A pilot study. </w:t>
      </w:r>
      <w:r>
        <w:rPr>
          <w:b/>
        </w:rPr>
        <w:t>J Crit Care.,</w:t>
      </w:r>
      <w:r>
        <w:t xml:space="preserve"> n. 35, p. 105-9, 2016.</w:t>
      </w:r>
    </w:p>
    <w:p w14:paraId="00000017" w14:textId="77777777" w:rsidR="00B7771F" w:rsidRDefault="00B7771F">
      <w:pPr>
        <w:spacing w:line="246" w:lineRule="auto"/>
        <w:jc w:val="both"/>
      </w:pPr>
    </w:p>
    <w:p w14:paraId="00000018" w14:textId="77777777" w:rsidR="00B7771F" w:rsidRDefault="00531D00">
      <w:pPr>
        <w:spacing w:line="246" w:lineRule="auto"/>
        <w:jc w:val="both"/>
      </w:pPr>
      <w:r>
        <w:t xml:space="preserve">CECCONI, Maurício et al. Consensus on circulatory shock and hemodynamic monitoring. Task force of the European Society of Intensive Care Medicine. </w:t>
      </w:r>
      <w:r>
        <w:rPr>
          <w:b/>
        </w:rPr>
        <w:t>Intensive Care Med</w:t>
      </w:r>
      <w:r>
        <w:t>., n.40, v.12, p.1795-815, 2014.</w:t>
      </w:r>
    </w:p>
    <w:p w14:paraId="00000019" w14:textId="77777777" w:rsidR="00B7771F" w:rsidRDefault="00B7771F">
      <w:pPr>
        <w:spacing w:line="246" w:lineRule="auto"/>
        <w:jc w:val="both"/>
      </w:pPr>
    </w:p>
    <w:p w14:paraId="0000001A" w14:textId="77777777" w:rsidR="00B7771F" w:rsidRDefault="00531D00">
      <w:pPr>
        <w:spacing w:line="246" w:lineRule="auto"/>
        <w:jc w:val="both"/>
      </w:pPr>
      <w:r>
        <w:t>CONVERTINO, Victor et al. The Compensatory Reserve For Ea</w:t>
      </w:r>
      <w:r>
        <w:t xml:space="preserve">rly and Accurate Prediction Of Hemodynamic Compromise: A Review of the Underlying Physiology. </w:t>
      </w:r>
      <w:r>
        <w:rPr>
          <w:b/>
        </w:rPr>
        <w:t>Shock</w:t>
      </w:r>
      <w:r>
        <w:t>, n. 45, v. 6, p. 580-90, 2016.</w:t>
      </w:r>
    </w:p>
    <w:p w14:paraId="0000001B" w14:textId="77777777" w:rsidR="00B7771F" w:rsidRDefault="00B7771F">
      <w:pPr>
        <w:spacing w:line="246" w:lineRule="auto"/>
        <w:jc w:val="both"/>
      </w:pPr>
    </w:p>
    <w:p w14:paraId="0000001C" w14:textId="77777777" w:rsidR="00B7771F" w:rsidRDefault="00531D00">
      <w:pPr>
        <w:spacing w:line="246" w:lineRule="auto"/>
        <w:jc w:val="both"/>
      </w:pPr>
      <w:r>
        <w:t xml:space="preserve">LIMA, Alexandre; TAKALA, Jukka. Clinical significance of monitoring perfusion in non-vital organs. </w:t>
      </w:r>
      <w:r>
        <w:rPr>
          <w:b/>
        </w:rPr>
        <w:t>Intensive Care Med</w:t>
      </w:r>
      <w:r>
        <w:t>., n. 4</w:t>
      </w:r>
      <w:r>
        <w:t xml:space="preserve">0, v. 7, p. 1052-1064, 2014. </w:t>
      </w:r>
    </w:p>
    <w:p w14:paraId="0000001D" w14:textId="77777777" w:rsidR="00B7771F" w:rsidRDefault="00B7771F">
      <w:pPr>
        <w:spacing w:line="246" w:lineRule="auto"/>
        <w:jc w:val="both"/>
      </w:pPr>
    </w:p>
    <w:p w14:paraId="0000001E" w14:textId="77777777" w:rsidR="00B7771F" w:rsidRDefault="00531D00">
      <w:pPr>
        <w:spacing w:line="246" w:lineRule="auto"/>
        <w:jc w:val="both"/>
      </w:pPr>
      <w:r>
        <w:t xml:space="preserve">LIMA, Alexandre; BAKKER, Jan. Clinical assessment of peripheral circulation. </w:t>
      </w:r>
      <w:r>
        <w:rPr>
          <w:b/>
        </w:rPr>
        <w:t>Curr Opin Crit Care</w:t>
      </w:r>
      <w:r>
        <w:t>., n. 21, v. 3, p. 226-31, 2015.</w:t>
      </w:r>
    </w:p>
    <w:p w14:paraId="0000001F" w14:textId="77777777" w:rsidR="00B7771F" w:rsidRDefault="00B7771F">
      <w:pPr>
        <w:spacing w:line="246" w:lineRule="auto"/>
        <w:jc w:val="both"/>
      </w:pPr>
    </w:p>
    <w:p w14:paraId="00000020" w14:textId="77777777" w:rsidR="00B7771F" w:rsidRDefault="00531D00">
      <w:pPr>
        <w:spacing w:line="246" w:lineRule="auto"/>
        <w:jc w:val="both"/>
      </w:pPr>
      <w:r>
        <w:t xml:space="preserve">PINSKY, Michael et al. Effective hemodynamic monitoring. </w:t>
      </w:r>
      <w:r>
        <w:rPr>
          <w:b/>
        </w:rPr>
        <w:t>Crit Care</w:t>
      </w:r>
      <w:r>
        <w:t>. n. 26, v. 1, p. 294, 2022.</w:t>
      </w:r>
    </w:p>
    <w:p w14:paraId="00000021" w14:textId="77777777" w:rsidR="00B7771F" w:rsidRDefault="00B7771F">
      <w:pPr>
        <w:spacing w:line="246" w:lineRule="auto"/>
        <w:jc w:val="both"/>
      </w:pPr>
    </w:p>
    <w:p w14:paraId="00000022" w14:textId="77777777" w:rsidR="00B7771F" w:rsidRDefault="00531D00">
      <w:pPr>
        <w:spacing w:line="246" w:lineRule="auto"/>
        <w:jc w:val="both"/>
      </w:pPr>
      <w:r>
        <w:t xml:space="preserve">POUR-GHAZ, Issa et al. Accuracy of non-invasive and minimally invasive hemodynamic monitoring: where do we stand? </w:t>
      </w:r>
      <w:r>
        <w:rPr>
          <w:b/>
        </w:rPr>
        <w:t>Ann Transl Med</w:t>
      </w:r>
      <w:r>
        <w:t>. n. 7, v.17, p.421, 2019.</w:t>
      </w:r>
    </w:p>
    <w:p w14:paraId="00000023" w14:textId="77777777" w:rsidR="00B7771F" w:rsidRDefault="00B7771F">
      <w:pPr>
        <w:spacing w:line="246" w:lineRule="auto"/>
        <w:jc w:val="both"/>
      </w:pPr>
    </w:p>
    <w:p w14:paraId="00000024" w14:textId="77777777" w:rsidR="00B7771F" w:rsidRDefault="00531D00">
      <w:pPr>
        <w:spacing w:line="246" w:lineRule="auto"/>
        <w:jc w:val="both"/>
      </w:pPr>
      <w:r>
        <w:t xml:space="preserve">KANOORE EDUL, Vanina; INCE, Can; DUBIN, Arnaldo. What is microcirculatory shock? </w:t>
      </w:r>
      <w:r>
        <w:rPr>
          <w:b/>
        </w:rPr>
        <w:t>Curr Opin Crit Car</w:t>
      </w:r>
      <w:r>
        <w:rPr>
          <w:b/>
        </w:rPr>
        <w:t>e</w:t>
      </w:r>
      <w:r>
        <w:t>., n. 21, v. 3, p. 245-52, 2015.</w:t>
      </w:r>
    </w:p>
    <w:p w14:paraId="00000025" w14:textId="77777777" w:rsidR="00B7771F" w:rsidRDefault="00B7771F">
      <w:pPr>
        <w:spacing w:line="246" w:lineRule="auto"/>
        <w:jc w:val="both"/>
      </w:pPr>
    </w:p>
    <w:sectPr w:rsidR="00B7771F" w:rsidSect="00531D00">
      <w:pgSz w:w="1192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F"/>
    <w:rsid w:val="00531D00"/>
    <w:rsid w:val="00B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A17"/>
  <w15:docId w15:val="{147B49BF-3395-4CF5-A2A6-3C6E24D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ryanemascarenh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J4tTrjDgBi5m/2F39Qd2OeFtQ==">CgMxLjA4AHIhMXYxOUEwMlplY0JhTVNXdkhKaVloSF9SOWYxWVB4eTdj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EDUARDA</cp:lastModifiedBy>
  <cp:revision>1</cp:revision>
  <dcterms:created xsi:type="dcterms:W3CDTF">2023-09-08T21:31:00Z</dcterms:created>
  <dcterms:modified xsi:type="dcterms:W3CDTF">2024-02-15T01:22:00Z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