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1DC2E" w14:textId="37C6A98D" w:rsidR="002C0393" w:rsidRDefault="002C0393" w:rsidP="0036651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2C0393">
        <w:rPr>
          <w:b/>
          <w:sz w:val="24"/>
          <w:szCs w:val="24"/>
        </w:rPr>
        <w:t xml:space="preserve">INFLUÊNCIA DE UM </w:t>
      </w:r>
      <w:r w:rsidR="001624C1">
        <w:rPr>
          <w:b/>
          <w:sz w:val="24"/>
          <w:szCs w:val="24"/>
        </w:rPr>
        <w:t>LIXÃO A CÉU ABERTO</w:t>
      </w:r>
      <w:r w:rsidR="000958A5">
        <w:rPr>
          <w:b/>
          <w:sz w:val="24"/>
          <w:szCs w:val="24"/>
        </w:rPr>
        <w:t xml:space="preserve"> URBANO</w:t>
      </w:r>
      <w:r w:rsidRPr="002C0393">
        <w:rPr>
          <w:b/>
          <w:sz w:val="24"/>
          <w:szCs w:val="24"/>
        </w:rPr>
        <w:t xml:space="preserve"> NA COMPOSIÇÃO FLORÍSTICA DE FLORESTAS RIPÁRIAS NA AMAZÔNIA ORIENTAL</w:t>
      </w:r>
    </w:p>
    <w:p w14:paraId="488A52A5" w14:textId="659D35C1" w:rsidR="003949CE" w:rsidRPr="00046F5C" w:rsidRDefault="00545DD8" w:rsidP="00366518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Paula Daniele Martins Moraes</w:t>
      </w:r>
      <w:r w:rsidR="003949CE"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</w:rPr>
        <w:t>;</w:t>
      </w:r>
      <w:r w:rsidR="00090440" w:rsidRPr="00090440">
        <w:t xml:space="preserve"> </w:t>
      </w:r>
      <w:r w:rsidR="00090440" w:rsidRPr="00090440">
        <w:rPr>
          <w:sz w:val="24"/>
          <w:szCs w:val="24"/>
        </w:rPr>
        <w:t>Julia Isabel</w:t>
      </w:r>
      <w:r w:rsidR="007A182D">
        <w:rPr>
          <w:sz w:val="24"/>
          <w:szCs w:val="24"/>
        </w:rPr>
        <w:t>l</w:t>
      </w:r>
      <w:r w:rsidR="00090440" w:rsidRPr="00090440">
        <w:rPr>
          <w:sz w:val="24"/>
          <w:szCs w:val="24"/>
        </w:rPr>
        <w:t>a de Matos Rodrigues</w:t>
      </w:r>
      <w:r w:rsidR="00A53EB2">
        <w:rPr>
          <w:sz w:val="24"/>
          <w:szCs w:val="24"/>
        </w:rPr>
        <w:t>²</w:t>
      </w:r>
      <w:r w:rsidR="00090440" w:rsidRPr="00090440">
        <w:rPr>
          <w:sz w:val="24"/>
          <w:szCs w:val="24"/>
        </w:rPr>
        <w:t>;</w:t>
      </w:r>
      <w:r w:rsidR="007214FE">
        <w:rPr>
          <w:sz w:val="24"/>
          <w:szCs w:val="24"/>
        </w:rPr>
        <w:t xml:space="preserve"> </w:t>
      </w:r>
      <w:r w:rsidR="00090440" w:rsidRPr="00090440">
        <w:rPr>
          <w:sz w:val="24"/>
          <w:szCs w:val="24"/>
        </w:rPr>
        <w:t>Gracialda Costa Ferreira</w:t>
      </w:r>
      <w:r w:rsidR="00046F5C">
        <w:rPr>
          <w:sz w:val="24"/>
          <w:szCs w:val="24"/>
        </w:rPr>
        <w:t>³</w:t>
      </w:r>
      <w:r w:rsidR="00090440" w:rsidRPr="00090440">
        <w:rPr>
          <w:sz w:val="24"/>
          <w:szCs w:val="24"/>
        </w:rPr>
        <w:t>;</w:t>
      </w:r>
      <w:r w:rsidR="007214FE">
        <w:rPr>
          <w:sz w:val="24"/>
          <w:szCs w:val="24"/>
        </w:rPr>
        <w:t xml:space="preserve"> </w:t>
      </w:r>
      <w:r w:rsidR="00090440" w:rsidRPr="00090440">
        <w:rPr>
          <w:sz w:val="24"/>
          <w:szCs w:val="24"/>
        </w:rPr>
        <w:t>Walmer Bruno Rocha Martins</w:t>
      </w:r>
      <w:r w:rsidR="00FA71D0">
        <w:rPr>
          <w:sz w:val="24"/>
          <w:szCs w:val="24"/>
          <w:vertAlign w:val="superscript"/>
        </w:rPr>
        <w:t>4</w:t>
      </w:r>
    </w:p>
    <w:p w14:paraId="336CA589" w14:textId="77777777" w:rsidR="00366518" w:rsidRPr="00366518" w:rsidRDefault="00366518" w:rsidP="0036651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D915DB4" w14:textId="59398081" w:rsidR="003949CE" w:rsidRDefault="003949CE" w:rsidP="003949C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2F6332" w:rsidRPr="002F6332">
        <w:rPr>
          <w:sz w:val="24"/>
          <w:szCs w:val="24"/>
        </w:rPr>
        <w:t>Engenheira florestal. Mestrado em andamento no Programa de Pós-graduação em Ciências Florestais (PPGCF/UFRA)</w:t>
      </w:r>
      <w:r>
        <w:rPr>
          <w:sz w:val="24"/>
          <w:szCs w:val="24"/>
        </w:rPr>
        <w:t xml:space="preserve">. </w:t>
      </w:r>
      <w:r w:rsidR="002F6332">
        <w:rPr>
          <w:sz w:val="24"/>
          <w:szCs w:val="24"/>
        </w:rPr>
        <w:t>danielepaula183@gmail.com</w:t>
      </w:r>
      <w:r>
        <w:rPr>
          <w:sz w:val="24"/>
          <w:szCs w:val="24"/>
        </w:rPr>
        <w:t>.</w:t>
      </w:r>
    </w:p>
    <w:p w14:paraId="03D6E02E" w14:textId="0BB7A6B6" w:rsidR="003949CE" w:rsidRDefault="003949CE" w:rsidP="00D569A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D569A0">
        <w:rPr>
          <w:sz w:val="24"/>
          <w:szCs w:val="24"/>
        </w:rPr>
        <w:t>Mestre em Ciências Florestais</w:t>
      </w:r>
      <w:r w:rsidR="00FA71D0">
        <w:rPr>
          <w:sz w:val="24"/>
          <w:szCs w:val="24"/>
        </w:rPr>
        <w:t xml:space="preserve"> </w:t>
      </w:r>
      <w:r w:rsidR="00FA71D0" w:rsidRPr="002F6332">
        <w:rPr>
          <w:sz w:val="24"/>
          <w:szCs w:val="24"/>
        </w:rPr>
        <w:t>(PPGCF/UFRA)</w:t>
      </w:r>
      <w:r w:rsidR="00D569A0" w:rsidRPr="00D569A0">
        <w:rPr>
          <w:sz w:val="24"/>
          <w:szCs w:val="24"/>
        </w:rPr>
        <w:t xml:space="preserve">. </w:t>
      </w:r>
      <w:r w:rsidR="00D569A0">
        <w:rPr>
          <w:sz w:val="24"/>
          <w:szCs w:val="24"/>
        </w:rPr>
        <w:t>Doutorado</w:t>
      </w:r>
      <w:r w:rsidR="00D569A0" w:rsidRPr="00D569A0">
        <w:rPr>
          <w:sz w:val="24"/>
          <w:szCs w:val="24"/>
        </w:rPr>
        <w:t xml:space="preserve"> em andamento no Programa de Pós-graduação em Ciências Florestais (PPGCF/UFRA)</w:t>
      </w:r>
      <w:r>
        <w:rPr>
          <w:sz w:val="24"/>
          <w:szCs w:val="24"/>
        </w:rPr>
        <w:t>.</w:t>
      </w:r>
    </w:p>
    <w:p w14:paraId="06DC9A10" w14:textId="21BAA4C9" w:rsidR="00FA71D0" w:rsidRDefault="00AF7B49" w:rsidP="004438C8">
      <w:pPr>
        <w:jc w:val="center"/>
        <w:rPr>
          <w:sz w:val="24"/>
          <w:szCs w:val="24"/>
        </w:rPr>
      </w:pPr>
      <w:r w:rsidRPr="00AF7B49">
        <w:rPr>
          <w:sz w:val="24"/>
          <w:szCs w:val="24"/>
          <w:vertAlign w:val="superscript"/>
        </w:rPr>
        <w:t>3</w:t>
      </w:r>
      <w:r w:rsidRPr="00AF7B49">
        <w:rPr>
          <w:sz w:val="24"/>
          <w:szCs w:val="24"/>
        </w:rPr>
        <w:t xml:space="preserve">Doutorado em </w:t>
      </w:r>
      <w:r w:rsidR="002E4A75" w:rsidRPr="002E4A75">
        <w:rPr>
          <w:sz w:val="24"/>
          <w:szCs w:val="24"/>
        </w:rPr>
        <w:t xml:space="preserve">Botânica Tropical </w:t>
      </w:r>
      <w:r w:rsidRPr="00AF7B49">
        <w:rPr>
          <w:sz w:val="24"/>
          <w:szCs w:val="24"/>
        </w:rPr>
        <w:t>(</w:t>
      </w:r>
      <w:r w:rsidR="00C252AB" w:rsidRPr="00C252AB">
        <w:rPr>
          <w:sz w:val="24"/>
          <w:szCs w:val="24"/>
        </w:rPr>
        <w:t>JBRJ</w:t>
      </w:r>
      <w:r w:rsidRPr="00AF7B49">
        <w:rPr>
          <w:sz w:val="24"/>
          <w:szCs w:val="24"/>
        </w:rPr>
        <w:t>/</w:t>
      </w:r>
      <w:r w:rsidR="000B0BA1" w:rsidRPr="000B0BA1">
        <w:rPr>
          <w:sz w:val="24"/>
          <w:szCs w:val="24"/>
        </w:rPr>
        <w:t>ENBT</w:t>
      </w:r>
      <w:r w:rsidRPr="00AF7B49">
        <w:rPr>
          <w:sz w:val="24"/>
          <w:szCs w:val="24"/>
        </w:rPr>
        <w:t>). Docente da Universidade Federal Rural da Amazônia – UFRA.</w:t>
      </w:r>
    </w:p>
    <w:p w14:paraId="08D6FE09" w14:textId="49250338" w:rsidR="00F27996" w:rsidRDefault="00F27996" w:rsidP="004438C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Pr="00F27996">
        <w:rPr>
          <w:sz w:val="24"/>
          <w:szCs w:val="24"/>
        </w:rPr>
        <w:t xml:space="preserve">Doutorado em </w:t>
      </w:r>
      <w:r>
        <w:rPr>
          <w:sz w:val="24"/>
          <w:szCs w:val="24"/>
        </w:rPr>
        <w:t>Ciências Flor</w:t>
      </w:r>
      <w:r w:rsidR="00A04717">
        <w:rPr>
          <w:sz w:val="24"/>
          <w:szCs w:val="24"/>
        </w:rPr>
        <w:t>estais</w:t>
      </w:r>
      <w:r w:rsidRPr="00F27996">
        <w:rPr>
          <w:sz w:val="24"/>
          <w:szCs w:val="24"/>
        </w:rPr>
        <w:t xml:space="preserve"> (PPG</w:t>
      </w:r>
      <w:r w:rsidR="00A04717">
        <w:rPr>
          <w:sz w:val="24"/>
          <w:szCs w:val="24"/>
        </w:rPr>
        <w:t>CF</w:t>
      </w:r>
      <w:r w:rsidRPr="00F27996">
        <w:rPr>
          <w:sz w:val="24"/>
          <w:szCs w:val="24"/>
        </w:rPr>
        <w:t>/UF</w:t>
      </w:r>
      <w:r w:rsidR="00A04717">
        <w:rPr>
          <w:sz w:val="24"/>
          <w:szCs w:val="24"/>
        </w:rPr>
        <w:t>R</w:t>
      </w:r>
      <w:r w:rsidRPr="00F27996">
        <w:rPr>
          <w:sz w:val="24"/>
          <w:szCs w:val="24"/>
        </w:rPr>
        <w:t>A). Docente da Universidade Federal Rural da Amazônia – UFRA.</w:t>
      </w:r>
    </w:p>
    <w:p w14:paraId="6562E980" w14:textId="77777777" w:rsidR="003949CE" w:rsidRDefault="003949CE" w:rsidP="004438C8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2FABC7FE" w14:textId="5B592D4F" w:rsidR="003949CE" w:rsidRPr="004E5596" w:rsidRDefault="003949CE" w:rsidP="004E559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42D75990" w14:textId="5D1A5426" w:rsidR="003949CE" w:rsidRDefault="004E5596" w:rsidP="003C4124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4E5596">
        <w:rPr>
          <w:sz w:val="24"/>
          <w:szCs w:val="24"/>
        </w:rPr>
        <w:t xml:space="preserve">Este estudo avaliou a influência de um </w:t>
      </w:r>
      <w:r w:rsidR="000D56DD">
        <w:rPr>
          <w:sz w:val="24"/>
          <w:szCs w:val="24"/>
        </w:rPr>
        <w:t xml:space="preserve">lixão </w:t>
      </w:r>
      <w:r w:rsidRPr="004E5596">
        <w:rPr>
          <w:sz w:val="24"/>
          <w:szCs w:val="24"/>
        </w:rPr>
        <w:t>a céu aberto</w:t>
      </w:r>
      <w:r w:rsidR="0094134C">
        <w:rPr>
          <w:sz w:val="24"/>
          <w:szCs w:val="24"/>
        </w:rPr>
        <w:t xml:space="preserve"> pertecente ao</w:t>
      </w:r>
      <w:r w:rsidR="00A14D92">
        <w:rPr>
          <w:sz w:val="24"/>
          <w:szCs w:val="24"/>
        </w:rPr>
        <w:t xml:space="preserve"> munic</w:t>
      </w:r>
      <w:r w:rsidR="0094134C">
        <w:rPr>
          <w:sz w:val="24"/>
          <w:szCs w:val="24"/>
        </w:rPr>
        <w:t>ípio</w:t>
      </w:r>
      <w:r w:rsidRPr="004E5596">
        <w:rPr>
          <w:sz w:val="24"/>
          <w:szCs w:val="24"/>
        </w:rPr>
        <w:t xml:space="preserve"> sobre a composição florística de florestas ripárias no município de Barcarena, Amazônia Oriental. Foram instaladas sete parcelas permanentes de 25 × 100 m, sendo </w:t>
      </w:r>
      <w:r w:rsidR="00627E98">
        <w:rPr>
          <w:sz w:val="24"/>
          <w:szCs w:val="24"/>
        </w:rPr>
        <w:t>3</w:t>
      </w:r>
      <w:r w:rsidRPr="004E5596">
        <w:rPr>
          <w:sz w:val="24"/>
          <w:szCs w:val="24"/>
        </w:rPr>
        <w:t xml:space="preserve"> em área impactada e </w:t>
      </w:r>
      <w:r w:rsidR="00627E98">
        <w:rPr>
          <w:sz w:val="24"/>
          <w:szCs w:val="24"/>
        </w:rPr>
        <w:t>4</w:t>
      </w:r>
      <w:r w:rsidRPr="004E5596">
        <w:rPr>
          <w:sz w:val="24"/>
          <w:szCs w:val="24"/>
        </w:rPr>
        <w:t xml:space="preserve"> em áreas de controle, totalizando 1,75 ha de amostragem. Registraram-se 948 indivíduos pertencentes a 134 espécies e 43 famílias botânicas. As parcelas sob influência direta do </w:t>
      </w:r>
      <w:r w:rsidR="0094134C">
        <w:rPr>
          <w:sz w:val="24"/>
          <w:szCs w:val="24"/>
        </w:rPr>
        <w:t>lixão</w:t>
      </w:r>
      <w:r w:rsidR="0094134C" w:rsidRPr="004E5596">
        <w:rPr>
          <w:sz w:val="24"/>
          <w:szCs w:val="24"/>
        </w:rPr>
        <w:t xml:space="preserve"> </w:t>
      </w:r>
      <w:r w:rsidRPr="004E5596">
        <w:rPr>
          <w:sz w:val="24"/>
          <w:szCs w:val="24"/>
        </w:rPr>
        <w:t xml:space="preserve">apresentaram menor riqueza e diversidade (49 espécies, 26 famílias) em relação às áreas controle (111 espécies, 40 famílias). Fabaceae foi a família mais representativa em ambos os ambientes. Nas áreas impactadas, </w:t>
      </w:r>
      <w:r w:rsidRPr="00826E33">
        <w:rPr>
          <w:i/>
          <w:iCs/>
          <w:sz w:val="24"/>
          <w:szCs w:val="24"/>
        </w:rPr>
        <w:t>Vatairea guianensis</w:t>
      </w:r>
      <w:r w:rsidRPr="004E5596">
        <w:rPr>
          <w:sz w:val="24"/>
          <w:szCs w:val="24"/>
        </w:rPr>
        <w:t xml:space="preserve"> e </w:t>
      </w:r>
      <w:r w:rsidRPr="00826E33">
        <w:rPr>
          <w:i/>
          <w:iCs/>
          <w:sz w:val="24"/>
          <w:szCs w:val="24"/>
        </w:rPr>
        <w:t>Taralea oppositifolia</w:t>
      </w:r>
      <w:r w:rsidRPr="004E5596">
        <w:rPr>
          <w:sz w:val="24"/>
          <w:szCs w:val="24"/>
        </w:rPr>
        <w:t xml:space="preserve"> apresentaram os maiores Índices de Valor de Importância (IVI), enquanto no controle destacaram-se </w:t>
      </w:r>
      <w:r w:rsidRPr="00826E33">
        <w:rPr>
          <w:i/>
          <w:iCs/>
          <w:sz w:val="24"/>
          <w:szCs w:val="24"/>
        </w:rPr>
        <w:t>Euterpe oleracea</w:t>
      </w:r>
      <w:r w:rsidRPr="004E5596">
        <w:rPr>
          <w:sz w:val="24"/>
          <w:szCs w:val="24"/>
        </w:rPr>
        <w:t xml:space="preserve"> e </w:t>
      </w:r>
      <w:r w:rsidRPr="00826E33">
        <w:rPr>
          <w:i/>
          <w:iCs/>
          <w:sz w:val="24"/>
          <w:szCs w:val="24"/>
        </w:rPr>
        <w:t>Symphonia globulifera</w:t>
      </w:r>
      <w:r w:rsidRPr="004E5596">
        <w:rPr>
          <w:sz w:val="24"/>
          <w:szCs w:val="24"/>
        </w:rPr>
        <w:t>. A substituição florística e a redução da diversidade sugerem efeitos deletérios da poluição e do manejo inadequado de resíduos</w:t>
      </w:r>
      <w:r w:rsidR="00956923">
        <w:rPr>
          <w:sz w:val="24"/>
          <w:szCs w:val="24"/>
        </w:rPr>
        <w:t xml:space="preserve"> sólidos urbanos</w:t>
      </w:r>
      <w:r w:rsidRPr="004E5596">
        <w:rPr>
          <w:sz w:val="24"/>
          <w:szCs w:val="24"/>
        </w:rPr>
        <w:t xml:space="preserve"> sobre a vegetação ripária. Espécies tolerantes, como </w:t>
      </w:r>
      <w:r w:rsidRPr="00826E33">
        <w:rPr>
          <w:i/>
          <w:iCs/>
          <w:sz w:val="24"/>
          <w:szCs w:val="24"/>
        </w:rPr>
        <w:t>Mauritia flexuosa</w:t>
      </w:r>
      <w:r w:rsidRPr="004E5596">
        <w:rPr>
          <w:sz w:val="24"/>
          <w:szCs w:val="24"/>
        </w:rPr>
        <w:t>, mostraram potencial para estratégias de restauração ecológica em ambientes degradados. Conclui-se que o impacto antrópico decorrente da disposição inadequada de resíduos</w:t>
      </w:r>
      <w:r w:rsidR="00956923">
        <w:rPr>
          <w:sz w:val="24"/>
          <w:szCs w:val="24"/>
        </w:rPr>
        <w:t xml:space="preserve"> urbanos</w:t>
      </w:r>
      <w:r w:rsidRPr="004E5596">
        <w:rPr>
          <w:sz w:val="24"/>
          <w:szCs w:val="24"/>
        </w:rPr>
        <w:t xml:space="preserve"> compromete significativamente a </w:t>
      </w:r>
      <w:r w:rsidR="003C4124">
        <w:rPr>
          <w:sz w:val="24"/>
          <w:szCs w:val="24"/>
        </w:rPr>
        <w:t>composição florística</w:t>
      </w:r>
      <w:r w:rsidRPr="004E5596">
        <w:rPr>
          <w:sz w:val="24"/>
          <w:szCs w:val="24"/>
        </w:rPr>
        <w:t xml:space="preserve"> das florestas ripárias amazônicas</w:t>
      </w:r>
      <w:r>
        <w:rPr>
          <w:sz w:val="24"/>
          <w:szCs w:val="24"/>
        </w:rPr>
        <w:t>.</w:t>
      </w:r>
    </w:p>
    <w:p w14:paraId="453F2E0E" w14:textId="77777777" w:rsidR="003C4124" w:rsidRPr="003C4124" w:rsidRDefault="003C4124" w:rsidP="003C4124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5A93BFDA" w14:textId="747DB229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88472D" w:rsidRPr="0088472D">
        <w:rPr>
          <w:bCs/>
          <w:sz w:val="24"/>
          <w:szCs w:val="24"/>
        </w:rPr>
        <w:t>impacto antrópico</w:t>
      </w:r>
      <w:r w:rsidR="000358CF" w:rsidRPr="000358CF">
        <w:rPr>
          <w:bCs/>
          <w:sz w:val="24"/>
          <w:szCs w:val="24"/>
        </w:rPr>
        <w:t xml:space="preserve">. resíduos sólidos. </w:t>
      </w:r>
      <w:r w:rsidR="002E7A7F" w:rsidRPr="002E7A7F">
        <w:rPr>
          <w:bCs/>
          <w:sz w:val="24"/>
          <w:szCs w:val="24"/>
        </w:rPr>
        <w:t>biodiversidade vegetal</w:t>
      </w:r>
      <w:r w:rsidR="000358CF">
        <w:rPr>
          <w:bCs/>
          <w:sz w:val="24"/>
          <w:szCs w:val="24"/>
        </w:rPr>
        <w:t>.</w:t>
      </w:r>
    </w:p>
    <w:p w14:paraId="71340687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3EB5E4E" w14:textId="5C90D762" w:rsidR="003949CE" w:rsidRDefault="003949CE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0A1B4B">
        <w:rPr>
          <w:sz w:val="24"/>
          <w:szCs w:val="24"/>
        </w:rPr>
        <w:t>Ciências Agr</w:t>
      </w:r>
      <w:r w:rsidR="000436E8">
        <w:rPr>
          <w:sz w:val="24"/>
          <w:szCs w:val="24"/>
        </w:rPr>
        <w:t>á</w:t>
      </w:r>
      <w:r w:rsidR="000A1B4B">
        <w:rPr>
          <w:sz w:val="24"/>
          <w:szCs w:val="24"/>
        </w:rPr>
        <w:t>rias</w:t>
      </w:r>
      <w:r w:rsidR="00936D72">
        <w:rPr>
          <w:sz w:val="24"/>
          <w:szCs w:val="24"/>
        </w:rPr>
        <w:t>.</w:t>
      </w:r>
    </w:p>
    <w:p w14:paraId="03392E40" w14:textId="08014549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45B27B6B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B35A14B" w14:textId="7304D376" w:rsidR="003949CE" w:rsidRDefault="003949CE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1. INTRODUÇÃO </w:t>
      </w:r>
    </w:p>
    <w:p w14:paraId="0379A9E5" w14:textId="713D88C3" w:rsidR="003949CE" w:rsidRDefault="003949CE" w:rsidP="001D7E7E">
      <w:pPr>
        <w:pStyle w:val="Ttulo2"/>
        <w:rPr>
          <w:rStyle w:val="normaltextrun"/>
        </w:rPr>
      </w:pPr>
      <w:r>
        <w:tab/>
      </w:r>
      <w:r w:rsidR="001D7E7E" w:rsidRPr="001D7E7E">
        <w:rPr>
          <w:rStyle w:val="normaltextrun"/>
        </w:rPr>
        <w:t>A floresta amazônica é um bioma caracterizado pela alta diversidade florística e pela provisão de serviços ecossistêmicos, desempenhando papel vital na regulação do climática global, uma vez que é responsável pelo estoque de 36,1 Pg de carbono (</w:t>
      </w:r>
      <w:r w:rsidR="005D4C08">
        <w:rPr>
          <w:rStyle w:val="normaltextrun"/>
        </w:rPr>
        <w:t>Garcia</w:t>
      </w:r>
      <w:r w:rsidR="001D7E7E" w:rsidRPr="001D7E7E">
        <w:rPr>
          <w:rStyle w:val="normaltextrun"/>
        </w:rPr>
        <w:t xml:space="preserve"> et al., 2022; Souza-Filho et al., 2021; Gomes et al., 2019).</w:t>
      </w:r>
      <w:r w:rsidR="001D7E7E">
        <w:rPr>
          <w:rStyle w:val="normaltextrun"/>
        </w:rPr>
        <w:t xml:space="preserve"> </w:t>
      </w:r>
      <w:r w:rsidR="001D7E7E" w:rsidRPr="001D7E7E">
        <w:rPr>
          <w:rStyle w:val="normaltextrun"/>
        </w:rPr>
        <w:t>No entanto, a crescente degradação desse bioma tem sido impulsionada por atividades antrópicas que ocasionam o desmatamento, atingindo 13.235 km² em 2021, sendo este o maior índice em 15 anos (INPE, 2021).</w:t>
      </w:r>
    </w:p>
    <w:p w14:paraId="11E54967" w14:textId="6031090A" w:rsidR="007940E1" w:rsidRPr="007940E1" w:rsidRDefault="007940E1" w:rsidP="007940E1">
      <w:pPr>
        <w:pStyle w:val="Ttulo2"/>
      </w:pPr>
      <w:r w:rsidRPr="007940E1">
        <w:t>Projeta-se que a Amazônia pode perder até 47% de sua área até 2050 (Flores et al., 2024; Nascimento et al., 2018). Agravando este cenário, 40% dos resíduos urbanos na região têm destinação inadequada (IBGE, 2022), frequentemente em lixões a céu aberto em áreas sensíveis (ABREMA, 2024). Estes locais, mal estruturados, representam riscos significativos à biodiversidade e aos recursos hídricos. Torna-se, portanto, fundamental estudar os efeitos desses passivos ambientais sobre os ecossistemas (</w:t>
      </w:r>
      <w:r w:rsidRPr="00B92070">
        <w:t>Raikes et al., 2019</w:t>
      </w:r>
      <w:r w:rsidRPr="007940E1">
        <w:t>).</w:t>
      </w:r>
    </w:p>
    <w:p w14:paraId="6114D3B8" w14:textId="195A11ED" w:rsidR="00492554" w:rsidRDefault="007940E1" w:rsidP="00492554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7940E1">
        <w:t xml:space="preserve">A saúde das florestas ripárias, componentes vitais que conectam ecossistemas terrestres e aquáticos na Amazônia, deve ser urgentemente investigada. Sua importância ecológica manifesta-se na regulação hídrica, filtragem de poluentes e manutenção da conectividade biológica (Pusey &amp; Arthington, 2003; </w:t>
      </w:r>
      <w:r w:rsidR="00327D62" w:rsidRPr="00327D62">
        <w:t>Salviano et al., 2021</w:t>
      </w:r>
      <w:r w:rsidRPr="007940E1">
        <w:t xml:space="preserve">). </w:t>
      </w:r>
      <w:r w:rsidR="001C5663">
        <w:t>E</w:t>
      </w:r>
      <w:r w:rsidRPr="007940E1">
        <w:t>ssas áreas enfrentam crescentes pressões antrópicas que fragmentam habitats e comprometem sua resiliência (</w:t>
      </w:r>
      <w:r w:rsidRPr="00A529CB">
        <w:t>Junk e</w:t>
      </w:r>
      <w:r w:rsidRPr="007940E1">
        <w:t xml:space="preserve">t al., 2013). A perda desta vegetação está associada ao aumento da erosão, redução de recursos pesqueiros e maior vulnerabilidade a eventos climáticos extremos (McMahon et al., 2019; </w:t>
      </w:r>
      <w:r w:rsidRPr="0097563B">
        <w:t>Leitão et al., 2018</w:t>
      </w:r>
      <w:r w:rsidRPr="00424923">
        <w:t>; Fuller et al., 2022</w:t>
      </w:r>
      <w:r w:rsidRPr="007940E1">
        <w:t>). Apesar de sua relevância, a efetiva implementação das APPs ripárias, conforme o Código Florestal, ainda enfrenta desafios significativos como a falta de fiscalização e conflitos fundiários (Metzger et al., 2019).</w:t>
      </w:r>
    </w:p>
    <w:p w14:paraId="6E6442EF" w14:textId="2F6018B7" w:rsidR="001C5663" w:rsidRDefault="001C5663" w:rsidP="00492554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Portanto, </w:t>
      </w:r>
      <w:r w:rsidR="00AA7AB8">
        <w:t>es</w:t>
      </w:r>
      <w:r w:rsidR="00AA7AB8" w:rsidRPr="00AA7AB8">
        <w:t>te estudo tem como objetivo avaliar a influência de resíduos</w:t>
      </w:r>
      <w:r w:rsidR="001527B0">
        <w:t xml:space="preserve"> sólidos urbano</w:t>
      </w:r>
      <w:r w:rsidR="009B1AB5">
        <w:t>s</w:t>
      </w:r>
      <w:r w:rsidR="008146EE">
        <w:t xml:space="preserve"> em um lixão</w:t>
      </w:r>
      <w:r w:rsidR="00DF7CDB">
        <w:t xml:space="preserve"> </w:t>
      </w:r>
      <w:r w:rsidR="00AA7AB8" w:rsidRPr="00AA7AB8">
        <w:t>a céu aberto na composição florística de florestas ripárias no município de Barcarena, na Amazônia Oriental, mediante análise comparativa entre áreas impactadas e áreas controle.</w:t>
      </w:r>
    </w:p>
    <w:p w14:paraId="196DFC8E" w14:textId="77777777" w:rsidR="00492554" w:rsidRPr="00492554" w:rsidRDefault="00492554" w:rsidP="00492554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309E8D17" w14:textId="1B313A93" w:rsidR="003949CE" w:rsidRDefault="003949CE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 MATERIAL E MÉTODOS </w:t>
      </w:r>
    </w:p>
    <w:p w14:paraId="16989D23" w14:textId="77777777" w:rsidR="00C9182C" w:rsidRDefault="00C9182C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</w:p>
    <w:p w14:paraId="776960EA" w14:textId="77777777" w:rsidR="004E4697" w:rsidRDefault="00492554" w:rsidP="004E46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 ÁREA DE ESTUDO</w:t>
      </w:r>
    </w:p>
    <w:p w14:paraId="10E16FBD" w14:textId="77777777" w:rsidR="00101E82" w:rsidRDefault="00101E82" w:rsidP="004E46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</w:p>
    <w:p w14:paraId="5DC7A40E" w14:textId="27E25B3C" w:rsidR="00492554" w:rsidRPr="004E4697" w:rsidRDefault="00492554" w:rsidP="004E46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4E4697">
        <w:rPr>
          <w:sz w:val="24"/>
          <w:szCs w:val="24"/>
        </w:rPr>
        <w:t>A área de estudo compreende trechos de floresta</w:t>
      </w:r>
      <w:r w:rsidR="00A27B80">
        <w:rPr>
          <w:sz w:val="24"/>
          <w:szCs w:val="24"/>
        </w:rPr>
        <w:t>s ripárias</w:t>
      </w:r>
      <w:r w:rsidRPr="004E4697">
        <w:rPr>
          <w:sz w:val="24"/>
          <w:szCs w:val="24"/>
        </w:rPr>
        <w:t xml:space="preserve"> próximos ao </w:t>
      </w:r>
      <w:r w:rsidR="00A27B80">
        <w:rPr>
          <w:sz w:val="24"/>
          <w:szCs w:val="24"/>
        </w:rPr>
        <w:t>lixão a céu aberto</w:t>
      </w:r>
      <w:r w:rsidRPr="004E4697">
        <w:rPr>
          <w:sz w:val="24"/>
          <w:szCs w:val="24"/>
        </w:rPr>
        <w:t xml:space="preserve"> da comunidade Bom Futuro, localizado no município de Barcarena (01°30′21″ S; 48°37′33″ W), no estado do Pará, inserido na Amazônia Oriental. Com uma área territorial de 1310 km² e população estimada em 126 mil habitantes (IBGE 2022), o município possui como fitofisionomia predominante a floresta ombrófila densa (IBGE, 2012). Os solos da região são majoritariamente latossolos vermelho-amarelos distróficos, podzol hidromórfico e concrecionário laterítico indiscriminado (RADAM, 1974).</w:t>
      </w:r>
    </w:p>
    <w:p w14:paraId="36A0F1E1" w14:textId="146CE93E" w:rsidR="00492554" w:rsidRDefault="00492554" w:rsidP="00492554">
      <w:pPr>
        <w:jc w:val="both"/>
      </w:pPr>
      <w:r w:rsidRPr="00492554">
        <w:t xml:space="preserve">Figura 1. </w:t>
      </w:r>
      <w:r w:rsidR="00A27B80">
        <w:t>Lixão</w:t>
      </w:r>
      <w:r w:rsidR="001527B0">
        <w:t xml:space="preserve"> </w:t>
      </w:r>
      <w:r w:rsidRPr="00492554">
        <w:t>a céu aberto, localizado no município de Barcarena, Amazônia Oriental.</w:t>
      </w:r>
    </w:p>
    <w:p w14:paraId="683F4C35" w14:textId="77777777" w:rsidR="00805DF6" w:rsidRPr="00492554" w:rsidRDefault="00805DF6" w:rsidP="00492554">
      <w:pPr>
        <w:jc w:val="both"/>
      </w:pPr>
    </w:p>
    <w:p w14:paraId="34770FCA" w14:textId="73399B6B" w:rsidR="00492554" w:rsidRDefault="00805DF6" w:rsidP="00492554">
      <w:pPr>
        <w:jc w:val="center"/>
      </w:pPr>
      <w:r>
        <w:rPr>
          <w:noProof/>
        </w:rPr>
        <w:drawing>
          <wp:inline distT="0" distB="0" distL="0" distR="0" wp14:anchorId="040C5FF2" wp14:editId="05D2C7EA">
            <wp:extent cx="5181600" cy="3664519"/>
            <wp:effectExtent l="0" t="0" r="0" b="0"/>
            <wp:docPr id="6293234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3467" name="Imagem 6293234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51" cy="36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B38F" w14:textId="3CF16C26" w:rsidR="00492554" w:rsidRDefault="00492554" w:rsidP="00492554">
      <w:pPr>
        <w:jc w:val="both"/>
      </w:pPr>
      <w:r w:rsidRPr="00492554">
        <w:t xml:space="preserve">Fonte: </w:t>
      </w:r>
      <w:r w:rsidR="00035FBF">
        <w:t>Moraes</w:t>
      </w:r>
      <w:r w:rsidRPr="00492554">
        <w:t xml:space="preserve">, </w:t>
      </w:r>
      <w:r w:rsidR="00035FBF">
        <w:t>2025</w:t>
      </w:r>
      <w:r w:rsidRPr="00492554">
        <w:t>.</w:t>
      </w:r>
    </w:p>
    <w:p w14:paraId="7C52D4C2" w14:textId="77777777" w:rsidR="00101E82" w:rsidRPr="00492554" w:rsidRDefault="00101E82" w:rsidP="00492554">
      <w:pPr>
        <w:jc w:val="both"/>
      </w:pPr>
    </w:p>
    <w:p w14:paraId="1B913D65" w14:textId="1AB102C0" w:rsidR="00101E82" w:rsidRDefault="00101E82" w:rsidP="00101E8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 COLETA DE DADOS</w:t>
      </w:r>
    </w:p>
    <w:p w14:paraId="36A14406" w14:textId="77777777" w:rsidR="00101E82" w:rsidRDefault="00101E82" w:rsidP="00101E8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</w:p>
    <w:p w14:paraId="6030C6BA" w14:textId="04B2E4FB" w:rsidR="00101E82" w:rsidRPr="00101E82" w:rsidRDefault="00101E82" w:rsidP="00101E8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101E82">
        <w:rPr>
          <w:sz w:val="24"/>
          <w:szCs w:val="24"/>
        </w:rPr>
        <w:lastRenderedPageBreak/>
        <w:t xml:space="preserve">Para a amostragem, foram implantadas sete parcelas permanentes de 25 m × 100 m (2.500 m²), distribuídas entre </w:t>
      </w:r>
      <w:r>
        <w:rPr>
          <w:sz w:val="24"/>
          <w:szCs w:val="24"/>
        </w:rPr>
        <w:t>3</w:t>
      </w:r>
      <w:r w:rsidRPr="00101E82">
        <w:rPr>
          <w:sz w:val="24"/>
          <w:szCs w:val="24"/>
        </w:rPr>
        <w:t xml:space="preserve"> em área diretamente influenciada pelo depósito de resíduos e </w:t>
      </w:r>
      <w:r>
        <w:rPr>
          <w:sz w:val="24"/>
          <w:szCs w:val="24"/>
        </w:rPr>
        <w:t>4</w:t>
      </w:r>
      <w:r w:rsidRPr="00101E82">
        <w:rPr>
          <w:sz w:val="24"/>
          <w:szCs w:val="24"/>
        </w:rPr>
        <w:t xml:space="preserve"> em áreas de controle. As parcelas sob influência foram dispostas em um raio de até 3 km do </w:t>
      </w:r>
      <w:r w:rsidR="00DF7CDB">
        <w:rPr>
          <w:sz w:val="24"/>
          <w:szCs w:val="24"/>
        </w:rPr>
        <w:t>lixão a céu aberto</w:t>
      </w:r>
      <w:r w:rsidRPr="00101E82">
        <w:rPr>
          <w:sz w:val="24"/>
          <w:szCs w:val="24"/>
        </w:rPr>
        <w:t xml:space="preserve">. Já as parcelas controle foram instaladas a uma distância entre 4,4 km e 15,2 km da área de descarte, selecionadas por não apresentarem histórico de exposição a resíduos </w:t>
      </w:r>
      <w:r w:rsidR="000E2FBC">
        <w:rPr>
          <w:sz w:val="24"/>
          <w:szCs w:val="24"/>
        </w:rPr>
        <w:t xml:space="preserve">sólidos urbanos </w:t>
      </w:r>
      <w:r w:rsidRPr="00101E82">
        <w:rPr>
          <w:sz w:val="24"/>
          <w:szCs w:val="24"/>
        </w:rPr>
        <w:t>ou contaminação significativa.</w:t>
      </w:r>
    </w:p>
    <w:p w14:paraId="4783B10F" w14:textId="690EB48F" w:rsidR="00101E82" w:rsidRPr="00101E82" w:rsidRDefault="00101E82" w:rsidP="00101E8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101E82">
        <w:rPr>
          <w:sz w:val="24"/>
          <w:szCs w:val="24"/>
        </w:rPr>
        <w:t>Dentro de cada parcela, a identificação de espécies florestais e palmeiras foi realizada por um parabotânico especializado. A medição incluiu todos os indivíduos arbóreos com DAP ≥ 4,7 cm. Foram coletadas amostras botânicas para confirmação taxonômica, com as exsicatas sendo depositadas no herbário da Universidade Federal Rural da Amazônia (UFRA). A padronização dos nomes científicos seguiu a plataforma Reflora – Plantas do Brasil (Flora do Brasil 2024-2025), baseando-se no sistema de classificação APG IV (2016).</w:t>
      </w:r>
    </w:p>
    <w:p w14:paraId="473FB3D0" w14:textId="222C54C2" w:rsidR="00101E82" w:rsidRDefault="00101E82" w:rsidP="00101E8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101E82">
        <w:rPr>
          <w:sz w:val="24"/>
          <w:szCs w:val="24"/>
        </w:rPr>
        <w:t>Para a análise comparativa entre as parcelas de controle e de impacto, foi calculado o Índice de Valor de Importância (IVI) para cada espécie. Este índice foi determinado a partir da média dos valores relativos de densidade, dominância e frequência (Eq. 1), seguindo a metodologia estabelecida por Curtis &amp; McIntosh (1951) e adaptada por Mueller-Dombois &amp; Ellenberg (1974).</w:t>
      </w:r>
    </w:p>
    <w:p w14:paraId="2C6982F2" w14:textId="77777777" w:rsidR="00101E82" w:rsidRDefault="00101E82" w:rsidP="00101E82">
      <w:pPr>
        <w:tabs>
          <w:tab w:val="left" w:pos="5340"/>
        </w:tabs>
        <w:jc w:val="both"/>
        <w:rPr>
          <w:sz w:val="24"/>
          <w:szCs w:val="24"/>
        </w:rPr>
      </w:pPr>
      <w:r w:rsidRPr="00566421">
        <w:rPr>
          <w:b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                                                IVI =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i/>
                <w:sz w:val="24"/>
                <w:szCs w:val="24"/>
              </w:rPr>
              <m:t>DR+DoR+FR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                                      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Eq. 1</m:t>
            </m:r>
          </m:e>
        </m:d>
      </m:oMath>
    </w:p>
    <w:p w14:paraId="12E9174C" w14:textId="77777777" w:rsidR="002E19C9" w:rsidRPr="00566421" w:rsidRDefault="002E19C9" w:rsidP="00101E82">
      <w:pPr>
        <w:tabs>
          <w:tab w:val="left" w:pos="5340"/>
        </w:tabs>
        <w:jc w:val="both"/>
        <w:rPr>
          <w:rFonts w:eastAsiaTheme="minorEastAsia"/>
          <w:bCs/>
          <w:i/>
          <w:sz w:val="24"/>
          <w:szCs w:val="24"/>
        </w:rPr>
      </w:pPr>
    </w:p>
    <w:p w14:paraId="66D135CF" w14:textId="77777777" w:rsidR="00101E82" w:rsidRDefault="00101E82" w:rsidP="00101E82">
      <w:pPr>
        <w:tabs>
          <w:tab w:val="left" w:pos="5340"/>
        </w:tabs>
        <w:jc w:val="both"/>
        <w:rPr>
          <w:rFonts w:ascii="Times" w:hAnsi="Times"/>
          <w:sz w:val="24"/>
          <w:szCs w:val="24"/>
        </w:rPr>
      </w:pPr>
      <w:r w:rsidRPr="5B2D53A3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 xml:space="preserve">Onde: </w:t>
      </w:r>
      <w:r w:rsidRPr="00FC6E55">
        <w:rPr>
          <w:rFonts w:ascii="Times" w:hAnsi="Times"/>
          <w:sz w:val="24"/>
          <w:szCs w:val="24"/>
        </w:rPr>
        <w:t>IVI = Índice de Valor de Importância</w:t>
      </w:r>
      <w:r>
        <w:rPr>
          <w:rFonts w:ascii="Times" w:hAnsi="Times"/>
          <w:sz w:val="24"/>
          <w:szCs w:val="24"/>
        </w:rPr>
        <w:t xml:space="preserve">; </w:t>
      </w:r>
      <w:r w:rsidRPr="00FC6E55">
        <w:rPr>
          <w:rFonts w:ascii="Times" w:hAnsi="Times"/>
          <w:sz w:val="24"/>
          <w:szCs w:val="24"/>
        </w:rPr>
        <w:t>DR = Densidade Relativa (%); DoR = Dominância Relativa (%); FR = Frequência Relativa (%).</w:t>
      </w:r>
    </w:p>
    <w:p w14:paraId="48DB3712" w14:textId="77777777" w:rsidR="002707C2" w:rsidRDefault="002707C2" w:rsidP="00101E82">
      <w:pPr>
        <w:tabs>
          <w:tab w:val="left" w:pos="5340"/>
        </w:tabs>
        <w:jc w:val="both"/>
        <w:rPr>
          <w:rFonts w:ascii="Times" w:hAnsi="Times"/>
          <w:sz w:val="24"/>
          <w:szCs w:val="24"/>
        </w:rPr>
      </w:pPr>
    </w:p>
    <w:p w14:paraId="5267EFBD" w14:textId="52C6E1DA" w:rsidR="002707C2" w:rsidRDefault="002707C2" w:rsidP="00101E82">
      <w:pPr>
        <w:tabs>
          <w:tab w:val="left" w:pos="5340"/>
        </w:tabs>
        <w:jc w:val="both"/>
        <w:rPr>
          <w:rFonts w:ascii="Times" w:hAnsi="Times"/>
          <w:sz w:val="24"/>
          <w:szCs w:val="24"/>
        </w:rPr>
      </w:pPr>
      <w:r w:rsidRPr="002707C2">
        <w:rPr>
          <w:rFonts w:ascii="Times" w:hAnsi="Times"/>
          <w:sz w:val="24"/>
          <w:szCs w:val="24"/>
        </w:rPr>
        <w:t>2.</w:t>
      </w:r>
      <w:r>
        <w:rPr>
          <w:rFonts w:ascii="Times" w:hAnsi="Times"/>
          <w:sz w:val="24"/>
          <w:szCs w:val="24"/>
        </w:rPr>
        <w:t>3</w:t>
      </w:r>
      <w:r w:rsidRPr="002707C2"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ANÁLISE</w:t>
      </w:r>
      <w:r w:rsidR="004B1BD4">
        <w:rPr>
          <w:rFonts w:ascii="Times" w:hAnsi="Times"/>
          <w:sz w:val="24"/>
          <w:szCs w:val="24"/>
        </w:rPr>
        <w:t xml:space="preserve"> DE DADOS</w:t>
      </w:r>
    </w:p>
    <w:p w14:paraId="3815BCFF" w14:textId="77777777" w:rsidR="001541E0" w:rsidRDefault="001541E0" w:rsidP="00101E82">
      <w:pPr>
        <w:tabs>
          <w:tab w:val="left" w:pos="5340"/>
        </w:tabs>
        <w:jc w:val="both"/>
        <w:rPr>
          <w:rFonts w:ascii="Times" w:hAnsi="Times"/>
          <w:sz w:val="24"/>
          <w:szCs w:val="24"/>
        </w:rPr>
      </w:pPr>
    </w:p>
    <w:p w14:paraId="51BE1B6D" w14:textId="66E6528C" w:rsidR="002707C2" w:rsidRDefault="000E21FC" w:rsidP="000E21FC">
      <w:pPr>
        <w:tabs>
          <w:tab w:val="left" w:pos="5340"/>
        </w:tabs>
        <w:spacing w:line="360" w:lineRule="auto"/>
        <w:ind w:firstLine="709"/>
        <w:jc w:val="both"/>
        <w:rPr>
          <w:rFonts w:ascii="Times" w:hAnsi="Times"/>
          <w:sz w:val="24"/>
          <w:szCs w:val="24"/>
        </w:rPr>
      </w:pPr>
      <w:r w:rsidRPr="000E21FC">
        <w:rPr>
          <w:rFonts w:ascii="Times" w:hAnsi="Times"/>
          <w:sz w:val="24"/>
          <w:szCs w:val="24"/>
        </w:rPr>
        <w:t xml:space="preserve">O processamento preliminar dos dados brutos </w:t>
      </w:r>
      <w:r>
        <w:rPr>
          <w:rFonts w:ascii="Times" w:hAnsi="Times"/>
          <w:sz w:val="24"/>
          <w:szCs w:val="24"/>
        </w:rPr>
        <w:t xml:space="preserve">e criação de tabela </w:t>
      </w:r>
      <w:r w:rsidRPr="000E21FC">
        <w:rPr>
          <w:rFonts w:ascii="Times" w:hAnsi="Times"/>
          <w:sz w:val="24"/>
          <w:szCs w:val="24"/>
        </w:rPr>
        <w:t>foi realizado no Microsoft Excel, versão 2021</w:t>
      </w:r>
      <w:r>
        <w:rPr>
          <w:rFonts w:ascii="Times" w:hAnsi="Times"/>
          <w:sz w:val="24"/>
          <w:szCs w:val="24"/>
        </w:rPr>
        <w:t>.</w:t>
      </w:r>
    </w:p>
    <w:p w14:paraId="45570972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641BDFB6" w14:textId="2455952A" w:rsidR="00101E82" w:rsidRDefault="003949CE" w:rsidP="00101E8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14F4D641" w14:textId="7CF11360" w:rsidR="00FE56FE" w:rsidRPr="00FE56FE" w:rsidRDefault="00FE56FE" w:rsidP="00FE56FE">
      <w:pPr>
        <w:tabs>
          <w:tab w:val="left" w:pos="5340"/>
        </w:tabs>
        <w:spacing w:line="360" w:lineRule="auto"/>
        <w:ind w:firstLine="709"/>
        <w:jc w:val="both"/>
        <w:rPr>
          <w:sz w:val="24"/>
          <w:szCs w:val="24"/>
        </w:rPr>
      </w:pPr>
      <w:r w:rsidRPr="00FE56FE">
        <w:rPr>
          <w:sz w:val="24"/>
          <w:szCs w:val="24"/>
        </w:rPr>
        <w:t xml:space="preserve">O inventário florístico registrou um total de 948 indivíduos (542 ind.ha⁻¹), distribuídos em 134 espécies e 43 famílias botânicas, com uma média de 134 indivíduos por parcela. Uma análise comparativa revela uma nítida dissimilaridade florística entre os ambientes. As parcelas </w:t>
      </w:r>
      <w:r w:rsidRPr="00FE56FE">
        <w:rPr>
          <w:sz w:val="24"/>
          <w:szCs w:val="24"/>
        </w:rPr>
        <w:lastRenderedPageBreak/>
        <w:t xml:space="preserve">de controle, distantes da influência do </w:t>
      </w:r>
      <w:r w:rsidR="000E2FBC">
        <w:rPr>
          <w:sz w:val="24"/>
          <w:szCs w:val="24"/>
        </w:rPr>
        <w:t>lixão a céu aberto</w:t>
      </w:r>
      <w:r w:rsidR="00622F27">
        <w:rPr>
          <w:sz w:val="24"/>
          <w:szCs w:val="24"/>
        </w:rPr>
        <w:t xml:space="preserve"> do município</w:t>
      </w:r>
      <w:r w:rsidRPr="00FE56FE">
        <w:rPr>
          <w:sz w:val="24"/>
          <w:szCs w:val="24"/>
        </w:rPr>
        <w:t xml:space="preserve">, apresentaram uma comunidade mais rica e diversa, com 730 indivíduos, 111 espécies e 40 famílias. Em contraste, as parcelas sob impacto, próximas ao depósito, registraram apenas 218 indivíduos, 49 espécies e 26 famílias. Esta expressiva redução na diversidade sugere um processo de empobrecimento florístico nas áreas influenciadas pela poluição, possivelmente associado a alterações edáficas ou toxicidade por contaminantes (Carvalho &amp; Szlafsztein, 2019; Mancino et al., 2022). A família Fabaceae foi a mais representativa em ambos os ambientes, com 28,5% de representatividade, reforçando sua ampla dominância e relevância ecológica nas florestas amazônicas (Morais et al., 2024; Myster, 2023). </w:t>
      </w:r>
    </w:p>
    <w:p w14:paraId="267C7F6F" w14:textId="3F25B31F" w:rsidR="00FE56FE" w:rsidRPr="00FE56FE" w:rsidRDefault="00FE56FE" w:rsidP="00FE56FE">
      <w:pPr>
        <w:tabs>
          <w:tab w:val="left" w:pos="5340"/>
        </w:tabs>
        <w:spacing w:line="360" w:lineRule="auto"/>
        <w:ind w:firstLine="709"/>
        <w:jc w:val="both"/>
        <w:rPr>
          <w:sz w:val="24"/>
          <w:szCs w:val="24"/>
        </w:rPr>
      </w:pPr>
      <w:r w:rsidRPr="00FE56FE">
        <w:rPr>
          <w:sz w:val="24"/>
          <w:szCs w:val="24"/>
        </w:rPr>
        <w:t xml:space="preserve">A composição e dominância das espécies também variaram marcadamente entre os tratamentos. Nas áreas impactadas, as espécies com maiores Índices de Valor de Importância (IVI) foram </w:t>
      </w:r>
      <w:r w:rsidRPr="00426789">
        <w:rPr>
          <w:i/>
          <w:iCs/>
          <w:sz w:val="24"/>
          <w:szCs w:val="24"/>
        </w:rPr>
        <w:t>Vatairea guianensis</w:t>
      </w:r>
      <w:r w:rsidRPr="00FE56FE">
        <w:rPr>
          <w:sz w:val="24"/>
          <w:szCs w:val="24"/>
        </w:rPr>
        <w:t xml:space="preserve"> (IVI = 48,5%) e </w:t>
      </w:r>
      <w:r w:rsidRPr="00426789">
        <w:rPr>
          <w:i/>
          <w:iCs/>
          <w:sz w:val="24"/>
          <w:szCs w:val="24"/>
        </w:rPr>
        <w:t>Taralea oppositifolia</w:t>
      </w:r>
      <w:r w:rsidRPr="00FE56FE">
        <w:rPr>
          <w:sz w:val="24"/>
          <w:szCs w:val="24"/>
        </w:rPr>
        <w:t xml:space="preserve"> (IVI = 37,0%), ambas Fabaceae, seguidas pela palmeira </w:t>
      </w:r>
      <w:r w:rsidRPr="00426789">
        <w:rPr>
          <w:i/>
          <w:iCs/>
          <w:sz w:val="24"/>
          <w:szCs w:val="24"/>
        </w:rPr>
        <w:t>Mauritia flexuosa</w:t>
      </w:r>
      <w:r w:rsidRPr="00FE56FE">
        <w:rPr>
          <w:sz w:val="24"/>
          <w:szCs w:val="24"/>
        </w:rPr>
        <w:t xml:space="preserve"> (IVI = 37,2%). Já no controle, a palmeira </w:t>
      </w:r>
      <w:r w:rsidRPr="00426789">
        <w:rPr>
          <w:i/>
          <w:iCs/>
          <w:sz w:val="24"/>
          <w:szCs w:val="24"/>
        </w:rPr>
        <w:t>Euterpe oleracea</w:t>
      </w:r>
      <w:r w:rsidRPr="00FE56FE">
        <w:rPr>
          <w:sz w:val="24"/>
          <w:szCs w:val="24"/>
        </w:rPr>
        <w:t xml:space="preserve"> (IVI = 7,9%) e </w:t>
      </w:r>
      <w:r w:rsidRPr="00426789">
        <w:rPr>
          <w:i/>
          <w:iCs/>
          <w:sz w:val="24"/>
          <w:szCs w:val="24"/>
        </w:rPr>
        <w:t>Symphonia globulifera</w:t>
      </w:r>
      <w:r w:rsidRPr="00FE56FE">
        <w:rPr>
          <w:sz w:val="24"/>
          <w:szCs w:val="24"/>
        </w:rPr>
        <w:t xml:space="preserve"> (IVI = 5,5%) foram as mais importantes, indicando uma substituição na estrutura da comunidade devido ao estresse ambiental. </w:t>
      </w:r>
    </w:p>
    <w:p w14:paraId="07C70EFE" w14:textId="77777777" w:rsidR="00FE56FE" w:rsidRDefault="00FE56FE" w:rsidP="00FE56FE">
      <w:pPr>
        <w:tabs>
          <w:tab w:val="left" w:pos="5340"/>
        </w:tabs>
        <w:spacing w:line="360" w:lineRule="auto"/>
        <w:ind w:firstLine="709"/>
        <w:jc w:val="both"/>
        <w:rPr>
          <w:sz w:val="24"/>
          <w:szCs w:val="24"/>
        </w:rPr>
      </w:pPr>
      <w:r w:rsidRPr="00FE56FE">
        <w:rPr>
          <w:sz w:val="24"/>
          <w:szCs w:val="24"/>
        </w:rPr>
        <w:t xml:space="preserve">Algumas espécies ocorreram em ambas as áreas, porém com desempenho ecológico notavelmente superior nas zonas impactadas. É o caso de </w:t>
      </w:r>
      <w:r w:rsidRPr="00426789">
        <w:rPr>
          <w:i/>
          <w:iCs/>
          <w:sz w:val="24"/>
          <w:szCs w:val="24"/>
        </w:rPr>
        <w:t>Tapirira guianensis</w:t>
      </w:r>
      <w:r w:rsidRPr="00FE56FE">
        <w:rPr>
          <w:sz w:val="24"/>
          <w:szCs w:val="24"/>
        </w:rPr>
        <w:t xml:space="preserve"> (IVI impacto = 25,4% vs. IVI controle = 3,0%) e </w:t>
      </w:r>
      <w:r w:rsidRPr="00426789">
        <w:rPr>
          <w:i/>
          <w:iCs/>
          <w:sz w:val="24"/>
          <w:szCs w:val="24"/>
        </w:rPr>
        <w:t>Macrolobium bifolium</w:t>
      </w:r>
      <w:r w:rsidRPr="00FE56FE">
        <w:rPr>
          <w:sz w:val="24"/>
          <w:szCs w:val="24"/>
        </w:rPr>
        <w:t xml:space="preserve"> (IVI impacto = 21,0% vs. IVI controle = 1,9%). A presença e alta dominância destas espécies, juntamente com </w:t>
      </w:r>
      <w:r w:rsidRPr="00426789">
        <w:rPr>
          <w:i/>
          <w:iCs/>
          <w:sz w:val="24"/>
          <w:szCs w:val="24"/>
        </w:rPr>
        <w:t>Mauritia flexuosa</w:t>
      </w:r>
      <w:r w:rsidRPr="00FE56FE">
        <w:rPr>
          <w:sz w:val="24"/>
          <w:szCs w:val="24"/>
        </w:rPr>
        <w:t xml:space="preserve"> e </w:t>
      </w:r>
      <w:r w:rsidRPr="00426789">
        <w:rPr>
          <w:i/>
          <w:iCs/>
          <w:sz w:val="24"/>
          <w:szCs w:val="24"/>
        </w:rPr>
        <w:t>Ormosia coutinhoi</w:t>
      </w:r>
      <w:r w:rsidRPr="00FE56FE">
        <w:rPr>
          <w:sz w:val="24"/>
          <w:szCs w:val="24"/>
        </w:rPr>
        <w:t xml:space="preserve"> em condições degradadas, demonstram sua elevada adaptação a ambientes perturbados. Tal resiliência as posiciona como facilitadoras da regeneração natural e, portanto, como elementos-chave para a recuperação de áreas degradadas na Amazônia (Silva et al., 2024; Júnior; Piedade; Schöngart, 2009; Gama; Ferreira; Jesus, 2020; Gomes et al., 2021; Alves et al., 2023). </w:t>
      </w:r>
    </w:p>
    <w:p w14:paraId="079F92C3" w14:textId="77777777" w:rsidR="00FE56FE" w:rsidRDefault="00FE56FE" w:rsidP="00FE56FE">
      <w:pPr>
        <w:tabs>
          <w:tab w:val="left" w:pos="5340"/>
        </w:tabs>
        <w:jc w:val="both"/>
        <w:rPr>
          <w:sz w:val="24"/>
          <w:szCs w:val="24"/>
        </w:rPr>
      </w:pPr>
    </w:p>
    <w:p w14:paraId="4FC56DA6" w14:textId="67360D1C" w:rsidR="00035FBF" w:rsidRPr="00035FBF" w:rsidRDefault="00035FBF" w:rsidP="00FE56FE">
      <w:pPr>
        <w:tabs>
          <w:tab w:val="left" w:pos="5340"/>
        </w:tabs>
        <w:jc w:val="both"/>
        <w:rPr>
          <w:rFonts w:ascii="Times" w:hAnsi="Times"/>
        </w:rPr>
      </w:pPr>
      <w:r w:rsidRPr="00035FBF">
        <w:rPr>
          <w:rFonts w:eastAsia="Aptos"/>
          <w:b/>
          <w:bCs/>
          <w:color w:val="000000"/>
          <w:kern w:val="2"/>
          <w14:ligatures w14:val="standardContextual"/>
        </w:rPr>
        <w:t>Tabela 1</w:t>
      </w:r>
      <w:r w:rsidRPr="00035FBF">
        <w:rPr>
          <w:rFonts w:eastAsia="Aptos"/>
          <w:color w:val="000000"/>
          <w:kern w:val="2"/>
          <w14:ligatures w14:val="standardContextual"/>
        </w:rPr>
        <w:t>. Índice de Valor de Importância (IVI) das espécies arbóreas nas áreas de controle e impacto d</w:t>
      </w:r>
      <w:r w:rsidR="00A23916">
        <w:rPr>
          <w:rFonts w:eastAsia="Aptos"/>
          <w:color w:val="000000"/>
          <w:kern w:val="2"/>
          <w14:ligatures w14:val="standardContextual"/>
        </w:rPr>
        <w:t xml:space="preserve">e </w:t>
      </w:r>
      <w:r w:rsidR="000E2FBC">
        <w:rPr>
          <w:rFonts w:eastAsia="Aptos"/>
          <w:color w:val="000000"/>
          <w:kern w:val="2"/>
          <w14:ligatures w14:val="standardContextual"/>
        </w:rPr>
        <w:t>r</w:t>
      </w:r>
      <w:r w:rsidRPr="00035FBF">
        <w:rPr>
          <w:rFonts w:eastAsia="Aptos"/>
          <w:color w:val="000000"/>
          <w:kern w:val="2"/>
          <w14:ligatures w14:val="standardContextual"/>
        </w:rPr>
        <w:t>esíduos</w:t>
      </w:r>
      <w:r w:rsidR="00622F27">
        <w:rPr>
          <w:rFonts w:eastAsia="Aptos"/>
          <w:color w:val="000000"/>
          <w:kern w:val="2"/>
          <w14:ligatures w14:val="standardContextual"/>
        </w:rPr>
        <w:t xml:space="preserve"> sólidos urbano</w:t>
      </w:r>
      <w:r w:rsidR="000E2FBC">
        <w:rPr>
          <w:rFonts w:eastAsia="Aptos"/>
          <w:color w:val="000000"/>
          <w:kern w:val="2"/>
          <w14:ligatures w14:val="standardContextual"/>
        </w:rPr>
        <w:t>s do lixão a céu aberto</w:t>
      </w:r>
      <w:r w:rsidRPr="00035FBF">
        <w:rPr>
          <w:rFonts w:eastAsia="Aptos"/>
          <w:color w:val="000000"/>
          <w:kern w:val="2"/>
          <w14:ligatures w14:val="standardContextual"/>
        </w:rPr>
        <w:t xml:space="preserve"> no município de Barcarena, Amazônia Oriental. DR = Densidade relativa; DoR = Dominância relativa; FR = Frequência relativa; IVI = Índice de Valor de Importância. Os valores foram calculados separadamente para as áreas de controle e impacto com base no levantamento florístico das parcelas permanentes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6"/>
        <w:gridCol w:w="1281"/>
        <w:gridCol w:w="1430"/>
        <w:gridCol w:w="1459"/>
        <w:gridCol w:w="1307"/>
        <w:gridCol w:w="1532"/>
      </w:tblGrid>
      <w:tr w:rsidR="00035FBF" w:rsidRPr="0028375A" w14:paraId="37204E56" w14:textId="77777777" w:rsidTr="006077F9">
        <w:trPr>
          <w:trHeight w:val="300"/>
        </w:trPr>
        <w:tc>
          <w:tcPr>
            <w:tcW w:w="1138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640C5E88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49937075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8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384E054E" w14:textId="77777777" w:rsidR="00035FBF" w:rsidRPr="0028375A" w:rsidRDefault="00035FBF" w:rsidP="006077F9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  <w:t>C</w:t>
            </w: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  <w:t>ontrole</w:t>
            </w:r>
          </w:p>
        </w:tc>
        <w:tc>
          <w:tcPr>
            <w:tcW w:w="804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242E6225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20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2277F2FF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44" w:type="pct"/>
            <w:tcBorders>
              <w:top w:val="single" w:sz="4" w:space="0" w:color="7F7F7F"/>
              <w:bottom w:val="dashed" w:sz="4" w:space="0" w:color="auto"/>
            </w:tcBorders>
            <w:noWrap/>
            <w:vAlign w:val="center"/>
          </w:tcPr>
          <w:p w14:paraId="6EB1D409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035FBF" w:rsidRPr="0028375A" w14:paraId="3AA67D05" w14:textId="77777777" w:rsidTr="006077F9">
        <w:trPr>
          <w:trHeight w:val="300"/>
        </w:trPr>
        <w:tc>
          <w:tcPr>
            <w:tcW w:w="1138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6A16D3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Espécie</w:t>
            </w:r>
          </w:p>
        </w:tc>
        <w:tc>
          <w:tcPr>
            <w:tcW w:w="706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FA97D6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 Família</w:t>
            </w:r>
          </w:p>
        </w:tc>
        <w:tc>
          <w:tcPr>
            <w:tcW w:w="788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9FB7E5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t>DR</w:t>
            </w:r>
            <w:r>
              <w:rPr>
                <w:b/>
                <w:bCs/>
                <w:color w:val="000000"/>
                <w:sz w:val="18"/>
                <w:szCs w:val="18"/>
                <w:lang w:eastAsia="pt-BR"/>
              </w:rPr>
              <w:t>(%)</w:t>
            </w:r>
          </w:p>
        </w:tc>
        <w:tc>
          <w:tcPr>
            <w:tcW w:w="804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5EAD26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t>DoR</w:t>
            </w:r>
            <w:r>
              <w:rPr>
                <w:b/>
                <w:bCs/>
                <w:color w:val="000000"/>
                <w:sz w:val="18"/>
                <w:szCs w:val="18"/>
                <w:lang w:eastAsia="pt-BR"/>
              </w:rPr>
              <w:t>(%)</w:t>
            </w:r>
          </w:p>
        </w:tc>
        <w:tc>
          <w:tcPr>
            <w:tcW w:w="720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25664B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t>FR</w:t>
            </w:r>
            <w:r>
              <w:rPr>
                <w:b/>
                <w:bCs/>
                <w:color w:val="000000"/>
                <w:sz w:val="18"/>
                <w:szCs w:val="18"/>
                <w:lang w:eastAsia="pt-BR"/>
              </w:rPr>
              <w:t>(%)</w:t>
            </w:r>
          </w:p>
        </w:tc>
        <w:tc>
          <w:tcPr>
            <w:tcW w:w="844" w:type="pct"/>
            <w:tcBorders>
              <w:top w:val="dashed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D21CC4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color w:val="000000"/>
                <w:sz w:val="18"/>
                <w:szCs w:val="18"/>
                <w:lang w:eastAsia="pt-BR"/>
              </w:rPr>
              <w:t>IVI</w:t>
            </w:r>
            <w:r>
              <w:rPr>
                <w:b/>
                <w:bCs/>
                <w:color w:val="000000"/>
                <w:sz w:val="18"/>
                <w:szCs w:val="18"/>
                <w:lang w:eastAsia="pt-BR"/>
              </w:rPr>
              <w:t>(%)</w:t>
            </w:r>
          </w:p>
        </w:tc>
      </w:tr>
      <w:tr w:rsidR="00035FBF" w:rsidRPr="0028375A" w14:paraId="19F4A3BB" w14:textId="77777777" w:rsidTr="006077F9">
        <w:trPr>
          <w:trHeight w:val="300"/>
        </w:trPr>
        <w:tc>
          <w:tcPr>
            <w:tcW w:w="11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016FF5C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Euterpe oleracea</w:t>
            </w:r>
          </w:p>
        </w:tc>
        <w:tc>
          <w:tcPr>
            <w:tcW w:w="7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D4F3E65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Arecaceae</w:t>
            </w:r>
          </w:p>
        </w:tc>
        <w:tc>
          <w:tcPr>
            <w:tcW w:w="78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197797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80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00DBFF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3,8</w:t>
            </w:r>
          </w:p>
        </w:tc>
        <w:tc>
          <w:tcPr>
            <w:tcW w:w="72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A8A0D9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1,8</w:t>
            </w:r>
          </w:p>
        </w:tc>
        <w:tc>
          <w:tcPr>
            <w:tcW w:w="8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D394AB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7,9</w:t>
            </w:r>
          </w:p>
        </w:tc>
      </w:tr>
      <w:tr w:rsidR="00035FBF" w:rsidRPr="0028375A" w14:paraId="7E6BCECA" w14:textId="77777777" w:rsidTr="006077F9">
        <w:trPr>
          <w:trHeight w:val="300"/>
        </w:trPr>
        <w:tc>
          <w:tcPr>
            <w:tcW w:w="1138" w:type="pct"/>
            <w:shd w:val="clear" w:color="auto" w:fill="E8E8E8"/>
            <w:noWrap/>
            <w:vAlign w:val="center"/>
            <w:hideMark/>
          </w:tcPr>
          <w:p w14:paraId="5939EE9C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Symphonia globulifera</w:t>
            </w:r>
          </w:p>
        </w:tc>
        <w:tc>
          <w:tcPr>
            <w:tcW w:w="706" w:type="pct"/>
            <w:shd w:val="clear" w:color="auto" w:fill="E8E8E8"/>
            <w:noWrap/>
            <w:vAlign w:val="center"/>
            <w:hideMark/>
          </w:tcPr>
          <w:p w14:paraId="1E83C0EC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Clusiaceae</w:t>
            </w:r>
          </w:p>
        </w:tc>
        <w:tc>
          <w:tcPr>
            <w:tcW w:w="788" w:type="pct"/>
            <w:shd w:val="clear" w:color="auto" w:fill="E8E8E8"/>
            <w:noWrap/>
            <w:vAlign w:val="center"/>
            <w:hideMark/>
          </w:tcPr>
          <w:p w14:paraId="3F8CE6F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6,2</w:t>
            </w:r>
          </w:p>
        </w:tc>
        <w:tc>
          <w:tcPr>
            <w:tcW w:w="804" w:type="pct"/>
            <w:shd w:val="clear" w:color="auto" w:fill="E8E8E8"/>
            <w:noWrap/>
            <w:vAlign w:val="center"/>
            <w:hideMark/>
          </w:tcPr>
          <w:p w14:paraId="1B8470C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7,8</w:t>
            </w:r>
          </w:p>
        </w:tc>
        <w:tc>
          <w:tcPr>
            <w:tcW w:w="720" w:type="pct"/>
            <w:shd w:val="clear" w:color="auto" w:fill="E8E8E8"/>
            <w:noWrap/>
            <w:vAlign w:val="center"/>
            <w:hideMark/>
          </w:tcPr>
          <w:p w14:paraId="42E7A29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2,4</w:t>
            </w:r>
          </w:p>
        </w:tc>
        <w:tc>
          <w:tcPr>
            <w:tcW w:w="844" w:type="pct"/>
            <w:shd w:val="clear" w:color="auto" w:fill="E8E8E8"/>
            <w:noWrap/>
            <w:vAlign w:val="center"/>
            <w:hideMark/>
          </w:tcPr>
          <w:p w14:paraId="4B545C7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5,5</w:t>
            </w:r>
          </w:p>
        </w:tc>
      </w:tr>
      <w:tr w:rsidR="00035FBF" w:rsidRPr="0028375A" w14:paraId="0A6BF093" w14:textId="77777777" w:rsidTr="006077F9">
        <w:trPr>
          <w:trHeight w:val="300"/>
        </w:trPr>
        <w:tc>
          <w:tcPr>
            <w:tcW w:w="1138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08E916DE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Ormosia coutinhoi</w:t>
            </w:r>
          </w:p>
        </w:tc>
        <w:tc>
          <w:tcPr>
            <w:tcW w:w="706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711F034F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4DCEE48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3,9</w:t>
            </w:r>
          </w:p>
        </w:tc>
        <w:tc>
          <w:tcPr>
            <w:tcW w:w="804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152238E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720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5CEDEDA7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2,4</w:t>
            </w:r>
          </w:p>
        </w:tc>
        <w:tc>
          <w:tcPr>
            <w:tcW w:w="844" w:type="pct"/>
            <w:tcBorders>
              <w:top w:val="single" w:sz="4" w:space="0" w:color="7F7F7F"/>
            </w:tcBorders>
            <w:noWrap/>
            <w:vAlign w:val="center"/>
            <w:hideMark/>
          </w:tcPr>
          <w:p w14:paraId="2EC3038C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5,1</w:t>
            </w:r>
          </w:p>
        </w:tc>
      </w:tr>
      <w:tr w:rsidR="00035FBF" w:rsidRPr="0028375A" w14:paraId="1601A818" w14:textId="77777777" w:rsidTr="006077F9">
        <w:trPr>
          <w:trHeight w:val="300"/>
        </w:trPr>
        <w:tc>
          <w:tcPr>
            <w:tcW w:w="1138" w:type="pct"/>
            <w:shd w:val="clear" w:color="auto" w:fill="E8E8E8"/>
            <w:noWrap/>
            <w:vAlign w:val="center"/>
            <w:hideMark/>
          </w:tcPr>
          <w:p w14:paraId="69F8DB4A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Virola surinamensis</w:t>
            </w:r>
          </w:p>
        </w:tc>
        <w:tc>
          <w:tcPr>
            <w:tcW w:w="706" w:type="pct"/>
            <w:shd w:val="clear" w:color="auto" w:fill="E8E8E8"/>
            <w:noWrap/>
            <w:vAlign w:val="center"/>
            <w:hideMark/>
          </w:tcPr>
          <w:p w14:paraId="0B01A650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Myristicaceae</w:t>
            </w:r>
          </w:p>
        </w:tc>
        <w:tc>
          <w:tcPr>
            <w:tcW w:w="788" w:type="pct"/>
            <w:shd w:val="clear" w:color="auto" w:fill="E8E8E8"/>
            <w:noWrap/>
            <w:vAlign w:val="center"/>
            <w:hideMark/>
          </w:tcPr>
          <w:p w14:paraId="59560B4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4,7</w:t>
            </w:r>
          </w:p>
        </w:tc>
        <w:tc>
          <w:tcPr>
            <w:tcW w:w="804" w:type="pct"/>
            <w:shd w:val="clear" w:color="auto" w:fill="E8E8E8"/>
            <w:noWrap/>
            <w:vAlign w:val="center"/>
            <w:hideMark/>
          </w:tcPr>
          <w:p w14:paraId="54FB6FD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6,7</w:t>
            </w:r>
          </w:p>
        </w:tc>
        <w:tc>
          <w:tcPr>
            <w:tcW w:w="720" w:type="pct"/>
            <w:shd w:val="clear" w:color="auto" w:fill="E8E8E8"/>
            <w:noWrap/>
            <w:vAlign w:val="center"/>
            <w:hideMark/>
          </w:tcPr>
          <w:p w14:paraId="4CFD9AA3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2,4</w:t>
            </w:r>
          </w:p>
        </w:tc>
        <w:tc>
          <w:tcPr>
            <w:tcW w:w="844" w:type="pct"/>
            <w:shd w:val="clear" w:color="auto" w:fill="E8E8E8"/>
            <w:noWrap/>
            <w:vAlign w:val="center"/>
            <w:hideMark/>
          </w:tcPr>
          <w:p w14:paraId="382246C4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4,6</w:t>
            </w:r>
          </w:p>
        </w:tc>
      </w:tr>
      <w:tr w:rsidR="00035FBF" w:rsidRPr="0028375A" w14:paraId="7C41251E" w14:textId="77777777" w:rsidTr="006077F9">
        <w:trPr>
          <w:trHeight w:val="300"/>
        </w:trPr>
        <w:tc>
          <w:tcPr>
            <w:tcW w:w="1138" w:type="pct"/>
            <w:noWrap/>
            <w:vAlign w:val="center"/>
            <w:hideMark/>
          </w:tcPr>
          <w:p w14:paraId="589A60DB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Mauritia flexuosa</w:t>
            </w:r>
          </w:p>
        </w:tc>
        <w:tc>
          <w:tcPr>
            <w:tcW w:w="706" w:type="pct"/>
            <w:noWrap/>
            <w:vAlign w:val="center"/>
            <w:hideMark/>
          </w:tcPr>
          <w:p w14:paraId="35829DFB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Arecaceae</w:t>
            </w:r>
          </w:p>
        </w:tc>
        <w:tc>
          <w:tcPr>
            <w:tcW w:w="788" w:type="pct"/>
            <w:noWrap/>
            <w:vAlign w:val="center"/>
            <w:hideMark/>
          </w:tcPr>
          <w:p w14:paraId="6EF379A7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1,7</w:t>
            </w:r>
          </w:p>
        </w:tc>
        <w:tc>
          <w:tcPr>
            <w:tcW w:w="804" w:type="pct"/>
            <w:noWrap/>
            <w:vAlign w:val="center"/>
            <w:hideMark/>
          </w:tcPr>
          <w:p w14:paraId="0D8EE2D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7,4</w:t>
            </w:r>
          </w:p>
        </w:tc>
        <w:tc>
          <w:tcPr>
            <w:tcW w:w="720" w:type="pct"/>
            <w:noWrap/>
            <w:vAlign w:val="center"/>
            <w:hideMark/>
          </w:tcPr>
          <w:p w14:paraId="3DA156F4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1,2</w:t>
            </w:r>
          </w:p>
        </w:tc>
        <w:tc>
          <w:tcPr>
            <w:tcW w:w="844" w:type="pct"/>
            <w:noWrap/>
            <w:vAlign w:val="center"/>
            <w:hideMark/>
          </w:tcPr>
          <w:p w14:paraId="7191AA5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3,4</w:t>
            </w:r>
          </w:p>
        </w:tc>
      </w:tr>
      <w:tr w:rsidR="00035FBF" w:rsidRPr="0028375A" w14:paraId="5D1DF5C9" w14:textId="77777777" w:rsidTr="006077F9">
        <w:trPr>
          <w:trHeight w:val="300"/>
        </w:trPr>
        <w:tc>
          <w:tcPr>
            <w:tcW w:w="1138" w:type="pct"/>
            <w:shd w:val="clear" w:color="auto" w:fill="E8E8E8"/>
            <w:noWrap/>
            <w:vAlign w:val="center"/>
            <w:hideMark/>
          </w:tcPr>
          <w:p w14:paraId="6A39FBCA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Eschweilera coriacea</w:t>
            </w:r>
          </w:p>
        </w:tc>
        <w:tc>
          <w:tcPr>
            <w:tcW w:w="706" w:type="pct"/>
            <w:shd w:val="clear" w:color="auto" w:fill="E8E8E8"/>
            <w:noWrap/>
            <w:vAlign w:val="center"/>
            <w:hideMark/>
          </w:tcPr>
          <w:p w14:paraId="4D7D5304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Lecythidaceae</w:t>
            </w:r>
          </w:p>
        </w:tc>
        <w:tc>
          <w:tcPr>
            <w:tcW w:w="788" w:type="pct"/>
            <w:shd w:val="clear" w:color="auto" w:fill="E8E8E8"/>
            <w:noWrap/>
            <w:vAlign w:val="center"/>
            <w:hideMark/>
          </w:tcPr>
          <w:p w14:paraId="5BE6AA1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4,5</w:t>
            </w:r>
          </w:p>
        </w:tc>
        <w:tc>
          <w:tcPr>
            <w:tcW w:w="804" w:type="pct"/>
            <w:shd w:val="clear" w:color="auto" w:fill="E8E8E8"/>
            <w:noWrap/>
            <w:vAlign w:val="center"/>
            <w:hideMark/>
          </w:tcPr>
          <w:p w14:paraId="3B1885A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2,8</w:t>
            </w:r>
          </w:p>
        </w:tc>
        <w:tc>
          <w:tcPr>
            <w:tcW w:w="720" w:type="pct"/>
            <w:shd w:val="clear" w:color="auto" w:fill="E8E8E8"/>
            <w:noWrap/>
            <w:vAlign w:val="center"/>
            <w:hideMark/>
          </w:tcPr>
          <w:p w14:paraId="36CB57B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1,8</w:t>
            </w:r>
          </w:p>
        </w:tc>
        <w:tc>
          <w:tcPr>
            <w:tcW w:w="844" w:type="pct"/>
            <w:shd w:val="clear" w:color="auto" w:fill="E8E8E8"/>
            <w:noWrap/>
            <w:vAlign w:val="center"/>
            <w:hideMark/>
          </w:tcPr>
          <w:p w14:paraId="31EFF1D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035FBF" w:rsidRPr="0028375A" w14:paraId="3062C723" w14:textId="77777777" w:rsidTr="006077F9">
        <w:trPr>
          <w:trHeight w:val="300"/>
        </w:trPr>
        <w:tc>
          <w:tcPr>
            <w:tcW w:w="1138" w:type="pct"/>
            <w:noWrap/>
            <w:vAlign w:val="center"/>
            <w:hideMark/>
          </w:tcPr>
          <w:p w14:paraId="616B05B2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Pentaclethra macroloba</w:t>
            </w:r>
          </w:p>
        </w:tc>
        <w:tc>
          <w:tcPr>
            <w:tcW w:w="706" w:type="pct"/>
            <w:noWrap/>
            <w:vAlign w:val="center"/>
            <w:hideMark/>
          </w:tcPr>
          <w:p w14:paraId="61C66A29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noWrap/>
            <w:vAlign w:val="center"/>
            <w:hideMark/>
          </w:tcPr>
          <w:p w14:paraId="13E3815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4,5</w:t>
            </w:r>
          </w:p>
        </w:tc>
        <w:tc>
          <w:tcPr>
            <w:tcW w:w="804" w:type="pct"/>
            <w:noWrap/>
            <w:vAlign w:val="center"/>
            <w:hideMark/>
          </w:tcPr>
          <w:p w14:paraId="19E57CF0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3,3</w:t>
            </w:r>
          </w:p>
        </w:tc>
        <w:tc>
          <w:tcPr>
            <w:tcW w:w="720" w:type="pct"/>
            <w:noWrap/>
            <w:vAlign w:val="center"/>
            <w:hideMark/>
          </w:tcPr>
          <w:p w14:paraId="13F6BB9D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1,2</w:t>
            </w:r>
          </w:p>
        </w:tc>
        <w:tc>
          <w:tcPr>
            <w:tcW w:w="844" w:type="pct"/>
            <w:noWrap/>
            <w:vAlign w:val="center"/>
            <w:hideMark/>
          </w:tcPr>
          <w:p w14:paraId="7B8820E4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035FBF" w:rsidRPr="0028375A" w14:paraId="482AA74F" w14:textId="77777777" w:rsidTr="006077F9">
        <w:trPr>
          <w:trHeight w:val="300"/>
        </w:trPr>
        <w:tc>
          <w:tcPr>
            <w:tcW w:w="1138" w:type="pct"/>
            <w:shd w:val="clear" w:color="auto" w:fill="E8E8E8"/>
            <w:noWrap/>
            <w:vAlign w:val="center"/>
            <w:hideMark/>
          </w:tcPr>
          <w:p w14:paraId="587E4A60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Tapirira guianensis</w:t>
            </w:r>
          </w:p>
        </w:tc>
        <w:tc>
          <w:tcPr>
            <w:tcW w:w="706" w:type="pct"/>
            <w:shd w:val="clear" w:color="auto" w:fill="E8E8E8"/>
            <w:noWrap/>
            <w:vAlign w:val="center"/>
            <w:hideMark/>
          </w:tcPr>
          <w:p w14:paraId="7FF83BB5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Anacardiaceae</w:t>
            </w:r>
          </w:p>
        </w:tc>
        <w:tc>
          <w:tcPr>
            <w:tcW w:w="788" w:type="pct"/>
            <w:shd w:val="clear" w:color="auto" w:fill="E8E8E8"/>
            <w:noWrap/>
            <w:vAlign w:val="center"/>
            <w:hideMark/>
          </w:tcPr>
          <w:p w14:paraId="7117921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2,9</w:t>
            </w:r>
          </w:p>
        </w:tc>
        <w:tc>
          <w:tcPr>
            <w:tcW w:w="804" w:type="pct"/>
            <w:shd w:val="clear" w:color="auto" w:fill="E8E8E8"/>
            <w:noWrap/>
            <w:vAlign w:val="center"/>
            <w:hideMark/>
          </w:tcPr>
          <w:p w14:paraId="304CD952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4,3</w:t>
            </w:r>
          </w:p>
        </w:tc>
        <w:tc>
          <w:tcPr>
            <w:tcW w:w="720" w:type="pct"/>
            <w:shd w:val="clear" w:color="auto" w:fill="E8E8E8"/>
            <w:noWrap/>
            <w:vAlign w:val="center"/>
            <w:hideMark/>
          </w:tcPr>
          <w:p w14:paraId="0F39EB98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1,8</w:t>
            </w:r>
          </w:p>
        </w:tc>
        <w:tc>
          <w:tcPr>
            <w:tcW w:w="844" w:type="pct"/>
            <w:shd w:val="clear" w:color="auto" w:fill="E8E8E8"/>
            <w:noWrap/>
            <w:vAlign w:val="center"/>
            <w:hideMark/>
          </w:tcPr>
          <w:p w14:paraId="3C0FE0A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035FBF" w:rsidRPr="0028375A" w14:paraId="2A525892" w14:textId="77777777" w:rsidTr="006077F9">
        <w:trPr>
          <w:trHeight w:val="300"/>
        </w:trPr>
        <w:tc>
          <w:tcPr>
            <w:tcW w:w="1138" w:type="pct"/>
            <w:noWrap/>
            <w:vAlign w:val="center"/>
            <w:hideMark/>
          </w:tcPr>
          <w:p w14:paraId="27615B77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Vochysia maxima</w:t>
            </w:r>
          </w:p>
        </w:tc>
        <w:tc>
          <w:tcPr>
            <w:tcW w:w="706" w:type="pct"/>
            <w:noWrap/>
            <w:vAlign w:val="center"/>
            <w:hideMark/>
          </w:tcPr>
          <w:p w14:paraId="5CFEAEEF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Vochysiaceae</w:t>
            </w:r>
          </w:p>
        </w:tc>
        <w:tc>
          <w:tcPr>
            <w:tcW w:w="788" w:type="pct"/>
            <w:noWrap/>
            <w:vAlign w:val="center"/>
            <w:hideMark/>
          </w:tcPr>
          <w:p w14:paraId="3189E45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1,2</w:t>
            </w:r>
          </w:p>
        </w:tc>
        <w:tc>
          <w:tcPr>
            <w:tcW w:w="804" w:type="pct"/>
            <w:noWrap/>
            <w:vAlign w:val="center"/>
            <w:hideMark/>
          </w:tcPr>
          <w:p w14:paraId="1209851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4,2</w:t>
            </w:r>
          </w:p>
        </w:tc>
        <w:tc>
          <w:tcPr>
            <w:tcW w:w="720" w:type="pct"/>
            <w:noWrap/>
            <w:vAlign w:val="center"/>
            <w:hideMark/>
          </w:tcPr>
          <w:p w14:paraId="1243B8FF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1,8</w:t>
            </w:r>
          </w:p>
        </w:tc>
        <w:tc>
          <w:tcPr>
            <w:tcW w:w="844" w:type="pct"/>
            <w:noWrap/>
            <w:vAlign w:val="center"/>
            <w:hideMark/>
          </w:tcPr>
          <w:p w14:paraId="4B1CC8DB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2,4</w:t>
            </w:r>
          </w:p>
        </w:tc>
      </w:tr>
      <w:tr w:rsidR="00035FBF" w:rsidRPr="0028375A" w14:paraId="7EA71A77" w14:textId="77777777" w:rsidTr="006077F9">
        <w:trPr>
          <w:trHeight w:val="300"/>
        </w:trPr>
        <w:tc>
          <w:tcPr>
            <w:tcW w:w="1138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341C98CE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Macrolobium bifolium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481EE06A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63942A9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2,5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46327B6F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2,1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19B61AFB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1,2</w:t>
            </w:r>
          </w:p>
        </w:tc>
        <w:tc>
          <w:tcPr>
            <w:tcW w:w="844" w:type="pct"/>
            <w:tcBorders>
              <w:bottom w:val="single" w:sz="4" w:space="0" w:color="auto"/>
            </w:tcBorders>
            <w:shd w:val="clear" w:color="auto" w:fill="E8E8E8"/>
            <w:noWrap/>
            <w:vAlign w:val="center"/>
            <w:hideMark/>
          </w:tcPr>
          <w:p w14:paraId="7A35D7DC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1,9</w:t>
            </w:r>
          </w:p>
        </w:tc>
      </w:tr>
      <w:tr w:rsidR="00035FBF" w:rsidRPr="0028375A" w14:paraId="02A7ABEE" w14:textId="77777777" w:rsidTr="006077F9">
        <w:trPr>
          <w:trHeight w:val="300"/>
        </w:trPr>
        <w:tc>
          <w:tcPr>
            <w:tcW w:w="1138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6BAF37B2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3BF89A3B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8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4B4198EF" w14:textId="77777777" w:rsidR="00035FBF" w:rsidRPr="0028375A" w:rsidRDefault="00035FBF" w:rsidP="006077F9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  <w:t>I</w:t>
            </w: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pt-BR"/>
              </w:rPr>
              <w:t>mpacto</w:t>
            </w:r>
          </w:p>
        </w:tc>
        <w:tc>
          <w:tcPr>
            <w:tcW w:w="804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2E94D7F3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1F2D57ED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44" w:type="pct"/>
            <w:tcBorders>
              <w:top w:val="single" w:sz="4" w:space="0" w:color="auto"/>
              <w:bottom w:val="dashed" w:sz="4" w:space="0" w:color="auto"/>
            </w:tcBorders>
            <w:shd w:val="clear" w:color="auto" w:fill="FFFFFF"/>
            <w:noWrap/>
            <w:vAlign w:val="center"/>
          </w:tcPr>
          <w:p w14:paraId="2992DFFD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035FBF" w:rsidRPr="0028375A" w14:paraId="72FF2EF7" w14:textId="77777777" w:rsidTr="006077F9">
        <w:trPr>
          <w:trHeight w:val="300"/>
        </w:trPr>
        <w:tc>
          <w:tcPr>
            <w:tcW w:w="1138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757B73B8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Vatairea guianensis</w:t>
            </w:r>
          </w:p>
        </w:tc>
        <w:tc>
          <w:tcPr>
            <w:tcW w:w="706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1C1344C5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2A420BC4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15,6</w:t>
            </w:r>
          </w:p>
        </w:tc>
        <w:tc>
          <w:tcPr>
            <w:tcW w:w="804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42CA1BA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720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5E9360A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844" w:type="pct"/>
            <w:tcBorders>
              <w:top w:val="dashed" w:sz="4" w:space="0" w:color="auto"/>
              <w:bottom w:val="nil"/>
            </w:tcBorders>
            <w:shd w:val="clear" w:color="auto" w:fill="E8E8E8"/>
            <w:noWrap/>
            <w:vAlign w:val="center"/>
          </w:tcPr>
          <w:p w14:paraId="56F0E7F3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48,5</w:t>
            </w:r>
          </w:p>
        </w:tc>
      </w:tr>
      <w:tr w:rsidR="00035FBF" w:rsidRPr="0028375A" w14:paraId="4F49F305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noWrap/>
            <w:vAlign w:val="center"/>
          </w:tcPr>
          <w:p w14:paraId="42B9A3D4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Mauritia flexuosa</w:t>
            </w:r>
          </w:p>
        </w:tc>
        <w:tc>
          <w:tcPr>
            <w:tcW w:w="706" w:type="pct"/>
            <w:tcBorders>
              <w:top w:val="nil"/>
              <w:bottom w:val="nil"/>
            </w:tcBorders>
            <w:noWrap/>
            <w:vAlign w:val="center"/>
          </w:tcPr>
          <w:p w14:paraId="66CEDDA5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Arecaceae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noWrap/>
            <w:vAlign w:val="center"/>
          </w:tcPr>
          <w:p w14:paraId="2919F6C8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2,8</w:t>
            </w:r>
          </w:p>
        </w:tc>
        <w:tc>
          <w:tcPr>
            <w:tcW w:w="804" w:type="pct"/>
            <w:tcBorders>
              <w:top w:val="nil"/>
              <w:bottom w:val="nil"/>
            </w:tcBorders>
            <w:noWrap/>
            <w:vAlign w:val="center"/>
          </w:tcPr>
          <w:p w14:paraId="641D2973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8,8</w:t>
            </w:r>
          </w:p>
        </w:tc>
        <w:tc>
          <w:tcPr>
            <w:tcW w:w="720" w:type="pct"/>
            <w:tcBorders>
              <w:top w:val="nil"/>
              <w:bottom w:val="nil"/>
            </w:tcBorders>
            <w:noWrap/>
            <w:vAlign w:val="center"/>
          </w:tcPr>
          <w:p w14:paraId="4DCC15F7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844" w:type="pct"/>
            <w:tcBorders>
              <w:top w:val="nil"/>
              <w:bottom w:val="nil"/>
            </w:tcBorders>
            <w:noWrap/>
            <w:vAlign w:val="center"/>
          </w:tcPr>
          <w:p w14:paraId="297381D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37,2</w:t>
            </w:r>
          </w:p>
        </w:tc>
      </w:tr>
      <w:tr w:rsidR="00035FBF" w:rsidRPr="0028375A" w14:paraId="51320D59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62FCEAB2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Taralea oppositifolia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1BC48D60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5E706621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20,6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190ADA0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15,5</w:t>
            </w:r>
          </w:p>
        </w:tc>
        <w:tc>
          <w:tcPr>
            <w:tcW w:w="720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505C0B4C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62A55FF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035FBF" w:rsidRPr="0028375A" w14:paraId="4169A9F6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noWrap/>
            <w:vAlign w:val="center"/>
          </w:tcPr>
          <w:p w14:paraId="0836F6F6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Ormosia coutinhoi</w:t>
            </w:r>
          </w:p>
        </w:tc>
        <w:tc>
          <w:tcPr>
            <w:tcW w:w="706" w:type="pct"/>
            <w:tcBorders>
              <w:top w:val="nil"/>
              <w:bottom w:val="nil"/>
            </w:tcBorders>
            <w:noWrap/>
            <w:vAlign w:val="center"/>
          </w:tcPr>
          <w:p w14:paraId="3FACF6DC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noWrap/>
            <w:vAlign w:val="center"/>
          </w:tcPr>
          <w:p w14:paraId="6987384D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2,8</w:t>
            </w:r>
          </w:p>
        </w:tc>
        <w:tc>
          <w:tcPr>
            <w:tcW w:w="804" w:type="pct"/>
            <w:tcBorders>
              <w:top w:val="nil"/>
              <w:bottom w:val="nil"/>
            </w:tcBorders>
            <w:noWrap/>
            <w:vAlign w:val="center"/>
          </w:tcPr>
          <w:p w14:paraId="0387CEC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1,6</w:t>
            </w:r>
          </w:p>
        </w:tc>
        <w:tc>
          <w:tcPr>
            <w:tcW w:w="720" w:type="pct"/>
            <w:tcBorders>
              <w:top w:val="nil"/>
              <w:bottom w:val="nil"/>
            </w:tcBorders>
            <w:noWrap/>
            <w:vAlign w:val="center"/>
          </w:tcPr>
          <w:p w14:paraId="0C142B8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noWrap/>
            <w:vAlign w:val="center"/>
          </w:tcPr>
          <w:p w14:paraId="7CD6398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26,4</w:t>
            </w:r>
          </w:p>
        </w:tc>
      </w:tr>
      <w:tr w:rsidR="00035FBF" w:rsidRPr="0028375A" w14:paraId="12EC59BB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0DAA2BF2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Hydrochorea corymbosa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546493C4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3185B087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2,8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0D1FB37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1,3</w:t>
            </w:r>
          </w:p>
        </w:tc>
        <w:tc>
          <w:tcPr>
            <w:tcW w:w="720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429F5475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577E07F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26,4</w:t>
            </w:r>
          </w:p>
        </w:tc>
      </w:tr>
      <w:tr w:rsidR="00035FBF" w:rsidRPr="0028375A" w14:paraId="4916F48A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noWrap/>
            <w:vAlign w:val="center"/>
          </w:tcPr>
          <w:p w14:paraId="103B1C80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Attalea maripa</w:t>
            </w:r>
          </w:p>
        </w:tc>
        <w:tc>
          <w:tcPr>
            <w:tcW w:w="706" w:type="pct"/>
            <w:tcBorders>
              <w:top w:val="nil"/>
              <w:bottom w:val="nil"/>
            </w:tcBorders>
            <w:noWrap/>
            <w:vAlign w:val="center"/>
          </w:tcPr>
          <w:p w14:paraId="46C10B81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Arecaceae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noWrap/>
            <w:vAlign w:val="center"/>
          </w:tcPr>
          <w:p w14:paraId="76E325C2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1,4</w:t>
            </w:r>
          </w:p>
        </w:tc>
        <w:tc>
          <w:tcPr>
            <w:tcW w:w="804" w:type="pct"/>
            <w:tcBorders>
              <w:top w:val="nil"/>
              <w:bottom w:val="nil"/>
            </w:tcBorders>
            <w:noWrap/>
            <w:vAlign w:val="center"/>
          </w:tcPr>
          <w:p w14:paraId="032C71C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1,6</w:t>
            </w:r>
          </w:p>
        </w:tc>
        <w:tc>
          <w:tcPr>
            <w:tcW w:w="720" w:type="pct"/>
            <w:tcBorders>
              <w:top w:val="nil"/>
              <w:bottom w:val="nil"/>
            </w:tcBorders>
            <w:noWrap/>
            <w:vAlign w:val="center"/>
          </w:tcPr>
          <w:p w14:paraId="5B157AC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noWrap/>
            <w:vAlign w:val="center"/>
          </w:tcPr>
          <w:p w14:paraId="62148AA0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035FBF" w:rsidRPr="0028375A" w14:paraId="67129DFF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10B038DD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Inga alba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53822AE2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43B40D92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0,9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6D79825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720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698A1773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1B27A81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25,6</w:t>
            </w:r>
          </w:p>
        </w:tc>
      </w:tr>
      <w:tr w:rsidR="00035FBF" w:rsidRPr="0028375A" w14:paraId="4D46E56A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noWrap/>
            <w:vAlign w:val="center"/>
          </w:tcPr>
          <w:p w14:paraId="504438A5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Vochysia vismiifolia</w:t>
            </w:r>
          </w:p>
        </w:tc>
        <w:tc>
          <w:tcPr>
            <w:tcW w:w="706" w:type="pct"/>
            <w:tcBorders>
              <w:top w:val="nil"/>
              <w:bottom w:val="nil"/>
            </w:tcBorders>
            <w:noWrap/>
            <w:vAlign w:val="center"/>
          </w:tcPr>
          <w:p w14:paraId="643DF931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Vochysiaceae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noWrap/>
            <w:vAlign w:val="center"/>
          </w:tcPr>
          <w:p w14:paraId="388DB22E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1,4</w:t>
            </w:r>
          </w:p>
        </w:tc>
        <w:tc>
          <w:tcPr>
            <w:tcW w:w="804" w:type="pct"/>
            <w:tcBorders>
              <w:top w:val="nil"/>
              <w:bottom w:val="nil"/>
            </w:tcBorders>
            <w:noWrap/>
            <w:vAlign w:val="center"/>
          </w:tcPr>
          <w:p w14:paraId="2EF95F56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0,4</w:t>
            </w:r>
          </w:p>
        </w:tc>
        <w:tc>
          <w:tcPr>
            <w:tcW w:w="720" w:type="pct"/>
            <w:tcBorders>
              <w:top w:val="nil"/>
              <w:bottom w:val="nil"/>
            </w:tcBorders>
            <w:noWrap/>
            <w:vAlign w:val="center"/>
          </w:tcPr>
          <w:p w14:paraId="2FCB2AC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noWrap/>
            <w:vAlign w:val="center"/>
          </w:tcPr>
          <w:p w14:paraId="2035DC08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25,6</w:t>
            </w:r>
          </w:p>
        </w:tc>
      </w:tr>
      <w:tr w:rsidR="00035FBF" w:rsidRPr="0028375A" w14:paraId="568289AC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33DBEA6D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Tapirira guianensis</w:t>
            </w:r>
          </w:p>
        </w:tc>
        <w:tc>
          <w:tcPr>
            <w:tcW w:w="706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16BD260D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Anacardiaceae</w:t>
            </w:r>
          </w:p>
        </w:tc>
        <w:tc>
          <w:tcPr>
            <w:tcW w:w="788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1697B04" w14:textId="77777777" w:rsidR="00035FBF" w:rsidRPr="0028375A" w:rsidRDefault="00035FBF" w:rsidP="006077F9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0,9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76A12E6D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0,3</w:t>
            </w:r>
          </w:p>
        </w:tc>
        <w:tc>
          <w:tcPr>
            <w:tcW w:w="720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207F140B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844" w:type="pct"/>
            <w:tcBorders>
              <w:top w:val="nil"/>
              <w:bottom w:val="nil"/>
            </w:tcBorders>
            <w:shd w:val="clear" w:color="auto" w:fill="E8E8E8"/>
            <w:noWrap/>
            <w:vAlign w:val="center"/>
          </w:tcPr>
          <w:p w14:paraId="4630BAFE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25,4</w:t>
            </w:r>
          </w:p>
        </w:tc>
      </w:tr>
      <w:tr w:rsidR="00035FBF" w:rsidRPr="0028375A" w14:paraId="7C8691DD" w14:textId="77777777" w:rsidTr="006077F9">
        <w:trPr>
          <w:trHeight w:val="300"/>
        </w:trPr>
        <w:tc>
          <w:tcPr>
            <w:tcW w:w="1138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68E87ECC" w14:textId="77777777" w:rsidR="00035FBF" w:rsidRPr="0028375A" w:rsidRDefault="00035FBF" w:rsidP="006077F9">
            <w:pPr>
              <w:rPr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i/>
                <w:iCs/>
                <w:color w:val="000000"/>
                <w:sz w:val="18"/>
                <w:szCs w:val="18"/>
                <w:lang w:eastAsia="pt-BR"/>
              </w:rPr>
              <w:t>Macrolobium bifolium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3A5546DB" w14:textId="77777777" w:rsidR="00035FBF" w:rsidRPr="0028375A" w:rsidRDefault="00035FBF" w:rsidP="006077F9">
            <w:pPr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Fabaceae</w:t>
            </w:r>
          </w:p>
        </w:tc>
        <w:tc>
          <w:tcPr>
            <w:tcW w:w="788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48C04DD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7,8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3AA3932A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5,3</w:t>
            </w:r>
          </w:p>
        </w:tc>
        <w:tc>
          <w:tcPr>
            <w:tcW w:w="720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305175EB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844" w:type="pct"/>
            <w:tcBorders>
              <w:top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40259309" w14:textId="77777777" w:rsidR="00035FBF" w:rsidRPr="0028375A" w:rsidRDefault="00035FBF" w:rsidP="006077F9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28375A">
              <w:rPr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</w:tbl>
    <w:p w14:paraId="087E438F" w14:textId="3DD2119D" w:rsidR="003949CE" w:rsidRPr="00035FBF" w:rsidRDefault="00035FBF" w:rsidP="00035FB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  <w:r>
        <w:t>Fonte:</w:t>
      </w:r>
      <w:r>
        <w:rPr>
          <w:b/>
        </w:rPr>
        <w:t xml:space="preserve"> </w:t>
      </w:r>
      <w:r>
        <w:t>Moraes et al. (2025).</w:t>
      </w:r>
    </w:p>
    <w:p w14:paraId="05746633" w14:textId="7A601C43" w:rsidR="003949CE" w:rsidRDefault="003949CE" w:rsidP="00FE56FE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14:paraId="520D92B9" w14:textId="70E2D409" w:rsidR="00557224" w:rsidRDefault="004C1C5A" w:rsidP="00557224">
      <w:pPr>
        <w:widowControl/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4C1C5A">
        <w:rPr>
          <w:bCs/>
          <w:sz w:val="24"/>
          <w:szCs w:val="24"/>
        </w:rPr>
        <w:t xml:space="preserve">Os resultados demonstram que o </w:t>
      </w:r>
      <w:r w:rsidR="00AA2A49">
        <w:rPr>
          <w:bCs/>
          <w:sz w:val="24"/>
          <w:szCs w:val="24"/>
        </w:rPr>
        <w:t>lixão</w:t>
      </w:r>
      <w:r w:rsidRPr="004C1C5A">
        <w:rPr>
          <w:bCs/>
          <w:sz w:val="24"/>
          <w:szCs w:val="24"/>
        </w:rPr>
        <w:t xml:space="preserve"> a céu aberto em Barcarena</w:t>
      </w:r>
      <w:r w:rsidR="00AA2A49">
        <w:rPr>
          <w:bCs/>
          <w:sz w:val="24"/>
          <w:szCs w:val="24"/>
        </w:rPr>
        <w:t>,</w:t>
      </w:r>
      <w:r w:rsidRPr="004C1C5A">
        <w:rPr>
          <w:bCs/>
          <w:sz w:val="24"/>
          <w:szCs w:val="24"/>
        </w:rPr>
        <w:t xml:space="preserve"> causa expressivo empobrecimento florístico nas florestas ripárias,</w:t>
      </w:r>
      <w:r w:rsidR="000F5060">
        <w:rPr>
          <w:bCs/>
          <w:sz w:val="24"/>
          <w:szCs w:val="24"/>
        </w:rPr>
        <w:t xml:space="preserve"> </w:t>
      </w:r>
      <w:r w:rsidRPr="004C1C5A">
        <w:rPr>
          <w:bCs/>
          <w:sz w:val="24"/>
          <w:szCs w:val="24"/>
        </w:rPr>
        <w:t xml:space="preserve">favorecendo espécies tolerantes como </w:t>
      </w:r>
      <w:r w:rsidRPr="00557224">
        <w:rPr>
          <w:bCs/>
          <w:i/>
          <w:iCs/>
          <w:sz w:val="24"/>
          <w:szCs w:val="24"/>
        </w:rPr>
        <w:t>Vatairea guianensis</w:t>
      </w:r>
      <w:r w:rsidRPr="004C1C5A">
        <w:rPr>
          <w:bCs/>
          <w:sz w:val="24"/>
          <w:szCs w:val="24"/>
        </w:rPr>
        <w:t xml:space="preserve"> e </w:t>
      </w:r>
      <w:r w:rsidRPr="00557224">
        <w:rPr>
          <w:bCs/>
          <w:i/>
          <w:iCs/>
          <w:sz w:val="24"/>
          <w:szCs w:val="24"/>
        </w:rPr>
        <w:t>Mauritia flexuosa</w:t>
      </w:r>
      <w:r w:rsidRPr="004C1C5A">
        <w:rPr>
          <w:bCs/>
          <w:sz w:val="24"/>
          <w:szCs w:val="24"/>
        </w:rPr>
        <w:t>. A substituição de espécies típicas de ambientes conservados indica alterações ambientais associadas à poluição e à degradação do solo. Esses achados reforçam a urgência de ações voltadas à gestão adequada de resíduos e à recuperação de áreas degradadas, essenciais para a conservação da biodiversidade e a manutenção dos serviços ecossistêmicos amazônicos.</w:t>
      </w:r>
    </w:p>
    <w:p w14:paraId="22289685" w14:textId="77777777" w:rsidR="00557224" w:rsidRPr="004C1C5A" w:rsidRDefault="00557224" w:rsidP="00557224">
      <w:pPr>
        <w:widowControl/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4"/>
        </w:rPr>
      </w:pPr>
    </w:p>
    <w:p w14:paraId="5D816746" w14:textId="0C092BFA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2A724685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bookmarkStart w:id="0" w:name="_gjdgxs" w:colFirst="0" w:colLast="0"/>
      <w:bookmarkEnd w:id="0"/>
      <w:r w:rsidRPr="00A14D92">
        <w:rPr>
          <w:sz w:val="24"/>
          <w:szCs w:val="24"/>
          <w:lang w:val="pt-BR"/>
        </w:rPr>
        <w:lastRenderedPageBreak/>
        <w:t xml:space="preserve">ABREMA (Agência Brasileira de Reportagem e Jornalismo Investigativo Ambiental). Lixões na Amazônia contaminam água e recebem entulho e sofá velho mesmo após "fechamento". </w:t>
      </w:r>
      <w:r w:rsidRPr="005D4C08">
        <w:rPr>
          <w:sz w:val="24"/>
          <w:szCs w:val="24"/>
          <w:lang w:val="en-US"/>
        </w:rPr>
        <w:t>2024.</w:t>
      </w:r>
      <w:r w:rsidRPr="00A14D92">
        <w:rPr>
          <w:sz w:val="24"/>
          <w:szCs w:val="24"/>
          <w:lang w:val="en-US"/>
        </w:rPr>
        <w:t> </w:t>
      </w:r>
    </w:p>
    <w:p w14:paraId="7D082990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ALVES, Y.; DURGANTE, F.; PIEDADE, M.; WITTMANN, F.; SCHÖNGART, J. Tree growth performance and xylem functional arrangements of </w:t>
      </w:r>
      <w:r w:rsidRPr="005D4C08">
        <w:rPr>
          <w:i/>
          <w:iCs/>
          <w:sz w:val="24"/>
          <w:szCs w:val="24"/>
          <w:lang w:val="en-US"/>
        </w:rPr>
        <w:t>Macrolobium</w:t>
      </w:r>
      <w:r w:rsidRPr="005D4C08">
        <w:rPr>
          <w:sz w:val="24"/>
          <w:szCs w:val="24"/>
          <w:lang w:val="en-US"/>
        </w:rPr>
        <w:t xml:space="preserve"> Schreb. (Fabaceae) in different wetland forests in the Central Amazon basin. </w:t>
      </w:r>
      <w:r w:rsidRPr="005D4C08">
        <w:rPr>
          <w:i/>
          <w:iCs/>
          <w:sz w:val="24"/>
          <w:szCs w:val="24"/>
          <w:lang w:val="en-US"/>
        </w:rPr>
        <w:t>Trees</w:t>
      </w:r>
      <w:r w:rsidRPr="005D4C08">
        <w:rPr>
          <w:sz w:val="24"/>
          <w:szCs w:val="24"/>
          <w:lang w:val="en-US"/>
        </w:rPr>
        <w:t>, 2023.</w:t>
      </w:r>
      <w:r w:rsidRPr="00A14D92">
        <w:rPr>
          <w:sz w:val="24"/>
          <w:szCs w:val="24"/>
          <w:lang w:val="en-US"/>
        </w:rPr>
        <w:t> </w:t>
      </w:r>
    </w:p>
    <w:p w14:paraId="3D2F83EE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BOULTON, C. A.; LENTON, T. M.; BOERS, N. Pronounced loss of Amazon rainforest resilience since the early 2000s. Nature Climate Change, v. 12, p. 271–278, 2022. </w:t>
      </w:r>
      <w:r w:rsidRPr="00A14D92">
        <w:rPr>
          <w:sz w:val="24"/>
          <w:szCs w:val="24"/>
          <w:lang w:val="en-US"/>
        </w:rPr>
        <w:t> </w:t>
      </w:r>
    </w:p>
    <w:p w14:paraId="62E51CCC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CARVALHO, R.; SZLAFSZTEIN, C. Urban vegetation loss and ecosystem services: The influence on climate regulation and noise and air pollution. </w:t>
      </w:r>
      <w:r w:rsidRPr="005D4C08">
        <w:rPr>
          <w:i/>
          <w:iCs/>
          <w:sz w:val="24"/>
          <w:szCs w:val="24"/>
          <w:lang w:val="en-US"/>
        </w:rPr>
        <w:t>Environmental Pollution</w:t>
      </w:r>
      <w:r w:rsidRPr="005D4C08">
        <w:rPr>
          <w:sz w:val="24"/>
          <w:szCs w:val="24"/>
          <w:lang w:val="en-US"/>
        </w:rPr>
        <w:t>, v. 245, p. 844–852, 2019.</w:t>
      </w:r>
      <w:r w:rsidRPr="00A14D92">
        <w:rPr>
          <w:sz w:val="24"/>
          <w:szCs w:val="24"/>
          <w:lang w:val="en-US"/>
        </w:rPr>
        <w:t> </w:t>
      </w:r>
    </w:p>
    <w:p w14:paraId="0A8EA810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>CIEMER, C. Complex systems analysis of changing rainfall regimes in South America and their implications for the Amazon rainforest. 2019. Tese (Doutorado) — Humboldt-Universität zu Berlin, Berlim, 2019.</w:t>
      </w:r>
      <w:r w:rsidRPr="00A14D92">
        <w:rPr>
          <w:sz w:val="24"/>
          <w:szCs w:val="24"/>
          <w:lang w:val="en-US"/>
        </w:rPr>
        <w:t> </w:t>
      </w:r>
    </w:p>
    <w:p w14:paraId="1DD21B26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CURTIS, J. T.; MCINTOSH, R. P. An upland forest continuum in the prairie-forest border region of Wisconsin. </w:t>
      </w:r>
      <w:r w:rsidRPr="005D4C08">
        <w:rPr>
          <w:i/>
          <w:iCs/>
          <w:sz w:val="24"/>
          <w:szCs w:val="24"/>
          <w:lang w:val="en-US"/>
        </w:rPr>
        <w:t>Ecology</w:t>
      </w:r>
      <w:r w:rsidRPr="005D4C08">
        <w:rPr>
          <w:sz w:val="24"/>
          <w:szCs w:val="24"/>
          <w:lang w:val="en-US"/>
        </w:rPr>
        <w:t>, v. 32, n. 3, p. 476–496, 1951.</w:t>
      </w:r>
      <w:r w:rsidRPr="00A14D92">
        <w:rPr>
          <w:sz w:val="24"/>
          <w:szCs w:val="24"/>
          <w:lang w:val="en-US"/>
        </w:rPr>
        <w:t> </w:t>
      </w:r>
    </w:p>
    <w:p w14:paraId="20683029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FLORES, B. M.; MONTOYA, E.; SAKSCHEWSKI, B.; et al. Critical transitions in the Amazon forest system. </w:t>
      </w:r>
      <w:r w:rsidRPr="005D4C08">
        <w:rPr>
          <w:i/>
          <w:iCs/>
          <w:sz w:val="24"/>
          <w:szCs w:val="24"/>
          <w:lang w:val="en-US"/>
        </w:rPr>
        <w:t>Nature</w:t>
      </w:r>
      <w:r w:rsidRPr="005D4C08">
        <w:rPr>
          <w:sz w:val="24"/>
          <w:szCs w:val="24"/>
          <w:lang w:val="en-US"/>
        </w:rPr>
        <w:t>, v. 626, p. 555–564, 2024.</w:t>
      </w:r>
      <w:r w:rsidRPr="00A14D92">
        <w:rPr>
          <w:sz w:val="24"/>
          <w:szCs w:val="24"/>
          <w:lang w:val="en-US"/>
        </w:rPr>
        <w:t> </w:t>
      </w:r>
    </w:p>
    <w:p w14:paraId="580C66F1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FULLER, R.; LANDRIGAN, P.; BALAKRISHNAN, K.; BATHAN, G.; BOSE-O’REILLY, S.; BRAUER, M.; CARAVANOS, J.; CHILES, T.; COHEN, A.; CORRA, L.; CROPPER, M.; FERRARO, G.; HANNA, J.; HANRAHAN, D.; HU, H.; HUNTER, D.; JANATA, G.; KUPKA, R.; LANPHEAR, B.; LICHTVELD, M.; MARTIN, K.; MUSTAPHA, A.; SÁNCHEZ-TRIANA, E.; SANDILYA, K.; SCHAEFLI, L.; SHAW, J.; SEDDON, J.; SUK, W.; TÉLLEZ-ROJO, M.; YAN, C. Pollution and health: a progress update. </w:t>
      </w:r>
      <w:r w:rsidRPr="005D4C08">
        <w:rPr>
          <w:i/>
          <w:iCs/>
          <w:sz w:val="24"/>
          <w:szCs w:val="24"/>
          <w:lang w:val="en-US"/>
        </w:rPr>
        <w:t>The Lancet. Planetary Health</w:t>
      </w:r>
      <w:r w:rsidRPr="005D4C08">
        <w:rPr>
          <w:sz w:val="24"/>
          <w:szCs w:val="24"/>
          <w:lang w:val="en-US"/>
        </w:rPr>
        <w:t>, v. 6, p. e535–e547, 2022.</w:t>
      </w:r>
      <w:r w:rsidRPr="00A14D92">
        <w:rPr>
          <w:sz w:val="24"/>
          <w:szCs w:val="24"/>
          <w:lang w:val="en-US"/>
        </w:rPr>
        <w:t> </w:t>
      </w:r>
    </w:p>
    <w:p w14:paraId="6ED6016B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lastRenderedPageBreak/>
        <w:t xml:space="preserve">GAMA, D.; FERREIRA, R.; JESUS, J. Establishment of native forest species in recovery planting of riparian forest in the Piauitinga River, Sergipe, Brazil. </w:t>
      </w:r>
      <w:r w:rsidRPr="005D4C08">
        <w:rPr>
          <w:i/>
          <w:iCs/>
          <w:sz w:val="24"/>
          <w:szCs w:val="24"/>
          <w:lang w:val="en-US"/>
        </w:rPr>
        <w:t>Floresta</w:t>
      </w:r>
      <w:r w:rsidRPr="005D4C08">
        <w:rPr>
          <w:sz w:val="24"/>
          <w:szCs w:val="24"/>
          <w:lang w:val="en-US"/>
        </w:rPr>
        <w:t>, v. 50, p. 1325–1334, 2020.</w:t>
      </w:r>
      <w:r w:rsidRPr="00A14D92">
        <w:rPr>
          <w:sz w:val="24"/>
          <w:szCs w:val="24"/>
          <w:lang w:val="en-US"/>
        </w:rPr>
        <w:t> </w:t>
      </w:r>
    </w:p>
    <w:p w14:paraId="230145DB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GARCÍA, J.; VILLEN-GUZMAN, M.; RODRÍGUEZ-MAROTO, J.; PAZ-GARCÍA, J. Technical analysis of CO₂ capture pathways and technologies. </w:t>
      </w:r>
      <w:r w:rsidRPr="005D4C08">
        <w:rPr>
          <w:i/>
          <w:iCs/>
          <w:sz w:val="24"/>
          <w:szCs w:val="24"/>
          <w:lang w:val="en-US"/>
        </w:rPr>
        <w:t>Journal of Environmental Chemical Engineering</w:t>
      </w:r>
      <w:r w:rsidRPr="005D4C08">
        <w:rPr>
          <w:sz w:val="24"/>
          <w:szCs w:val="24"/>
          <w:lang w:val="en-US"/>
        </w:rPr>
        <w:t>, 2022.</w:t>
      </w:r>
      <w:r w:rsidRPr="00A14D92">
        <w:rPr>
          <w:sz w:val="24"/>
          <w:szCs w:val="24"/>
          <w:lang w:val="en-US"/>
        </w:rPr>
        <w:t> </w:t>
      </w:r>
    </w:p>
    <w:p w14:paraId="02E1B043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A14D92">
        <w:rPr>
          <w:sz w:val="24"/>
          <w:szCs w:val="24"/>
          <w:lang w:val="en-US"/>
        </w:rPr>
        <w:t xml:space="preserve">GOMES, V.; VIEIRA, I.; SALOMÃO, R.; TER STEEGE, H. Amazonian tree species threatened by deforestation and climate change. </w:t>
      </w:r>
      <w:r w:rsidRPr="005D4C08">
        <w:rPr>
          <w:i/>
          <w:iCs/>
          <w:sz w:val="24"/>
          <w:szCs w:val="24"/>
          <w:lang w:val="pt-BR"/>
        </w:rPr>
        <w:t>Nature Climate Change</w:t>
      </w:r>
      <w:r w:rsidRPr="005D4C08">
        <w:rPr>
          <w:sz w:val="24"/>
          <w:szCs w:val="24"/>
          <w:lang w:val="pt-BR"/>
        </w:rPr>
        <w:t>, v. 9, p. 547–553, 2019. </w:t>
      </w:r>
    </w:p>
    <w:p w14:paraId="2733BBAE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5D4C08">
        <w:rPr>
          <w:sz w:val="24"/>
          <w:szCs w:val="24"/>
          <w:lang w:val="pt-BR"/>
        </w:rPr>
        <w:t>IBGE. Censo Demográfico 2022. Instituto Brasileiro de Geografia e Estatística, 2022. </w:t>
      </w:r>
    </w:p>
    <w:p w14:paraId="06B3C4AE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A14D92">
        <w:rPr>
          <w:sz w:val="24"/>
          <w:szCs w:val="24"/>
          <w:lang w:val="pt-BR"/>
        </w:rPr>
        <w:t>IBGE. Manual técnico da vegetação brasileira. 2. ed. Rio de Janeiro: IBGE, 2012.</w:t>
      </w:r>
      <w:r w:rsidRPr="005D4C08">
        <w:rPr>
          <w:sz w:val="24"/>
          <w:szCs w:val="24"/>
          <w:lang w:val="pt-BR"/>
        </w:rPr>
        <w:t> </w:t>
      </w:r>
    </w:p>
    <w:p w14:paraId="398CEFBF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JÚNIOR, S.; PIEDADE, M.; SCHÖNGART, J. Wood growth of </w:t>
      </w:r>
      <w:r w:rsidRPr="005D4C08">
        <w:rPr>
          <w:i/>
          <w:iCs/>
          <w:sz w:val="24"/>
          <w:szCs w:val="24"/>
          <w:lang w:val="en-US"/>
        </w:rPr>
        <w:t>Tabebuia barbata</w:t>
      </w:r>
      <w:r w:rsidRPr="005D4C08">
        <w:rPr>
          <w:sz w:val="24"/>
          <w:szCs w:val="24"/>
          <w:lang w:val="en-US"/>
        </w:rPr>
        <w:t xml:space="preserve"> (E. Mey.) Sandwith (Bignoniaceae) and </w:t>
      </w:r>
      <w:r w:rsidRPr="005D4C08">
        <w:rPr>
          <w:i/>
          <w:iCs/>
          <w:sz w:val="24"/>
          <w:szCs w:val="24"/>
          <w:lang w:val="en-US"/>
        </w:rPr>
        <w:t>Vatairea guianensis</w:t>
      </w:r>
      <w:r w:rsidRPr="005D4C08">
        <w:rPr>
          <w:sz w:val="24"/>
          <w:szCs w:val="24"/>
          <w:lang w:val="en-US"/>
        </w:rPr>
        <w:t xml:space="preserve"> Aubl. (Fabaceae) in Central Amazonian black-water (igapó) and white-water (várzea) floodplain forests. </w:t>
      </w:r>
      <w:r w:rsidRPr="005D4C08">
        <w:rPr>
          <w:i/>
          <w:iCs/>
          <w:sz w:val="24"/>
          <w:szCs w:val="24"/>
          <w:lang w:val="en-US"/>
        </w:rPr>
        <w:t>Trees</w:t>
      </w:r>
      <w:r w:rsidRPr="005D4C08">
        <w:rPr>
          <w:sz w:val="24"/>
          <w:szCs w:val="24"/>
          <w:lang w:val="en-US"/>
        </w:rPr>
        <w:t>, v. 23, p. 127–134, 2009.</w:t>
      </w:r>
      <w:r w:rsidRPr="00A14D92">
        <w:rPr>
          <w:sz w:val="24"/>
          <w:szCs w:val="24"/>
          <w:lang w:val="en-US"/>
        </w:rPr>
        <w:t> </w:t>
      </w:r>
    </w:p>
    <w:p w14:paraId="6ED6567D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JUNK, WOLFGANG J.; AN, SHUQING; FINLAYSON, C. M.; GOPAL, BRIJ; KV; MITCHELL, STEPHEN A.; MITSCH, WILLIAM J.; ROBARTS, RICHARD D. Current state of knowledge regarding the world’s wetlands and their future under global climate change: a synthesis. </w:t>
      </w:r>
      <w:r w:rsidRPr="005D4C08">
        <w:rPr>
          <w:i/>
          <w:iCs/>
          <w:sz w:val="24"/>
          <w:szCs w:val="24"/>
          <w:lang w:val="en-US"/>
        </w:rPr>
        <w:t>Aquatic Sciences</w:t>
      </w:r>
      <w:r w:rsidRPr="005D4C08">
        <w:rPr>
          <w:sz w:val="24"/>
          <w:szCs w:val="24"/>
          <w:lang w:val="en-US"/>
        </w:rPr>
        <w:t>, v. 75, p. 151–167, 2013.</w:t>
      </w:r>
      <w:r w:rsidRPr="00A14D92">
        <w:rPr>
          <w:sz w:val="24"/>
          <w:szCs w:val="24"/>
          <w:lang w:val="en-US"/>
        </w:rPr>
        <w:t> </w:t>
      </w:r>
    </w:p>
    <w:p w14:paraId="2FC0ED07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5D4C08">
        <w:rPr>
          <w:sz w:val="24"/>
          <w:szCs w:val="24"/>
          <w:lang w:val="en-US"/>
        </w:rPr>
        <w:t xml:space="preserve">LEITÃO, F.; MAHARAJ, R.; VIEIRA, V.; TEODÓSIO, A.; CHEUNG, W. The effect of regional sea surface temperature rise on fisheries along the Portuguese Iberian Atlantic coast. </w:t>
      </w:r>
      <w:r w:rsidRPr="005D4C08">
        <w:rPr>
          <w:i/>
          <w:iCs/>
          <w:sz w:val="24"/>
          <w:szCs w:val="24"/>
          <w:lang w:val="en-US"/>
        </w:rPr>
        <w:t>Aquatic Conservation: Marine and Freshwater Ecosystems</w:t>
      </w:r>
      <w:r w:rsidRPr="005D4C08">
        <w:rPr>
          <w:sz w:val="24"/>
          <w:szCs w:val="24"/>
          <w:lang w:val="en-US"/>
        </w:rPr>
        <w:t>, 2018.</w:t>
      </w:r>
      <w:r w:rsidRPr="005D4C08">
        <w:rPr>
          <w:sz w:val="24"/>
          <w:szCs w:val="24"/>
          <w:lang w:val="pt-BR"/>
        </w:rPr>
        <w:t> </w:t>
      </w:r>
    </w:p>
    <w:p w14:paraId="1751E383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MANCINO, G.; CONSOLE, R.; GRECO, M.; IACOVINO, C.; TRIVIGNO, M. L.; FALCIANO, A. Assessing vegetation decline due to pollution from solid waste management by a multitemporal remote sensing approach. </w:t>
      </w:r>
      <w:r w:rsidRPr="005D4C08">
        <w:rPr>
          <w:i/>
          <w:iCs/>
          <w:sz w:val="24"/>
          <w:szCs w:val="24"/>
          <w:lang w:val="en-US"/>
        </w:rPr>
        <w:t>Remote Sensing</w:t>
      </w:r>
      <w:r w:rsidRPr="005D4C08">
        <w:rPr>
          <w:sz w:val="24"/>
          <w:szCs w:val="24"/>
          <w:lang w:val="en-US"/>
        </w:rPr>
        <w:t>, v. 14, n. 2, 428, 2022. .</w:t>
      </w:r>
      <w:r w:rsidRPr="00A14D92">
        <w:rPr>
          <w:sz w:val="24"/>
          <w:szCs w:val="24"/>
          <w:lang w:val="en-US"/>
        </w:rPr>
        <w:t> </w:t>
      </w:r>
    </w:p>
    <w:p w14:paraId="3B91D462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lastRenderedPageBreak/>
        <w:t>McMAHON, J. M.; OLLEY, J. M.; BROOKS, A. P.; SMART, J. C. R.; STEWART-KOSTER, B.; VENABLES, W. N.; CURWEN, G.; KEMP, J.; STEWART, M.; SAXTON, N.; HADDADCHI, A.; STOUT, J. C. Vegetation and longitudinal coarse sediment connectivity affect the ability of ecosystem restoration to reduce riverbank erosion and turbidity in drinking water.</w:t>
      </w:r>
      <w:r w:rsidRPr="005D4C08">
        <w:rPr>
          <w:i/>
          <w:iCs/>
          <w:sz w:val="24"/>
          <w:szCs w:val="24"/>
          <w:lang w:val="en-US"/>
        </w:rPr>
        <w:t xml:space="preserve"> Science of the Total Environment</w:t>
      </w:r>
      <w:r w:rsidRPr="005D4C08">
        <w:rPr>
          <w:sz w:val="24"/>
          <w:szCs w:val="24"/>
          <w:lang w:val="en-US"/>
        </w:rPr>
        <w:t>, v. 707, p. 135904, 2020.</w:t>
      </w:r>
      <w:r w:rsidRPr="00A14D92">
        <w:rPr>
          <w:sz w:val="24"/>
          <w:szCs w:val="24"/>
          <w:lang w:val="en-US"/>
        </w:rPr>
        <w:t> </w:t>
      </w:r>
    </w:p>
    <w:p w14:paraId="648D8B7E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MORAIS, V.; SILVA, L.; DE ARAÚJO, E.; CURTO, R.; ATAÍDE, D. Unveiling the botanical treasures of the amazon: the magnificent legacy of the fabaceae family. </w:t>
      </w:r>
      <w:r w:rsidRPr="005D4C08">
        <w:rPr>
          <w:i/>
          <w:iCs/>
          <w:sz w:val="24"/>
          <w:szCs w:val="24"/>
          <w:lang w:val="en-US"/>
        </w:rPr>
        <w:t>Concilium</w:t>
      </w:r>
      <w:r w:rsidRPr="005D4C08">
        <w:rPr>
          <w:sz w:val="24"/>
          <w:szCs w:val="24"/>
          <w:lang w:val="en-US"/>
        </w:rPr>
        <w:t>, 2024.</w:t>
      </w:r>
      <w:r w:rsidRPr="00A14D92">
        <w:rPr>
          <w:sz w:val="24"/>
          <w:szCs w:val="24"/>
          <w:lang w:val="en-US"/>
        </w:rPr>
        <w:t> </w:t>
      </w:r>
    </w:p>
    <w:p w14:paraId="252D3D16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MYSTER, R. The Contributions of Neotropical Tree Families to the Structure of Common Amazon Forest-Types. </w:t>
      </w:r>
      <w:r w:rsidRPr="005D4C08">
        <w:rPr>
          <w:i/>
          <w:iCs/>
          <w:sz w:val="24"/>
          <w:szCs w:val="24"/>
          <w:lang w:val="en-US"/>
        </w:rPr>
        <w:t>International Journal of Plant Biology</w:t>
      </w:r>
      <w:r w:rsidRPr="005D4C08">
        <w:rPr>
          <w:sz w:val="24"/>
          <w:szCs w:val="24"/>
          <w:lang w:val="en-US"/>
        </w:rPr>
        <w:t>, v. 14, n. 2, 2023.</w:t>
      </w:r>
      <w:r w:rsidRPr="00A14D92">
        <w:rPr>
          <w:sz w:val="24"/>
          <w:szCs w:val="24"/>
          <w:lang w:val="en-US"/>
        </w:rPr>
        <w:t> </w:t>
      </w:r>
    </w:p>
    <w:p w14:paraId="538D4670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MUELLER-DOMBOIS, D.; ELLENBERG, H. </w:t>
      </w:r>
      <w:r w:rsidRPr="005D4C08">
        <w:rPr>
          <w:i/>
          <w:iCs/>
          <w:sz w:val="24"/>
          <w:szCs w:val="24"/>
          <w:lang w:val="en-US"/>
        </w:rPr>
        <w:t>Aims and methods of vegetation ecology.</w:t>
      </w:r>
      <w:r w:rsidRPr="005D4C08">
        <w:rPr>
          <w:sz w:val="24"/>
          <w:szCs w:val="24"/>
          <w:lang w:val="en-US"/>
        </w:rPr>
        <w:t xml:space="preserve"> New York: Wiley, 1974.</w:t>
      </w:r>
      <w:r w:rsidRPr="00A14D92">
        <w:rPr>
          <w:sz w:val="24"/>
          <w:szCs w:val="24"/>
          <w:lang w:val="en-US"/>
        </w:rPr>
        <w:t> </w:t>
      </w:r>
    </w:p>
    <w:p w14:paraId="6DD42188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5D4C08">
        <w:rPr>
          <w:sz w:val="24"/>
          <w:szCs w:val="24"/>
          <w:lang w:val="en-US"/>
        </w:rPr>
        <w:t xml:space="preserve">NASCIMENTO, C. W. A.; LIMA, L. H. V.; SILVA, F. L.; BIONDI, C. M.; CAMPOS, M. C. C. Natural concentrations and reference values of heavy metals in sedimentary soils in the Brazilian Amazon. </w:t>
      </w:r>
      <w:r w:rsidRPr="005D4C08">
        <w:rPr>
          <w:i/>
          <w:iCs/>
          <w:sz w:val="24"/>
          <w:szCs w:val="24"/>
          <w:lang w:val="en-US"/>
        </w:rPr>
        <w:t>Environmental Monitoring and Assessment</w:t>
      </w:r>
      <w:r w:rsidRPr="005D4C08">
        <w:rPr>
          <w:sz w:val="24"/>
          <w:szCs w:val="24"/>
          <w:lang w:val="en-US"/>
        </w:rPr>
        <w:t>, v. 190, n. 10, p. 606, 2018.</w:t>
      </w:r>
      <w:r w:rsidRPr="005D4C08">
        <w:rPr>
          <w:sz w:val="24"/>
          <w:szCs w:val="24"/>
          <w:lang w:val="pt-BR"/>
        </w:rPr>
        <w:t> </w:t>
      </w:r>
    </w:p>
    <w:p w14:paraId="7E175F5B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5D4C08">
        <w:rPr>
          <w:sz w:val="24"/>
          <w:szCs w:val="24"/>
          <w:lang w:val="en-US"/>
        </w:rPr>
        <w:t xml:space="preserve">PUSEY, B. J.; ARTHINGTON, A. H. Importance of the riparian zone. </w:t>
      </w:r>
      <w:r w:rsidRPr="00A14D92">
        <w:rPr>
          <w:i/>
          <w:iCs/>
          <w:sz w:val="24"/>
          <w:szCs w:val="24"/>
          <w:lang w:val="pt-BR"/>
        </w:rPr>
        <w:t>Marine and Freshwater Research</w:t>
      </w:r>
      <w:r w:rsidRPr="00A14D92">
        <w:rPr>
          <w:sz w:val="24"/>
          <w:szCs w:val="24"/>
          <w:lang w:val="pt-BR"/>
        </w:rPr>
        <w:t>, v. 54, n. 1, p. 1–16, 2003.</w:t>
      </w:r>
      <w:r w:rsidRPr="005D4C08">
        <w:rPr>
          <w:sz w:val="24"/>
          <w:szCs w:val="24"/>
          <w:lang w:val="pt-BR"/>
        </w:rPr>
        <w:t> </w:t>
      </w:r>
    </w:p>
    <w:p w14:paraId="61B21720" w14:textId="77777777" w:rsidR="005D4C08" w:rsidRPr="005D4C08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A14D92">
        <w:rPr>
          <w:sz w:val="24"/>
          <w:szCs w:val="24"/>
          <w:lang w:val="pt-BR"/>
        </w:rPr>
        <w:t xml:space="preserve">RADAMBRASIL. </w:t>
      </w:r>
      <w:r w:rsidRPr="00A14D92">
        <w:rPr>
          <w:i/>
          <w:iCs/>
          <w:sz w:val="24"/>
          <w:szCs w:val="24"/>
          <w:lang w:val="pt-BR"/>
        </w:rPr>
        <w:t>Levantamento de recursos naturais. Folha SA.22 Belém.</w:t>
      </w:r>
      <w:r w:rsidRPr="00A14D92">
        <w:rPr>
          <w:sz w:val="24"/>
          <w:szCs w:val="24"/>
          <w:lang w:val="pt-BR"/>
        </w:rPr>
        <w:t xml:space="preserve"> Rio de Janeiro: Ministério das Minas e Energia, 1974.</w:t>
      </w:r>
      <w:r w:rsidRPr="005D4C08">
        <w:rPr>
          <w:sz w:val="24"/>
          <w:szCs w:val="24"/>
          <w:lang w:val="pt-BR"/>
        </w:rPr>
        <w:t> </w:t>
      </w:r>
    </w:p>
    <w:p w14:paraId="082E0437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RAIKES, J.; SMITH, T.; JACOBSON, C.; BALDWIN, C. Pre-disaster planning and preparedness for floods and droughts: A systematic review. </w:t>
      </w:r>
      <w:r w:rsidRPr="005D4C08">
        <w:rPr>
          <w:i/>
          <w:iCs/>
          <w:sz w:val="24"/>
          <w:szCs w:val="24"/>
          <w:lang w:val="en-US"/>
        </w:rPr>
        <w:t>International Journal of Disaster Risk Reduction</w:t>
      </w:r>
      <w:r w:rsidRPr="005D4C08">
        <w:rPr>
          <w:sz w:val="24"/>
          <w:szCs w:val="24"/>
          <w:lang w:val="en-US"/>
        </w:rPr>
        <w:t>, 2019.</w:t>
      </w:r>
      <w:r w:rsidRPr="00A14D92">
        <w:rPr>
          <w:sz w:val="24"/>
          <w:szCs w:val="24"/>
          <w:lang w:val="en-US"/>
        </w:rPr>
        <w:t> </w:t>
      </w:r>
    </w:p>
    <w:p w14:paraId="6864606F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SALVIANO, I.; GARDON, F.; SANTOS, R. Ecological corridors and landscape planning: a model to select priority areas for connectivity maintenance. </w:t>
      </w:r>
      <w:r w:rsidRPr="005D4C08">
        <w:rPr>
          <w:i/>
          <w:iCs/>
          <w:sz w:val="24"/>
          <w:szCs w:val="24"/>
          <w:lang w:val="en-US"/>
        </w:rPr>
        <w:t>Landscape Ecology</w:t>
      </w:r>
      <w:r w:rsidRPr="005D4C08">
        <w:rPr>
          <w:sz w:val="24"/>
          <w:szCs w:val="24"/>
          <w:lang w:val="en-US"/>
        </w:rPr>
        <w:t>, v. 36, p. 3311–3328, 2021.</w:t>
      </w:r>
      <w:r w:rsidRPr="00A14D92">
        <w:rPr>
          <w:sz w:val="24"/>
          <w:szCs w:val="24"/>
          <w:lang w:val="en-US"/>
        </w:rPr>
        <w:t> </w:t>
      </w:r>
    </w:p>
    <w:p w14:paraId="6DD473D7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lastRenderedPageBreak/>
        <w:t xml:space="preserve">SONTER, L.; HERRERA, D.; BARRETT, D.; GALFORD, G.; MORAN, C.; SOARES-FILHO, B. Mining drives extensive deforestation in the Brazilian Amazon. </w:t>
      </w:r>
      <w:r w:rsidRPr="005D4C08">
        <w:rPr>
          <w:i/>
          <w:iCs/>
          <w:sz w:val="24"/>
          <w:szCs w:val="24"/>
          <w:lang w:val="en-US"/>
        </w:rPr>
        <w:t>Nature Communications</w:t>
      </w:r>
      <w:r w:rsidRPr="005D4C08">
        <w:rPr>
          <w:sz w:val="24"/>
          <w:szCs w:val="24"/>
          <w:lang w:val="en-US"/>
        </w:rPr>
        <w:t>, v. 8, 2017.</w:t>
      </w:r>
      <w:r w:rsidRPr="00A14D92">
        <w:rPr>
          <w:sz w:val="24"/>
          <w:szCs w:val="24"/>
          <w:lang w:val="en-US"/>
        </w:rPr>
        <w:t> </w:t>
      </w:r>
    </w:p>
    <w:p w14:paraId="0A6CE011" w14:textId="77777777" w:rsidR="005D4C08" w:rsidRPr="00A14D92" w:rsidRDefault="005D4C08" w:rsidP="005D4C08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en-US"/>
        </w:rPr>
      </w:pPr>
      <w:r w:rsidRPr="005D4C08">
        <w:rPr>
          <w:sz w:val="24"/>
          <w:szCs w:val="24"/>
          <w:lang w:val="en-US"/>
        </w:rPr>
        <w:t xml:space="preserve">SILVA ALMEIDA, T.; RIBEIRO, L.; PAULA SANTOS MARTINS, C.; BARBOSA, T.; MERCADANTE-SIMÕES, M.; DE OLIVEIRA VIEIRA, E.; NUNES, Y.; LOPES, P. Structural and physiological responses to water availability provide insights into the maintenance of </w:t>
      </w:r>
      <w:r w:rsidRPr="005D4C08">
        <w:rPr>
          <w:i/>
          <w:iCs/>
          <w:sz w:val="24"/>
          <w:szCs w:val="24"/>
          <w:lang w:val="en-US"/>
        </w:rPr>
        <w:t>Mauritia flexuosa</w:t>
      </w:r>
      <w:r w:rsidRPr="005D4C08">
        <w:rPr>
          <w:sz w:val="24"/>
          <w:szCs w:val="24"/>
          <w:lang w:val="en-US"/>
        </w:rPr>
        <w:t xml:space="preserve"> (Arecaceae) seedling banks. </w:t>
      </w:r>
      <w:r w:rsidRPr="005D4C08">
        <w:rPr>
          <w:i/>
          <w:iCs/>
          <w:sz w:val="24"/>
          <w:szCs w:val="24"/>
          <w:lang w:val="en-US"/>
        </w:rPr>
        <w:t>Forest Ecology and Management</w:t>
      </w:r>
      <w:r w:rsidRPr="005D4C08">
        <w:rPr>
          <w:sz w:val="24"/>
          <w:szCs w:val="24"/>
          <w:lang w:val="en-US"/>
        </w:rPr>
        <w:t>, 2024.</w:t>
      </w:r>
      <w:r w:rsidRPr="00A14D92">
        <w:rPr>
          <w:sz w:val="24"/>
          <w:szCs w:val="24"/>
          <w:lang w:val="en-US"/>
        </w:rPr>
        <w:t> </w:t>
      </w:r>
    </w:p>
    <w:p w14:paraId="74D32050" w14:textId="1DE42006" w:rsidR="00DB5854" w:rsidRPr="00557224" w:rsidRDefault="005D4C08" w:rsidP="00557224">
      <w:pPr>
        <w:widowControl/>
        <w:tabs>
          <w:tab w:val="left" w:pos="709"/>
        </w:tabs>
        <w:spacing w:after="160" w:line="360" w:lineRule="auto"/>
        <w:ind w:firstLine="709"/>
        <w:jc w:val="both"/>
        <w:rPr>
          <w:sz w:val="24"/>
          <w:szCs w:val="24"/>
          <w:lang w:val="pt-BR"/>
        </w:rPr>
      </w:pPr>
      <w:r w:rsidRPr="005D4C08">
        <w:rPr>
          <w:sz w:val="24"/>
          <w:szCs w:val="24"/>
          <w:lang w:val="en-US"/>
        </w:rPr>
        <w:t xml:space="preserve">SOUZA-FILHO, P. W. M.; NOVO, E. M. L. M.; BARBOSA, C. C. F.; CAVALCANTE, R. B. L.; MOTA, J. A.; NASCIMENTO JÚNIOR, W. R.; SANTOS, D. C.; LOBO, F. L.; SIQUEIRA, J. O. Land-use intensity of official mineral extraction in the Amazon region: linking economic and spatial data. </w:t>
      </w:r>
      <w:r w:rsidRPr="005D4C08">
        <w:rPr>
          <w:i/>
          <w:iCs/>
          <w:sz w:val="24"/>
          <w:szCs w:val="24"/>
          <w:lang w:val="en-US"/>
        </w:rPr>
        <w:t>Land Degradation &amp; Development</w:t>
      </w:r>
      <w:r w:rsidRPr="005D4C08">
        <w:rPr>
          <w:sz w:val="24"/>
          <w:szCs w:val="24"/>
          <w:lang w:val="en-US"/>
        </w:rPr>
        <w:t>, v. 32, n. 7, p. 1–12, 2021.</w:t>
      </w:r>
    </w:p>
    <w:sectPr w:rsidR="00DB5854" w:rsidRPr="00557224" w:rsidSect="005A1575">
      <w:headerReference w:type="default" r:id="rId8"/>
      <w:footerReference w:type="default" r:id="rId9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AAA3F" w14:textId="77777777" w:rsidR="00C05A52" w:rsidRDefault="00C05A52" w:rsidP="005A1575">
      <w:r>
        <w:separator/>
      </w:r>
    </w:p>
  </w:endnote>
  <w:endnote w:type="continuationSeparator" w:id="0">
    <w:p w14:paraId="7B181A93" w14:textId="77777777" w:rsidR="00C05A52" w:rsidRDefault="00C05A52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1A4CE" w14:textId="77777777" w:rsidR="00C05A52" w:rsidRDefault="00C05A52" w:rsidP="005A1575">
      <w:r>
        <w:separator/>
      </w:r>
    </w:p>
  </w:footnote>
  <w:footnote w:type="continuationSeparator" w:id="0">
    <w:p w14:paraId="2AB7AA4D" w14:textId="77777777" w:rsidR="00C05A52" w:rsidRDefault="00C05A52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45640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228C7"/>
    <w:rsid w:val="00025DE2"/>
    <w:rsid w:val="000358CF"/>
    <w:rsid w:val="00035FBF"/>
    <w:rsid w:val="000436E8"/>
    <w:rsid w:val="00046F5C"/>
    <w:rsid w:val="00050A98"/>
    <w:rsid w:val="00090440"/>
    <w:rsid w:val="000958A5"/>
    <w:rsid w:val="000A1B4B"/>
    <w:rsid w:val="000B0BA1"/>
    <w:rsid w:val="000D56DD"/>
    <w:rsid w:val="000E21FC"/>
    <w:rsid w:val="000E2FBC"/>
    <w:rsid w:val="000E6288"/>
    <w:rsid w:val="000F5060"/>
    <w:rsid w:val="00101E82"/>
    <w:rsid w:val="001101A0"/>
    <w:rsid w:val="00152056"/>
    <w:rsid w:val="001527B0"/>
    <w:rsid w:val="001541E0"/>
    <w:rsid w:val="001624C1"/>
    <w:rsid w:val="00175A9A"/>
    <w:rsid w:val="00177FDF"/>
    <w:rsid w:val="001C5663"/>
    <w:rsid w:val="001D4FA5"/>
    <w:rsid w:val="001D7E7E"/>
    <w:rsid w:val="001F67F7"/>
    <w:rsid w:val="002707C2"/>
    <w:rsid w:val="002732C5"/>
    <w:rsid w:val="00293EAD"/>
    <w:rsid w:val="002C0393"/>
    <w:rsid w:val="002D4985"/>
    <w:rsid w:val="002E19C9"/>
    <w:rsid w:val="002E4A75"/>
    <w:rsid w:val="002E7A7F"/>
    <w:rsid w:val="002F3682"/>
    <w:rsid w:val="002F3E10"/>
    <w:rsid w:val="002F6332"/>
    <w:rsid w:val="0031571D"/>
    <w:rsid w:val="00327D62"/>
    <w:rsid w:val="00340B04"/>
    <w:rsid w:val="00366518"/>
    <w:rsid w:val="003949CE"/>
    <w:rsid w:val="003A68F0"/>
    <w:rsid w:val="003C4124"/>
    <w:rsid w:val="00417D3E"/>
    <w:rsid w:val="00424923"/>
    <w:rsid w:val="00426789"/>
    <w:rsid w:val="004438C8"/>
    <w:rsid w:val="0047691A"/>
    <w:rsid w:val="00492554"/>
    <w:rsid w:val="004A2949"/>
    <w:rsid w:val="004B1BD4"/>
    <w:rsid w:val="004B3806"/>
    <w:rsid w:val="004C1C5A"/>
    <w:rsid w:val="004E409D"/>
    <w:rsid w:val="004E4697"/>
    <w:rsid w:val="004E5596"/>
    <w:rsid w:val="00545DD8"/>
    <w:rsid w:val="00557224"/>
    <w:rsid w:val="005A1575"/>
    <w:rsid w:val="005D4C08"/>
    <w:rsid w:val="006052BD"/>
    <w:rsid w:val="006172B4"/>
    <w:rsid w:val="00622F27"/>
    <w:rsid w:val="00627E98"/>
    <w:rsid w:val="00645BA4"/>
    <w:rsid w:val="006660DB"/>
    <w:rsid w:val="007214FE"/>
    <w:rsid w:val="00757183"/>
    <w:rsid w:val="007701A8"/>
    <w:rsid w:val="007940E1"/>
    <w:rsid w:val="007A182D"/>
    <w:rsid w:val="007A3840"/>
    <w:rsid w:val="007B00E2"/>
    <w:rsid w:val="007C673B"/>
    <w:rsid w:val="007C7EE9"/>
    <w:rsid w:val="00805DF6"/>
    <w:rsid w:val="008146EE"/>
    <w:rsid w:val="00814E86"/>
    <w:rsid w:val="00826E33"/>
    <w:rsid w:val="008323C6"/>
    <w:rsid w:val="00836259"/>
    <w:rsid w:val="0088472D"/>
    <w:rsid w:val="008A266D"/>
    <w:rsid w:val="0092361A"/>
    <w:rsid w:val="00936D72"/>
    <w:rsid w:val="0094134C"/>
    <w:rsid w:val="00956923"/>
    <w:rsid w:val="009613E3"/>
    <w:rsid w:val="00962C69"/>
    <w:rsid w:val="00962FD1"/>
    <w:rsid w:val="00972150"/>
    <w:rsid w:val="0097563B"/>
    <w:rsid w:val="009828AE"/>
    <w:rsid w:val="009B1AB5"/>
    <w:rsid w:val="009E3AD5"/>
    <w:rsid w:val="00A04717"/>
    <w:rsid w:val="00A14075"/>
    <w:rsid w:val="00A14D92"/>
    <w:rsid w:val="00A23916"/>
    <w:rsid w:val="00A27B80"/>
    <w:rsid w:val="00A529CB"/>
    <w:rsid w:val="00A53EB2"/>
    <w:rsid w:val="00AA2A49"/>
    <w:rsid w:val="00AA6DD8"/>
    <w:rsid w:val="00AA7AB8"/>
    <w:rsid w:val="00AF15EE"/>
    <w:rsid w:val="00AF7B49"/>
    <w:rsid w:val="00B41D44"/>
    <w:rsid w:val="00B43228"/>
    <w:rsid w:val="00B92070"/>
    <w:rsid w:val="00BE49F8"/>
    <w:rsid w:val="00C05A52"/>
    <w:rsid w:val="00C068F1"/>
    <w:rsid w:val="00C252AB"/>
    <w:rsid w:val="00C617C9"/>
    <w:rsid w:val="00C9182C"/>
    <w:rsid w:val="00CE2B1C"/>
    <w:rsid w:val="00D20CC4"/>
    <w:rsid w:val="00D569A0"/>
    <w:rsid w:val="00DB4C6E"/>
    <w:rsid w:val="00DB5854"/>
    <w:rsid w:val="00DE04D3"/>
    <w:rsid w:val="00DF7CDB"/>
    <w:rsid w:val="00E670E6"/>
    <w:rsid w:val="00ED3774"/>
    <w:rsid w:val="00F27996"/>
    <w:rsid w:val="00F36298"/>
    <w:rsid w:val="00F41FA8"/>
    <w:rsid w:val="00F46632"/>
    <w:rsid w:val="00F67598"/>
    <w:rsid w:val="00F948A7"/>
    <w:rsid w:val="00FA71D0"/>
    <w:rsid w:val="00FD206C"/>
    <w:rsid w:val="00FE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7E7E"/>
    <w:pPr>
      <w:keepNext/>
      <w:keepLines/>
      <w:spacing w:line="360" w:lineRule="auto"/>
      <w:ind w:firstLine="709"/>
      <w:jc w:val="both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1D7E7E"/>
    <w:rPr>
      <w:rFonts w:ascii="Times New Roman" w:eastAsiaTheme="majorEastAsia" w:hAnsi="Times New Roman" w:cstheme="majorBidi"/>
      <w:color w:val="000000" w:themeColor="text1"/>
      <w:sz w:val="24"/>
      <w:szCs w:val="26"/>
      <w:lang w:val="pt-PT"/>
    </w:rPr>
  </w:style>
  <w:style w:type="character" w:customStyle="1" w:styleId="normaltextrun">
    <w:name w:val="normaltextrun"/>
    <w:basedOn w:val="Fontepargpadro"/>
    <w:rsid w:val="001D7E7E"/>
  </w:style>
  <w:style w:type="paragraph" w:customStyle="1" w:styleId="paragraph">
    <w:name w:val="paragraph"/>
    <w:basedOn w:val="Normal"/>
    <w:rsid w:val="001D7E7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1D7E7E"/>
  </w:style>
  <w:style w:type="paragraph" w:styleId="Legenda">
    <w:name w:val="caption"/>
    <w:basedOn w:val="Normal"/>
    <w:next w:val="Normal"/>
    <w:uiPriority w:val="35"/>
    <w:unhideWhenUsed/>
    <w:qFormat/>
    <w:rsid w:val="00492554"/>
    <w:pPr>
      <w:widowControl/>
      <w:autoSpaceDE/>
      <w:autoSpaceDN/>
      <w:spacing w:after="200"/>
      <w:ind w:firstLine="709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14D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14D9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14D92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4D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4D92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A14D92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2720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Paula Daniele</cp:lastModifiedBy>
  <cp:revision>18</cp:revision>
  <dcterms:created xsi:type="dcterms:W3CDTF">2025-10-09T03:32:00Z</dcterms:created>
  <dcterms:modified xsi:type="dcterms:W3CDTF">2025-10-21T13:38:00Z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  <property fmtid="{D5CDD505-2E9C-101B-9397-08002B2CF9AE}" pid="5" name="MSIP_Label_a4a58698-f344-4198-ab37-f250df3982dd_Enabled">
    <vt:lpwstr>true</vt:lpwstr>
  </property>
  <property fmtid="{D5CDD505-2E9C-101B-9397-08002B2CF9AE}" pid="6" name="MSIP_Label_a4a58698-f344-4198-ab37-f250df3982dd_SetDate">
    <vt:lpwstr>2025-10-08T12:29:37Z</vt:lpwstr>
  </property>
  <property fmtid="{D5CDD505-2E9C-101B-9397-08002B2CF9AE}" pid="7" name="MSIP_Label_a4a58698-f344-4198-ab37-f250df3982dd_Method">
    <vt:lpwstr>Standard</vt:lpwstr>
  </property>
  <property fmtid="{D5CDD505-2E9C-101B-9397-08002B2CF9AE}" pid="8" name="MSIP_Label_a4a58698-f344-4198-ab37-f250df3982dd_Name">
    <vt:lpwstr>GLB Internal</vt:lpwstr>
  </property>
  <property fmtid="{D5CDD505-2E9C-101B-9397-08002B2CF9AE}" pid="9" name="MSIP_Label_a4a58698-f344-4198-ab37-f250df3982dd_SiteId">
    <vt:lpwstr>bc1d8991-4a28-4552-abc1-ace7ae108274</vt:lpwstr>
  </property>
  <property fmtid="{D5CDD505-2E9C-101B-9397-08002B2CF9AE}" pid="10" name="MSIP_Label_a4a58698-f344-4198-ab37-f250df3982dd_ActionId">
    <vt:lpwstr>4ad7d304-81d4-4dc4-a6f4-b4fb5594f177</vt:lpwstr>
  </property>
  <property fmtid="{D5CDD505-2E9C-101B-9397-08002B2CF9AE}" pid="11" name="MSIP_Label_a4a58698-f344-4198-ab37-f250df3982dd_ContentBits">
    <vt:lpwstr>0</vt:lpwstr>
  </property>
  <property fmtid="{D5CDD505-2E9C-101B-9397-08002B2CF9AE}" pid="12" name="MSIP_Label_a4a58698-f344-4198-ab37-f250df3982dd_Tag">
    <vt:lpwstr>10, 3, 0, 1</vt:lpwstr>
  </property>
</Properties>
</file>