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43792" w14:textId="47DBDA1C" w:rsidR="0039315B" w:rsidRPr="00DB3340" w:rsidRDefault="003A7725" w:rsidP="003931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340">
        <w:rPr>
          <w:rFonts w:ascii="Times New Roman" w:eastAsia="Times New Roman" w:hAnsi="Times New Roman" w:cs="Times New Roman"/>
          <w:b/>
          <w:sz w:val="24"/>
          <w:szCs w:val="24"/>
        </w:rPr>
        <w:t>SISTEMATIZAÇÃO DA</w:t>
      </w:r>
      <w:r w:rsidR="0039315B" w:rsidRPr="00DB3340">
        <w:rPr>
          <w:rFonts w:ascii="Times New Roman" w:eastAsia="Times New Roman" w:hAnsi="Times New Roman" w:cs="Times New Roman"/>
          <w:b/>
          <w:sz w:val="24"/>
          <w:szCs w:val="24"/>
        </w:rPr>
        <w:t xml:space="preserve"> ASSISTÊNCIA DE ENFERMAGEM A UM PACIENTE CRÍTICO ACOMETIDO POR ADENOCARCINOMA GÁSTRICO</w:t>
      </w:r>
    </w:p>
    <w:p w14:paraId="6733E7FF" w14:textId="230016F9" w:rsidR="0039315B" w:rsidRPr="00DB3340" w:rsidRDefault="0039315B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SABTIS</w:t>
      </w:r>
      <w:r w:rsidRPr="00DB3340">
        <w:rPr>
          <w:color w:val="000000"/>
        </w:rPr>
        <w:t xml:space="preserve">, </w:t>
      </w:r>
      <w:r w:rsidRPr="00DB3340">
        <w:rPr>
          <w:color w:val="000000"/>
        </w:rPr>
        <w:t>Deborah</w:t>
      </w:r>
      <w:r w:rsidRPr="00DB3340">
        <w:rPr>
          <w:color w:val="000000"/>
        </w:rPr>
        <w:t xml:space="preserve"> (AUTOR)1</w:t>
      </w:r>
    </w:p>
    <w:p w14:paraId="4D580464" w14:textId="4F8F19F0" w:rsidR="0039315B" w:rsidRPr="00DB3340" w:rsidRDefault="0039315B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PAIVA</w:t>
      </w:r>
      <w:r w:rsidRPr="00DB3340">
        <w:rPr>
          <w:color w:val="000000"/>
        </w:rPr>
        <w:t xml:space="preserve">, </w:t>
      </w:r>
      <w:r w:rsidRPr="00DB3340">
        <w:rPr>
          <w:color w:val="000000"/>
        </w:rPr>
        <w:t>David</w:t>
      </w:r>
      <w:r w:rsidRPr="00DB3340">
        <w:rPr>
          <w:color w:val="000000"/>
        </w:rPr>
        <w:t xml:space="preserve"> (AUTOR)2</w:t>
      </w:r>
    </w:p>
    <w:p w14:paraId="44AD599A" w14:textId="02B5AFE6" w:rsidR="0039315B" w:rsidRPr="00DB3340" w:rsidRDefault="00D82B95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ALMEIDA</w:t>
      </w:r>
      <w:r w:rsidR="0039315B" w:rsidRPr="00DB3340">
        <w:rPr>
          <w:color w:val="000000"/>
        </w:rPr>
        <w:t xml:space="preserve">, </w:t>
      </w:r>
      <w:proofErr w:type="spellStart"/>
      <w:r w:rsidR="0039315B" w:rsidRPr="00DB3340">
        <w:rPr>
          <w:color w:val="000000"/>
        </w:rPr>
        <w:t>Jocyane</w:t>
      </w:r>
      <w:proofErr w:type="spellEnd"/>
      <w:r w:rsidR="0039315B" w:rsidRPr="00DB3340">
        <w:rPr>
          <w:color w:val="000000"/>
        </w:rPr>
        <w:t xml:space="preserve"> </w:t>
      </w:r>
      <w:r w:rsidR="003A7725" w:rsidRPr="00DB3340">
        <w:rPr>
          <w:color w:val="000000"/>
        </w:rPr>
        <w:t>(AUTOR)</w:t>
      </w:r>
      <w:r w:rsidR="0039315B" w:rsidRPr="00DB3340">
        <w:rPr>
          <w:color w:val="000000"/>
        </w:rPr>
        <w:t>3</w:t>
      </w:r>
    </w:p>
    <w:p w14:paraId="1B63BD1D" w14:textId="416972E7" w:rsidR="0039315B" w:rsidRPr="00DB3340" w:rsidRDefault="00D82B95" w:rsidP="003A7725">
      <w:pPr>
        <w:pStyle w:val="NormalWeb"/>
        <w:spacing w:before="0" w:beforeAutospacing="0" w:after="150" w:afterAutospacing="0"/>
        <w:rPr>
          <w:color w:val="919298"/>
        </w:rPr>
      </w:pPr>
      <w:r w:rsidRPr="00DB3340">
        <w:t>VASCONCELOS</w:t>
      </w:r>
      <w:r w:rsidR="0039315B" w:rsidRPr="00DB3340">
        <w:rPr>
          <w:color w:val="000000"/>
        </w:rPr>
        <w:t xml:space="preserve">, </w:t>
      </w:r>
      <w:proofErr w:type="spellStart"/>
      <w:r w:rsidRPr="00DB3340">
        <w:t>Esleane</w:t>
      </w:r>
      <w:proofErr w:type="spellEnd"/>
      <w:r w:rsidRPr="00DB3340">
        <w:t xml:space="preserve"> </w:t>
      </w:r>
      <w:r w:rsidR="0039315B" w:rsidRPr="00DB3340">
        <w:rPr>
          <w:color w:val="000000"/>
        </w:rPr>
        <w:t>(AUTOR, ORIENTADOR)</w:t>
      </w:r>
      <w:r w:rsidR="003A7725" w:rsidRPr="00DB3340">
        <w:rPr>
          <w:color w:val="000000"/>
        </w:rPr>
        <w:t>4</w:t>
      </w:r>
    </w:p>
    <w:p w14:paraId="0D14B7E4" w14:textId="15538EAC" w:rsidR="00D82B95" w:rsidRPr="002F55AA" w:rsidRDefault="00D82B95" w:rsidP="00D82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55AA">
        <w:rPr>
          <w:rStyle w:val="Forte"/>
          <w:rFonts w:ascii="Times New Roman" w:hAnsi="Times New Roman" w:cs="Times New Roman"/>
          <w:color w:val="000000"/>
          <w:sz w:val="24"/>
          <w:szCs w:val="24"/>
        </w:rPr>
        <w:t>INTRODUÇÃO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>: O câncer gástrico é uma patologia de incidência mundial, que, apesar dos avanços na saúde, costuma acometer países desenvolvidos em uma proporção de dois terços maior do que em países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 em desenvolvimento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(1). Geralmente possui diagnóstico tardio</w:t>
      </w:r>
      <w:r w:rsidR="00187E44" w:rsidRPr="002F55A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>com 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avanço da doença, 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necessita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>de um tratamento radical, como a gastrectomia, tornando-o um paciente crítico e exigindo a necessidade da assistência contínua em um Centro de Terapia Intensiva (CTI) (1, 2). Sobre estas circunstâncias, o papel do enfermeiro é crucial à recuperação do paciente crítico, pois trata-se de um cuidado complexo e essencial para o estabelecimento do prognóstico do paciente, necessi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>tando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do planejamento da assistência visando validar e organizar os cuidados prestados, dispostos na Resolução COFEN 358/2009, que viabiliza o instrumento da Sistematização da Assistência de Enfermagem (SAE) como recurso exclusivo do profissional de enfermagem para promover um cuidado individualizado, humanizado e efetivo no CTI (3). </w:t>
      </w:r>
      <w:r w:rsidRPr="002F55AA">
        <w:rPr>
          <w:rStyle w:val="Forte"/>
          <w:rFonts w:ascii="Times New Roman" w:hAnsi="Times New Roman" w:cs="Times New Roman"/>
          <w:color w:val="000000"/>
          <w:sz w:val="24"/>
          <w:szCs w:val="24"/>
        </w:rPr>
        <w:t>OBJETIVO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: Descrever a experiência de acadêmicos de enfermagem acerca da utilização da SAE ao paciente crítico acometido por adenocarcinoma gástrico. </w:t>
      </w:r>
      <w:r w:rsidR="003A7725" w:rsidRPr="002F55AA">
        <w:rPr>
          <w:rStyle w:val="Forte"/>
          <w:rFonts w:ascii="Times New Roman" w:hAnsi="Times New Roman" w:cs="Times New Roman"/>
          <w:color w:val="000000"/>
          <w:sz w:val="24"/>
          <w:szCs w:val="24"/>
        </w:rPr>
        <w:t>METODOLOGIA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: O estudo caracteriza-se por ser descritivo do tipo relato de experiência. A prática ocorreu 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no mês de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>dezembro de 2019, no CTI de um hospital público referência regional em Pneumologia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a capital paraense. Dessa maneira, primeiramente aplicou-se o Processo de Enfermagem (PE) e a partir dos dados coletados, através 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anamnese, exame físico e a aferição dos sinais vitais, foram analisados e elencados os Diagnósticos de Enfermagem (DE), assim como estimados resultados esperados e implementado as intervenções de enfermagem necessárias, utilizando-se, para tanto, a taxonomia da North American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Association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(NANDA),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Outcome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(NOC) e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Nursing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Intervention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Classification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(NIC), respectivamente (4). 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A paciente tinha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49 anos, sexo feminino, 19° dia de CTI, em PO de gastrectomia total e </w:t>
      </w:r>
      <w:proofErr w:type="spellStart"/>
      <w:r w:rsidRPr="002F55AA">
        <w:rPr>
          <w:rFonts w:ascii="Times New Roman" w:eastAsia="Times New Roman" w:hAnsi="Times New Roman" w:cs="Times New Roman"/>
          <w:sz w:val="24"/>
          <w:szCs w:val="24"/>
        </w:rPr>
        <w:t>esofagojejunoanastomose</w:t>
      </w:r>
      <w:proofErr w:type="spell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por adenocarcinoma gástrico</w:t>
      </w:r>
      <w:r w:rsidR="00D4231B" w:rsidRPr="002F55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Resultados: Após a investigação dos problemas identificados pela coleta de dados, foram listados os seguintes DE: (Domínio 3 - Eliminação e troca) Constipação relacionada a  tumor e a motilidade gastrointestinal ausente, evidenciado por redução  do volume e frequência  das fezes; (Domínio  3 - Eliminação e troca) Troca de gases prejudicada relacionada a desequilíbrio  na relação  ventilação-perfusão, evidenciado por padrão  respiratório  anormal e gasometria arterial anormal; (Domínio 4 - Atividade/ repouso) Mobilidade no leito prejudicada relacionada à dor e força  muscular insuficiente, evidenciado por capacidade prejudicada  de se posicionar ao leito da cama; (Domínio  11 - Segurança/proteção) Risco de Infecção  relacionado a alteração  da integridade da pele e procedimentos invasivos; (Domínio  11 - Segurança/proteção) Risco de aspiração relacionado à  cirurgia do pescoço  e regime de tratamento; (Domínio  11 - Segurança/proteção) Risco de quedas relacionado à neoplasia e período  de recuperação  pós-operatória. Posteriormente foram traçados os seguintes resultados esperados: apresentará formação e evacuação das fezes antes da alta; apresentará resposta satisfatória à ventilação mecânica e posterior desmame </w:t>
      </w:r>
      <w:r w:rsidR="00DB3340" w:rsidRPr="002F55AA">
        <w:rPr>
          <w:rFonts w:ascii="Times New Roman" w:eastAsia="Times New Roman" w:hAnsi="Times New Roman" w:cs="Times New Roman"/>
          <w:sz w:val="24"/>
          <w:szCs w:val="24"/>
        </w:rPr>
        <w:t>ventilatório; apresentará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ausência de aspiração no CTI; mostrará capacidade de movimentar-se propositalmente de forma independente; apresentará ausência ou tratamento de infecciosos durante a </w:t>
      </w:r>
      <w:proofErr w:type="gramStart"/>
      <w:r w:rsidRPr="002F55AA">
        <w:rPr>
          <w:rFonts w:ascii="Times New Roman" w:eastAsia="Times New Roman" w:hAnsi="Times New Roman" w:cs="Times New Roman"/>
          <w:sz w:val="24"/>
          <w:szCs w:val="24"/>
        </w:rPr>
        <w:t>internação  no</w:t>
      </w:r>
      <w:proofErr w:type="gramEnd"/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CTI; calor e ausência de quedas durante  a internação . Em seguida foram implementadas as seguintes intervenções: realizar controle nutricional, hídrico e intestinal; realizar monitoração respiratória, controle e aspiração das vias aéreas; disponibilizar assistência no autocuidado tais como banho, higiene e movimentos induzidos para melhora da circulaçã</w:t>
      </w:r>
      <w:r w:rsidR="00DB3340" w:rsidRPr="002F55A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, providenciar troca de curativo do acesso central com técnica asséptica, realizar troca e cuidados com a sonda; realizar higiene, controle de infecção das lesões com a utilização de técnica  asséptica  para o seu manuseio e mudança de decúbito; manter barras de segurança do leito elevadas. </w:t>
      </w:r>
      <w:r w:rsidR="003A7725" w:rsidRPr="002F55AA">
        <w:rPr>
          <w:rStyle w:val="Forte"/>
          <w:rFonts w:ascii="Times New Roman" w:hAnsi="Times New Roman" w:cs="Times New Roman"/>
          <w:color w:val="000000"/>
          <w:sz w:val="24"/>
          <w:szCs w:val="24"/>
        </w:rPr>
        <w:t>CONSIDERAÇÕES FINAIS/CONTRIBUIÇÕES PARA A ENFERMAGEM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: Compreende-se, assim, a importância da </w:t>
      </w:r>
      <w:r w:rsidR="00187E44" w:rsidRPr="002F55AA">
        <w:rPr>
          <w:rFonts w:ascii="Times New Roman" w:eastAsia="Times New Roman" w:hAnsi="Times New Roman" w:cs="Times New Roman"/>
          <w:sz w:val="24"/>
          <w:szCs w:val="24"/>
        </w:rPr>
        <w:t>implementação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da SAE </w:t>
      </w:r>
      <w:r w:rsidR="00187E44" w:rsidRPr="002F55AA">
        <w:rPr>
          <w:rFonts w:ascii="Times New Roman" w:eastAsia="Times New Roman" w:hAnsi="Times New Roman" w:cs="Times New Roman"/>
          <w:sz w:val="24"/>
          <w:szCs w:val="24"/>
        </w:rPr>
        <w:t xml:space="preserve">e do PE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ao paciente em estado crítico, sendo essencial a construção de um plano de cuidados eficiente que possibilite a sua recuperação e/ou reabilitação, e que este processo possa-se somar aos cuidados da equipe multiprofissional. Dessa forma, é indispensável a experiência prática de acadêmicos de enfermagem, que </w:t>
      </w:r>
      <w:r w:rsidR="00187E44" w:rsidRPr="002F55AA">
        <w:rPr>
          <w:rFonts w:ascii="Times New Roman" w:eastAsia="Times New Roman" w:hAnsi="Times New Roman" w:cs="Times New Roman"/>
          <w:sz w:val="24"/>
          <w:szCs w:val="24"/>
        </w:rPr>
        <w:t>se vislumbram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2F55AA">
        <w:rPr>
          <w:rFonts w:ascii="Times New Roman" w:eastAsia="Times New Roman" w:hAnsi="Times New Roman" w:cs="Times New Roman"/>
          <w:sz w:val="24"/>
          <w:szCs w:val="24"/>
        </w:rPr>
        <w:lastRenderedPageBreak/>
        <w:t>instrumentalização profissional para conduzirem um desenvolvimento do aprendizado ativo e competente. À vista disso, constitui-se a assistência de enfermagem ao paciente crítico no CTI, que corrobora a concepção teórico-prática, construindo destreza, direcionando a julgamentos e tomadas de decisões assertivas sobre a assistência de enfermagem ao paciente crítico.</w:t>
      </w:r>
    </w:p>
    <w:p w14:paraId="7ECCFB11" w14:textId="77777777" w:rsidR="00D82B95" w:rsidRPr="00DB3340" w:rsidRDefault="00D82B95" w:rsidP="0039315B">
      <w:pPr>
        <w:pStyle w:val="NormalWeb"/>
        <w:spacing w:before="0" w:beforeAutospacing="0" w:after="150" w:afterAutospacing="0"/>
        <w:rPr>
          <w:color w:val="919298"/>
        </w:rPr>
      </w:pPr>
    </w:p>
    <w:p w14:paraId="5C5AD035" w14:textId="3BCE0D9D" w:rsidR="0039315B" w:rsidRPr="00DB3340" w:rsidRDefault="0039315B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rStyle w:val="Forte"/>
          <w:color w:val="000000"/>
        </w:rPr>
        <w:t>Descritores (</w:t>
      </w:r>
      <w:proofErr w:type="spellStart"/>
      <w:r w:rsidRPr="00DB3340">
        <w:rPr>
          <w:rStyle w:val="Forte"/>
          <w:color w:val="000000"/>
        </w:rPr>
        <w:t>DeCS</w:t>
      </w:r>
      <w:proofErr w:type="spellEnd"/>
      <w:r w:rsidRPr="00DB3340">
        <w:rPr>
          <w:rStyle w:val="Forte"/>
          <w:color w:val="000000"/>
        </w:rPr>
        <w:t xml:space="preserve"> – ID): </w:t>
      </w:r>
      <w:r w:rsidR="003A7725" w:rsidRPr="00DB3340">
        <w:rPr>
          <w:color w:val="000000"/>
          <w:shd w:val="clear" w:color="auto" w:fill="F7F9FA"/>
        </w:rPr>
        <w:t>Processo de Enfermagem – M0015104</w:t>
      </w:r>
      <w:r w:rsidRPr="00DB3340">
        <w:rPr>
          <w:color w:val="000000"/>
        </w:rPr>
        <w:t xml:space="preserve">; </w:t>
      </w:r>
      <w:r w:rsidR="00DB3340" w:rsidRPr="00DB3340">
        <w:rPr>
          <w:color w:val="000000"/>
        </w:rPr>
        <w:t xml:space="preserve">Neoplasias gástricas </w:t>
      </w:r>
      <w:r w:rsidR="00DB3340" w:rsidRPr="00DB3340">
        <w:rPr>
          <w:color w:val="000000"/>
          <w:shd w:val="clear" w:color="auto" w:fill="F7F9FA"/>
        </w:rPr>
        <w:t xml:space="preserve">– </w:t>
      </w:r>
      <w:r w:rsidR="00DB3340" w:rsidRPr="00DB3340">
        <w:rPr>
          <w:color w:val="212529"/>
          <w:shd w:val="clear" w:color="auto" w:fill="FFFFFF"/>
        </w:rPr>
        <w:t>D013274</w:t>
      </w:r>
      <w:r w:rsidRPr="00DB3340">
        <w:rPr>
          <w:color w:val="000000"/>
        </w:rPr>
        <w:t xml:space="preserve">; </w:t>
      </w:r>
      <w:r w:rsidR="00DB3340" w:rsidRPr="00DB3340">
        <w:rPr>
          <w:color w:val="000000"/>
        </w:rPr>
        <w:t xml:space="preserve">Unidades de terapia intensivas </w:t>
      </w:r>
      <w:r w:rsidR="00DB3340" w:rsidRPr="00DB3340">
        <w:rPr>
          <w:color w:val="000000"/>
          <w:shd w:val="clear" w:color="auto" w:fill="F7F9FA"/>
        </w:rPr>
        <w:t xml:space="preserve">– </w:t>
      </w:r>
      <w:r w:rsidR="00DB3340" w:rsidRPr="00DB3340">
        <w:rPr>
          <w:color w:val="212529"/>
          <w:shd w:val="clear" w:color="auto" w:fill="FFFFFF"/>
        </w:rPr>
        <w:t>D007362</w:t>
      </w:r>
      <w:r w:rsidRPr="00DB3340">
        <w:rPr>
          <w:color w:val="000000"/>
        </w:rPr>
        <w:t>.</w:t>
      </w:r>
    </w:p>
    <w:p w14:paraId="22F276D2" w14:textId="77777777" w:rsidR="0039315B" w:rsidRPr="00DB3340" w:rsidRDefault="0039315B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rStyle w:val="Forte"/>
          <w:color w:val="000000"/>
        </w:rPr>
        <w:t>Referências:</w:t>
      </w:r>
    </w:p>
    <w:p w14:paraId="7EA85F93" w14:textId="77777777" w:rsidR="00D82B95" w:rsidRPr="00DB3340" w:rsidRDefault="00D82B95" w:rsidP="00D82B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Richman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DM,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Tirumani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SH,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Hornick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JL, Fuchs CS, Howard S,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Krajewski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Ramaiya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N, Rosenthal M. Além do adenocarcinoma gástrico: avaliação multimodal de neoplasias gástricas comuns e incomuns.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Abdom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Radiol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(NY). Jan 2017; 42 (1): 124-140.</w:t>
      </w:r>
    </w:p>
    <w:p w14:paraId="1C678643" w14:textId="77777777" w:rsidR="00D82B95" w:rsidRPr="00DB3340" w:rsidRDefault="00D82B95" w:rsidP="00D82B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 Agência Nacional de Vigilância Sanitária (BRASIL). Resolução nº. 7, de 24 de fevereiro de 2010. Dispõe sobre requisitos mínimos para o funcionamento de Unidades de Terapia Intensiva e dá outras providências. Diário Oficial da União 24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>fev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2010; Seção 1.</w:t>
      </w:r>
    </w:p>
    <w:p w14:paraId="4A96758E" w14:textId="77777777" w:rsidR="00D82B95" w:rsidRPr="00DB3340" w:rsidRDefault="00D82B95" w:rsidP="00D82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2tl32ytaa5jn"/>
      <w:bookmarkEnd w:id="0"/>
      <w:r w:rsidRPr="00DB3340">
        <w:rPr>
          <w:rFonts w:ascii="Times New Roman" w:eastAsia="Times New Roman" w:hAnsi="Times New Roman" w:cs="Times New Roman"/>
          <w:sz w:val="24"/>
          <w:szCs w:val="24"/>
        </w:rPr>
        <w:t>3. Conselho Federal de Enfermagem (Brasil). Resolução nº. 358, de 15 de outubro de 2009. Dispõe sobre a Sistematização da Assistência de Enfermagem e a implementação do Processo de Enfermagem em ambientes, públicos ou privados, em que ocorre o cuidado profissional de enfermagem, e dá outras providências. Brasília-DF 15 out 2009.</w:t>
      </w:r>
    </w:p>
    <w:p w14:paraId="0928B1CA" w14:textId="77777777" w:rsidR="00D82B95" w:rsidRPr="00DB3340" w:rsidRDefault="00D82B95" w:rsidP="00D82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7k4izhllv0ig"/>
      <w:bookmarkEnd w:id="1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Herdman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TH,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Kamitsuru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S. Diagnósticos de Enfermagem da NANDA-I: definições e classificação 2018-2020 [recurso eletrônico] / [NANDA internacional]. 11. ed. Porto Alegre: Artmed; 2018. 1187 p.</w:t>
      </w:r>
    </w:p>
    <w:p w14:paraId="793946C1" w14:textId="77777777" w:rsidR="00D82B95" w:rsidRPr="00DB3340" w:rsidRDefault="00D82B95" w:rsidP="00D82B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f1kwfvs8l9jv"/>
      <w:bookmarkEnd w:id="2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5. Johnson M,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Moorhead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S,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Bulecheck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G,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Butcher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H, Maas M,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Swanson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E. Ligações entre: NANDA, NOC e NIC: Condições clínicas. 3. ed. Rio de Janeiro: </w:t>
      </w:r>
      <w:proofErr w:type="spellStart"/>
      <w:r w:rsidRPr="00DB3340">
        <w:rPr>
          <w:rFonts w:ascii="Times New Roman" w:eastAsia="Times New Roman" w:hAnsi="Times New Roman" w:cs="Times New Roman"/>
          <w:sz w:val="24"/>
          <w:szCs w:val="24"/>
        </w:rPr>
        <w:t>Mosby</w:t>
      </w:r>
      <w:proofErr w:type="spellEnd"/>
      <w:r w:rsidRPr="00DB3340">
        <w:rPr>
          <w:rFonts w:ascii="Times New Roman" w:eastAsia="Times New Roman" w:hAnsi="Times New Roman" w:cs="Times New Roman"/>
          <w:sz w:val="24"/>
          <w:szCs w:val="24"/>
        </w:rPr>
        <w:t xml:space="preserve"> Elsevier; 2012. 647 p.</w:t>
      </w:r>
    </w:p>
    <w:p w14:paraId="040BD644" w14:textId="77777777" w:rsidR="0039315B" w:rsidRPr="00DB3340" w:rsidRDefault="0039315B" w:rsidP="0039315B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___________________________________________________</w:t>
      </w:r>
    </w:p>
    <w:p w14:paraId="4E130C6B" w14:textId="4C5DFD7F" w:rsidR="00D82B95" w:rsidRPr="00DB3340" w:rsidRDefault="0039315B" w:rsidP="00D82B95">
      <w:pPr>
        <w:pStyle w:val="NormalWeb"/>
        <w:spacing w:before="0" w:beforeAutospacing="0" w:after="150" w:afterAutospacing="0"/>
        <w:rPr>
          <w:color w:val="000000"/>
        </w:rPr>
      </w:pPr>
      <w:r w:rsidRPr="00DB3340">
        <w:rPr>
          <w:color w:val="000000"/>
        </w:rPr>
        <w:t>1 </w:t>
      </w:r>
      <w:r w:rsidR="00D82B95" w:rsidRPr="00DB3340">
        <w:rPr>
          <w:color w:val="000000"/>
        </w:rPr>
        <w:t>Graduando</w:t>
      </w:r>
      <w:r w:rsidRPr="00DB3340">
        <w:rPr>
          <w:color w:val="000000"/>
        </w:rPr>
        <w:t xml:space="preserve">. </w:t>
      </w:r>
      <w:r w:rsidR="00D82B95" w:rsidRPr="00DB3340">
        <w:rPr>
          <w:color w:val="000000"/>
        </w:rPr>
        <w:t>Enfermagem</w:t>
      </w:r>
      <w:r w:rsidRPr="00DB3340">
        <w:rPr>
          <w:color w:val="000000"/>
        </w:rPr>
        <w:t xml:space="preserve">, </w:t>
      </w:r>
      <w:r w:rsidR="00D82B95" w:rsidRPr="00DB3340">
        <w:rPr>
          <w:color w:val="000000"/>
        </w:rPr>
        <w:t>acadêmico</w:t>
      </w:r>
      <w:r w:rsidRPr="00DB3340">
        <w:rPr>
          <w:color w:val="000000"/>
        </w:rPr>
        <w:t xml:space="preserve">. </w:t>
      </w:r>
      <w:r w:rsidR="00D82B95" w:rsidRPr="00DB3340">
        <w:rPr>
          <w:color w:val="000000"/>
        </w:rPr>
        <w:t>Universidade Federal do Pará</w:t>
      </w:r>
      <w:r w:rsidRPr="00DB3340">
        <w:rPr>
          <w:color w:val="000000"/>
        </w:rPr>
        <w:t xml:space="preserve">. </w:t>
      </w:r>
      <w:hyperlink r:id="rId4" w:history="1">
        <w:r w:rsidR="00D82B95" w:rsidRPr="00DB3340">
          <w:rPr>
            <w:rStyle w:val="Hyperlink"/>
          </w:rPr>
          <w:t>favachodeborah@gmail.com</w:t>
        </w:r>
      </w:hyperlink>
    </w:p>
    <w:p w14:paraId="6E4E9BD1" w14:textId="0638D1F7" w:rsidR="0039315B" w:rsidRPr="00DB3340" w:rsidRDefault="0039315B" w:rsidP="00D82B95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2 </w:t>
      </w:r>
      <w:r w:rsidR="00D82B95" w:rsidRPr="00DB3340">
        <w:rPr>
          <w:color w:val="000000"/>
        </w:rPr>
        <w:t>Graduando. Enfermagem, acadêmico. Universidade Federal do Pará</w:t>
      </w:r>
      <w:r w:rsidR="00D82B95" w:rsidRPr="00DB3340">
        <w:rPr>
          <w:color w:val="000000"/>
        </w:rPr>
        <w:t>.</w:t>
      </w:r>
    </w:p>
    <w:p w14:paraId="58BC9D9B" w14:textId="717877A3" w:rsidR="0039315B" w:rsidRPr="00DB3340" w:rsidRDefault="0039315B" w:rsidP="00D82B95">
      <w:pPr>
        <w:pStyle w:val="NormalWeb"/>
        <w:spacing w:before="0" w:beforeAutospacing="0" w:after="150" w:afterAutospacing="0"/>
        <w:rPr>
          <w:color w:val="919298"/>
        </w:rPr>
      </w:pPr>
      <w:r w:rsidRPr="00DB3340">
        <w:rPr>
          <w:color w:val="000000"/>
        </w:rPr>
        <w:t>3 </w:t>
      </w:r>
      <w:r w:rsidR="00D82B95" w:rsidRPr="00DB3340">
        <w:rPr>
          <w:color w:val="000000"/>
        </w:rPr>
        <w:t>Graduando. Enfermagem, acadêmico. Universidade Federal do Pará</w:t>
      </w:r>
      <w:r w:rsidR="00D82B95" w:rsidRPr="00DB3340">
        <w:rPr>
          <w:color w:val="000000"/>
        </w:rPr>
        <w:t>.</w:t>
      </w:r>
    </w:p>
    <w:p w14:paraId="2256A1B0" w14:textId="50359657" w:rsidR="00D82B95" w:rsidRPr="00DB3340" w:rsidRDefault="00D82B95" w:rsidP="00D82B95">
      <w:pPr>
        <w:pStyle w:val="NormalWeb"/>
        <w:spacing w:before="0" w:beforeAutospacing="0" w:after="150" w:afterAutospacing="0"/>
        <w:rPr>
          <w:color w:val="000000"/>
        </w:rPr>
      </w:pPr>
      <w:r w:rsidRPr="00DB3340">
        <w:rPr>
          <w:color w:val="000000"/>
        </w:rPr>
        <w:t>4</w:t>
      </w:r>
      <w:r w:rsidR="0039315B" w:rsidRPr="00DB3340">
        <w:rPr>
          <w:color w:val="000000"/>
        </w:rPr>
        <w:t> </w:t>
      </w:r>
      <w:r w:rsidRPr="00DB3340">
        <w:rPr>
          <w:color w:val="000000"/>
        </w:rPr>
        <w:t>Mestrado</w:t>
      </w:r>
      <w:r w:rsidR="0039315B" w:rsidRPr="00DB3340">
        <w:rPr>
          <w:color w:val="000000"/>
        </w:rPr>
        <w:t xml:space="preserve">. </w:t>
      </w:r>
      <w:r w:rsidRPr="00DB3340">
        <w:rPr>
          <w:color w:val="000000"/>
        </w:rPr>
        <w:t>Enfermagem</w:t>
      </w:r>
      <w:r w:rsidR="0039315B" w:rsidRPr="00DB3340">
        <w:rPr>
          <w:color w:val="000000"/>
        </w:rPr>
        <w:t xml:space="preserve">, </w:t>
      </w:r>
      <w:r w:rsidRPr="00DB3340">
        <w:rPr>
          <w:color w:val="000000"/>
        </w:rPr>
        <w:t>docente</w:t>
      </w:r>
      <w:r w:rsidR="0039315B" w:rsidRPr="00DB3340">
        <w:rPr>
          <w:color w:val="000000"/>
        </w:rPr>
        <w:t xml:space="preserve">. </w:t>
      </w:r>
      <w:r w:rsidRPr="00DB3340">
        <w:rPr>
          <w:color w:val="000000"/>
        </w:rPr>
        <w:t>Universidade Federal do Pará.</w:t>
      </w:r>
    </w:p>
    <w:p w14:paraId="29CD47EB" w14:textId="77777777" w:rsidR="0039315B" w:rsidRPr="00DB3340" w:rsidRDefault="0039315B">
      <w:pPr>
        <w:rPr>
          <w:rFonts w:ascii="Times New Roman" w:hAnsi="Times New Roman" w:cs="Times New Roman"/>
          <w:sz w:val="24"/>
          <w:szCs w:val="24"/>
        </w:rPr>
      </w:pPr>
    </w:p>
    <w:sectPr w:rsidR="0039315B" w:rsidRPr="00DB3340" w:rsidSect="003931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5B"/>
    <w:rsid w:val="00187E44"/>
    <w:rsid w:val="002F55AA"/>
    <w:rsid w:val="0039315B"/>
    <w:rsid w:val="003A7725"/>
    <w:rsid w:val="00D4231B"/>
    <w:rsid w:val="00D82B95"/>
    <w:rsid w:val="00D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6D8B"/>
  <w15:chartTrackingRefBased/>
  <w15:docId w15:val="{4937E440-2017-41E8-868F-1D99249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315B"/>
    <w:rPr>
      <w:b/>
      <w:bCs/>
    </w:rPr>
  </w:style>
  <w:style w:type="character" w:styleId="Hyperlink">
    <w:name w:val="Hyperlink"/>
    <w:basedOn w:val="Fontepargpadro"/>
    <w:uiPriority w:val="99"/>
    <w:unhideWhenUsed/>
    <w:rsid w:val="00D82B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2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vachodeborah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1077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Jhonnatan e Deborah Baia</dc:creator>
  <cp:keywords/>
  <dc:description/>
  <cp:lastModifiedBy>Jhonnatan e Deborah Baia</cp:lastModifiedBy>
  <cp:revision>2</cp:revision>
  <dcterms:created xsi:type="dcterms:W3CDTF">2021-05-11T00:49:00Z</dcterms:created>
  <dcterms:modified xsi:type="dcterms:W3CDTF">2021-05-11T01:57:00Z</dcterms:modified>
</cp:coreProperties>
</file>