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79" w:rsidRDefault="0035318C" w:rsidP="00802913">
      <w:pPr>
        <w:pStyle w:val="Ttulo"/>
      </w:pPr>
      <w:bookmarkStart w:id="0" w:name="_Toc3626291"/>
      <w:r w:rsidRPr="0035318C">
        <w:t>O CONSUMO DAS FAMÍLIAS NO BRASIL SEGUNDO A PESQUISA DE ORÇAMENTO FAMILIAR 2017-2018 E A PÓS-MODERNIDADE</w:t>
      </w:r>
    </w:p>
    <w:p w:rsidR="00686B79" w:rsidRPr="00696317" w:rsidRDefault="00686B79" w:rsidP="00686B79"/>
    <w:p w:rsidR="00686B79" w:rsidRPr="007C401F" w:rsidRDefault="00686B79" w:rsidP="00686B79">
      <w:pPr>
        <w:pStyle w:val="FPCNomedoAutor"/>
        <w:spacing w:before="0" w:after="0"/>
        <w:jc w:val="left"/>
        <w:rPr>
          <w:rFonts w:ascii="Times New Roman" w:hAnsi="Times New Roman"/>
          <w:spacing w:val="-2"/>
          <w:sz w:val="22"/>
          <w:lang w:val="pt-PT"/>
        </w:rPr>
      </w:pPr>
    </w:p>
    <w:p w:rsidR="00686B79" w:rsidRDefault="00802913" w:rsidP="00686B79">
      <w:pPr>
        <w:rPr>
          <w:rStyle w:val="Textoennegrita"/>
        </w:rPr>
      </w:pPr>
      <w:r>
        <w:rPr>
          <w:rStyle w:val="Textoennegrita"/>
        </w:rPr>
        <w:t>Resumo</w:t>
      </w:r>
    </w:p>
    <w:p w:rsidR="00686B79" w:rsidRPr="00802913" w:rsidRDefault="0035318C" w:rsidP="00686B79">
      <w:pPr>
        <w:rPr>
          <w:rStyle w:val="Textoennegrita"/>
          <w:b w:val="0"/>
        </w:rPr>
      </w:pPr>
      <w:r w:rsidRPr="0035318C">
        <w:rPr>
          <w:rStyle w:val="Textoennegrita"/>
          <w:b w:val="0"/>
        </w:rPr>
        <w:t xml:space="preserve">O consumo pós-modernista útil que transforma as vidas dos indivíduos é a chave das gerações futuras. Destarte, esta pesquisa objetivou analisar o consumo das famílias brasileiras segundo a Pesquisa de Orçamento Familiar (POF) 2017-2018, realizando-se uma pesquisa documental nos primeiros resultados da POF 2017-2018. Como resultados, percebeu-se uma ampla POF em duração (12 meses) e expansão territorial (57.920 domicílios), uma elevada influência das despesas de consumo na estrutura das despesas das famílias (92,6% para renda até R$ 1.908,00), um grande peso das despesas habitação/transporte/alimentação nas despesas de consumo (2/3 do total) e importantes diferenças nos consumos tanto entre as Grandes Regiões quanto na comparação das séries históricas. Conclui-se pela importância dos resultados no conhecimento da POF e do consumo e índices </w:t>
      </w:r>
      <w:r w:rsidR="004D1C01">
        <w:rPr>
          <w:rStyle w:val="Textoennegrita"/>
          <w:b w:val="0"/>
        </w:rPr>
        <w:t>que ditam as condições de vida.</w:t>
      </w:r>
    </w:p>
    <w:p w:rsidR="00686B79" w:rsidRPr="00277A49" w:rsidRDefault="00686B79" w:rsidP="00686B79">
      <w:pPr>
        <w:pStyle w:val="FPCTextonormal"/>
        <w:spacing w:before="0" w:after="0"/>
        <w:rPr>
          <w:rFonts w:ascii="Times New Roman" w:hAnsi="Times New Roman"/>
          <w:sz w:val="20"/>
          <w:szCs w:val="20"/>
        </w:rPr>
      </w:pPr>
    </w:p>
    <w:p w:rsidR="00686B79" w:rsidRPr="0035318C" w:rsidRDefault="00686B79" w:rsidP="00686B79">
      <w:pPr>
        <w:rPr>
          <w:lang w:eastAsia="ja-JP"/>
        </w:rPr>
      </w:pPr>
      <w:r w:rsidRPr="00277A49">
        <w:rPr>
          <w:b/>
          <w:lang w:val="pt-PT" w:eastAsia="ja-JP"/>
        </w:rPr>
        <w:t xml:space="preserve">Palavras-chave: </w:t>
      </w:r>
      <w:r w:rsidR="0035318C" w:rsidRPr="0035318C">
        <w:rPr>
          <w:lang w:val="pt-PT" w:eastAsia="ja-JP"/>
        </w:rPr>
        <w:t>Administração Pública. Consumo. Pesquisa de Orçamento Familiar. Pós-modernidade</w:t>
      </w:r>
      <w:r w:rsidRPr="0035318C">
        <w:rPr>
          <w:lang w:eastAsia="ja-JP"/>
        </w:rPr>
        <w:t>.</w:t>
      </w:r>
    </w:p>
    <w:p w:rsidR="00686B79" w:rsidRPr="0035318C" w:rsidRDefault="00686B79" w:rsidP="00686B79">
      <w:pPr>
        <w:pStyle w:val="FPCTextonormal"/>
        <w:spacing w:before="0" w:after="0"/>
        <w:rPr>
          <w:rFonts w:ascii="Times New Roman" w:hAnsi="Times New Roman"/>
          <w:sz w:val="20"/>
          <w:szCs w:val="20"/>
          <w:lang w:eastAsia="ja-JP"/>
        </w:rPr>
      </w:pPr>
    </w:p>
    <w:p w:rsidR="00686B79" w:rsidRPr="0035318C" w:rsidRDefault="00686B79" w:rsidP="00686B79">
      <w:pPr>
        <w:pStyle w:val="FPCTextonormal"/>
        <w:spacing w:before="0" w:after="0"/>
        <w:rPr>
          <w:rFonts w:ascii="Times New Roman" w:hAnsi="Times New Roman"/>
          <w:sz w:val="20"/>
          <w:szCs w:val="20"/>
          <w:lang w:eastAsia="ja-JP"/>
        </w:rPr>
      </w:pPr>
    </w:p>
    <w:p w:rsidR="00686B79" w:rsidRPr="002C426D" w:rsidRDefault="00686B79" w:rsidP="00686B79">
      <w:pPr>
        <w:rPr>
          <w:b/>
          <w:lang w:val="en-US"/>
        </w:rPr>
      </w:pPr>
      <w:bookmarkStart w:id="1" w:name="_Toc519335634"/>
      <w:bookmarkEnd w:id="0"/>
      <w:r w:rsidRPr="002C426D">
        <w:rPr>
          <w:b/>
          <w:lang w:val="en-US"/>
        </w:rPr>
        <w:t>ABSTRACT</w:t>
      </w:r>
    </w:p>
    <w:p w:rsidR="00686B79" w:rsidRPr="002C426D" w:rsidRDefault="0035318C" w:rsidP="00686B79">
      <w:pPr>
        <w:rPr>
          <w:b/>
          <w:bCs/>
          <w:lang w:val="en-US"/>
        </w:rPr>
      </w:pPr>
      <w:r w:rsidRPr="0035318C">
        <w:rPr>
          <w:rStyle w:val="Textoennegrita"/>
          <w:b w:val="0"/>
          <w:lang w:val="en-US"/>
        </w:rPr>
        <w:t>Useful postmodernist consumption that transforms the lives of individuals is the key to future generations. Thus, this research aimed to analyze the consumption of Brazilian families according to the Brazilian Household Budget Survey (BHBS) 2017-2018, conducting a documentary research in the first results of the POF 2017-2018. As a result, it was realized a wide BHBS in duration (12 months) and territorial expansion (57,920 households), a high influence of consumption expenses on the structure of household expenses (92.6% for income up to R$ 1,908.00), a large share of housing/transportation/food expenses in consumption expenses (2/3 of the total) and important differences in consumption both among the Major Regions as the comparison of historical series. It concludes by the importance of the results in the knowledge of the BHBS and of the consumption and of the indices that dictate the conditions of life.</w:t>
      </w:r>
    </w:p>
    <w:p w:rsidR="00686B79" w:rsidRPr="002C426D" w:rsidRDefault="00686B79" w:rsidP="00686B79">
      <w:pPr>
        <w:rPr>
          <w:lang w:val="en-US"/>
        </w:rPr>
      </w:pPr>
    </w:p>
    <w:p w:rsidR="00686B79" w:rsidRPr="007669DE" w:rsidRDefault="00686B79" w:rsidP="00686B79">
      <w:pPr>
        <w:jc w:val="left"/>
        <w:rPr>
          <w:b/>
          <w:sz w:val="24"/>
          <w:szCs w:val="24"/>
        </w:rPr>
      </w:pPr>
      <w:r w:rsidRPr="00F824E1">
        <w:rPr>
          <w:b/>
          <w:lang w:val="en-US"/>
        </w:rPr>
        <w:t>Keywords</w:t>
      </w:r>
      <w:r w:rsidRPr="00F824E1">
        <w:rPr>
          <w:lang w:val="en-US"/>
        </w:rPr>
        <w:t xml:space="preserve">: </w:t>
      </w:r>
      <w:r w:rsidR="0035318C" w:rsidRPr="0035318C">
        <w:rPr>
          <w:lang w:val="en-US" w:eastAsia="ja-JP"/>
        </w:rPr>
        <w:t>Public Administration. Consumption.</w:t>
      </w:r>
      <w:r w:rsidR="0035318C">
        <w:rPr>
          <w:lang w:val="en-US" w:eastAsia="ja-JP"/>
        </w:rPr>
        <w:t xml:space="preserve"> Household Budget Survey. Post-M</w:t>
      </w:r>
      <w:r w:rsidR="0035318C" w:rsidRPr="0035318C">
        <w:rPr>
          <w:lang w:val="en-US" w:eastAsia="ja-JP"/>
        </w:rPr>
        <w:t>odernity</w:t>
      </w:r>
      <w:r w:rsidRPr="00277A49">
        <w:rPr>
          <w:lang w:val="pt-PT" w:eastAsia="ja-JP"/>
        </w:rPr>
        <w:t>.</w:t>
      </w:r>
    </w:p>
    <w:p w:rsidR="00686B79" w:rsidRPr="007669DE" w:rsidRDefault="00686B79" w:rsidP="00686B79">
      <w:pPr>
        <w:rPr>
          <w:b/>
          <w:sz w:val="24"/>
          <w:szCs w:val="24"/>
        </w:rPr>
      </w:pPr>
    </w:p>
    <w:p w:rsidR="00686B79" w:rsidRPr="007669DE" w:rsidRDefault="00686B79" w:rsidP="00686B79">
      <w:pPr>
        <w:rPr>
          <w:b/>
          <w:sz w:val="24"/>
          <w:szCs w:val="24"/>
        </w:rPr>
      </w:pPr>
    </w:p>
    <w:p w:rsidR="00686B79" w:rsidRPr="00F345FD" w:rsidRDefault="00686B79" w:rsidP="00686B79">
      <w:pPr>
        <w:numPr>
          <w:ilvl w:val="0"/>
          <w:numId w:val="1"/>
        </w:numPr>
        <w:rPr>
          <w:b/>
          <w:sz w:val="24"/>
          <w:szCs w:val="24"/>
        </w:rPr>
      </w:pPr>
      <w:r w:rsidRPr="007669DE">
        <w:rPr>
          <w:rStyle w:val="SeoChar"/>
        </w:rPr>
        <w:t>INTRODUÇÃO</w:t>
      </w:r>
    </w:p>
    <w:p w:rsidR="00686B79" w:rsidRPr="00F345FD" w:rsidRDefault="00686B79" w:rsidP="00686B79">
      <w:pPr>
        <w:rPr>
          <w:b/>
          <w:sz w:val="24"/>
          <w:szCs w:val="24"/>
        </w:rPr>
      </w:pPr>
    </w:p>
    <w:p w:rsidR="00B00B8C" w:rsidRDefault="00B00B8C" w:rsidP="00B00B8C">
      <w:pPr>
        <w:pStyle w:val="Sinespaciado"/>
      </w:pPr>
      <w:r>
        <w:t>Consumir é algo inerente à vida das pessoas, mas “não um simples movimento em busca da satisfação de necessidades básicas ou de apropriação de bens” (SILVA; ARAÚJO; SOUZA, 2007, p. 105), pois, conforme esses autores, o consumo “diz respeito à totalidade das interações sociais, desde a distinção entre grupos, até o estado do sistema educacional e das inovações tecnológicas” (SILVA; ARAÚJO; SOUZA, 2007, p. 106).</w:t>
      </w:r>
    </w:p>
    <w:p w:rsidR="00B00B8C" w:rsidRDefault="00B00B8C" w:rsidP="00B00B8C">
      <w:pPr>
        <w:pStyle w:val="Sinespaciado"/>
      </w:pPr>
      <w:r>
        <w:t xml:space="preserve">Para além das interações sociais, surge na pós-modernidade - período iniciado por volta de 1950 e caracterizado por “visões contrastantes e críticas, com base na negação de valores e normas e na rejeição de uma única ordem” (TORRES, 2015, p. 2) - uma cultura muito forte de consumo, que extrapola a simples </w:t>
      </w:r>
      <w:r>
        <w:lastRenderedPageBreak/>
        <w:t>participação e interação nos cenários sociais e que se distancia um pouco do conceito de consumir trazido por Silva, Araújo e Souza (2007, p. 106) de que consumir é “participar dos cenários da vida social, de suas disputas e significados”.</w:t>
      </w:r>
    </w:p>
    <w:p w:rsidR="00B00B8C" w:rsidRDefault="00B00B8C" w:rsidP="00B00B8C">
      <w:pPr>
        <w:pStyle w:val="Sinespaciado"/>
      </w:pPr>
      <w:r>
        <w:t>E nessa perspectiva do consumo pós-modernista, vê-se que “a tarefa dos consumidores e o principal motivo que os estimula a se engajar numa incessante atividade de consumo, é sair dessa invisibilidade e imaterialidade cinza e monótona, destacando-se da massa [...]” (BAUMAN, 2008, p. 21). Parece ser essa a grande realidade por trás do consumo acima do normal existente em nossas sociedades: querer participar, mostrar-se, ser mais do que somente um no conjunto das pessoas.</w:t>
      </w:r>
    </w:p>
    <w:p w:rsidR="00B00B8C" w:rsidRDefault="00B00B8C" w:rsidP="00B00B8C">
      <w:pPr>
        <w:pStyle w:val="Sinespaciado"/>
      </w:pPr>
      <w:r>
        <w:t>Além disso, na ótica pós-modernista não basta somente consumir por consumir; toda pessoa só se tornará um sujeito de sua história, um verdadeiro consumidor, tornando-se antes mercadoria, é o que afirma Bauman (2008) que diz ainda que “ninguém pode manter segura sua subjetividade sem reanimar, ressuscitar e recarregar de maneira perpétua as capacidades esperadas e exigidas de uma mercadoria vendável” (BAUMAN, 2008, p. 20).</w:t>
      </w:r>
    </w:p>
    <w:p w:rsidR="00B00B8C" w:rsidRDefault="00B00B8C" w:rsidP="00B00B8C">
      <w:pPr>
        <w:pStyle w:val="Sinespaciado"/>
      </w:pPr>
      <w:r>
        <w:t>Em vista disso, têm-se presente na pós-modernidade as grandes transformações sociais e institucionais que moldam e transformam as vidas dos indivíduos: valorização do mercado, modo de consumo exacerbado, variedade de produtos ofertados, natureza das empresas comerciais em expansão e identidade do cliente em dualidade – consumidor/mercadoria (BARDHI; ECKHARDT, 2017).</w:t>
      </w:r>
    </w:p>
    <w:p w:rsidR="00B00B8C" w:rsidRDefault="00B00B8C" w:rsidP="00B00B8C">
      <w:pPr>
        <w:pStyle w:val="Sinespaciado"/>
      </w:pPr>
      <w:r>
        <w:t>Desses apontamentos iniciais, entende-se a relevância do estudo do consumo das famílias sob um olhar da pós-modernidade, pois se verifica a necessidade do discernimento entre um consumo útil que proporciona conforto, lazer e prazer, satisfazendo, principalmente, as necessidades básicas humanas, a um consumismo destrutivo que atrai extravagância, desperdício e luxo e ignora o bem-estar ambiental e a necessidade das gerações futuras (QUOQUAB; MOHAMMAD, 2016).</w:t>
      </w:r>
    </w:p>
    <w:p w:rsidR="00F824E1" w:rsidRDefault="00B00B8C" w:rsidP="00B00B8C">
      <w:pPr>
        <w:pStyle w:val="Sinespaciado"/>
      </w:pPr>
      <w:r>
        <w:t>Diante da importância do tema e do desconhecimento de informações referentes ao consumo das famílias brasileiras como, por exemplo, estruturação, participação no total das despesas, comparações entre os ambientes urbano e rural e dados anteriores, esta pesquisa tem como objetivo analisar o consumo das famílias brasileiras segundo a Pesquisa de Orçamento Familiar 2017-2018 (POF 2017-2018), a qual teve seus primeiros resultados publicados em 2019.</w:t>
      </w:r>
    </w:p>
    <w:p w:rsidR="00F824E1" w:rsidRDefault="00F824E1" w:rsidP="00F824E1">
      <w:pPr>
        <w:pStyle w:val="Sinespaciado"/>
      </w:pPr>
    </w:p>
    <w:p w:rsidR="00F824E1" w:rsidRPr="00F345FD" w:rsidRDefault="00F824E1" w:rsidP="00F824E1">
      <w:pPr>
        <w:numPr>
          <w:ilvl w:val="0"/>
          <w:numId w:val="1"/>
        </w:numPr>
        <w:rPr>
          <w:b/>
          <w:sz w:val="24"/>
          <w:szCs w:val="24"/>
        </w:rPr>
      </w:pPr>
      <w:r>
        <w:rPr>
          <w:rStyle w:val="SeoChar"/>
        </w:rPr>
        <w:t>METODOLOGIA</w:t>
      </w:r>
    </w:p>
    <w:p w:rsidR="00F824E1" w:rsidRDefault="00F824E1" w:rsidP="00F824E1">
      <w:pPr>
        <w:pStyle w:val="Sinespaciado"/>
      </w:pPr>
    </w:p>
    <w:p w:rsidR="00B00B8C" w:rsidRDefault="00B00B8C" w:rsidP="00B00B8C">
      <w:pPr>
        <w:pStyle w:val="Sinespaciado"/>
      </w:pPr>
      <w:r>
        <w:t xml:space="preserve">Para atingir o objetivo deste trabalho, quanto aos procedimentos ou delineamentos, utilizou-se a POF 2017-2018 (IBGE) para uma análise documental, baseando-se nos dados sobre o orçamento familiar brasileiro, ou seja, “utilizando-se de fontes chamadas secundárias, como dados estatísticos elaborados por institutos especializados e considerados confiáveis para a realização da pesquisa” (PÁDUA, 1989, p. 154). Dessa maneira, realizou-se uma descrição da metodologia utilizada na referida pesquisa; a definição da estruturação das despesas de consumo; e a comparação do consumo das famílias segundo três aspectos: nos ambientes urbano </w:t>
      </w:r>
      <w:r>
        <w:lastRenderedPageBreak/>
        <w:t>e rural e Grandes Regiões, segundo as classes de rendimento extremo e comparando as séries históricas de pesquisas nacionais do Instituto Brasileiro de Geografia e Estatística (IBGE).</w:t>
      </w:r>
    </w:p>
    <w:p w:rsidR="00B00B8C" w:rsidRDefault="00B00B8C" w:rsidP="00B00B8C">
      <w:pPr>
        <w:pStyle w:val="Sinespaciado"/>
      </w:pPr>
      <w:r>
        <w:t>A pesquisa constituiu-se em exploratória e descritiva. Exploratória, porque se torna útil quando o pesquisador não conhece as variáveis importantes a examinar (CRESWELL, 2007) e descritiva, pois visa detalhar os dados levantados, por meio de análise e interpretação das informações que serão coletadas da POF (SILVA; MENEZES, 2005).</w:t>
      </w:r>
    </w:p>
    <w:p w:rsidR="00B00B8C" w:rsidRDefault="00B00B8C" w:rsidP="00B00B8C">
      <w:pPr>
        <w:pStyle w:val="Sinespaciado"/>
      </w:pPr>
      <w:r>
        <w:t>Igualmente, no que tange aos resultados, a investigação foi do tipo básica, objetivando “gerar conhecimentos novos úteis para o avanço da ciência sem aplicação prática ‘prevista’” (SILVA; MENEZES, 2005, p. 20); e quanto à abordagem, qualitativa, analisando-se os dados coletados e procurando-se dar sentido às informações apresentadas na referida POF (CRESWELL, 2007).</w:t>
      </w:r>
    </w:p>
    <w:p w:rsidR="00F824E1" w:rsidRDefault="00B00B8C" w:rsidP="00B00B8C">
      <w:pPr>
        <w:pStyle w:val="Sinespaciado"/>
      </w:pPr>
      <w:r>
        <w:t>Contudo, cabe ressaltar que este trabalho delimitou-se à análise das informações constantes na POF 2017-2018 não comparando esses dados com pesquisas de outros órgãos. Outra delimitação consistiu no não aprofundamento nos resultados quanto aos rendimentos das famílias, às despesas totais e nem ao tratamento em separado das despesas com alimentação, mas delineou-se sobre as estatísticas apresentadas dos hábitos de consumo das famílias brasileiras como um todo.</w:t>
      </w:r>
    </w:p>
    <w:p w:rsidR="00F824E1" w:rsidRDefault="00F824E1" w:rsidP="00F824E1">
      <w:pPr>
        <w:pStyle w:val="Sinespaciado"/>
      </w:pPr>
    </w:p>
    <w:p w:rsidR="0020648D" w:rsidRPr="00F345FD" w:rsidRDefault="0020648D" w:rsidP="0020648D">
      <w:pPr>
        <w:numPr>
          <w:ilvl w:val="0"/>
          <w:numId w:val="1"/>
        </w:numPr>
        <w:rPr>
          <w:b/>
          <w:sz w:val="24"/>
          <w:szCs w:val="24"/>
        </w:rPr>
      </w:pPr>
      <w:r>
        <w:rPr>
          <w:rStyle w:val="SeoChar"/>
        </w:rPr>
        <w:t>RESULTADOS E DISCUSSÕES</w:t>
      </w:r>
    </w:p>
    <w:p w:rsidR="0020648D" w:rsidRDefault="0020648D" w:rsidP="00F824E1">
      <w:pPr>
        <w:pStyle w:val="Sinespaciado"/>
      </w:pPr>
    </w:p>
    <w:p w:rsidR="0020648D" w:rsidRDefault="00896E3D" w:rsidP="00896E3D">
      <w:pPr>
        <w:pStyle w:val="Sinespaciado"/>
      </w:pPr>
      <w:r>
        <w:t>A POF, realizada pelo IBGE, é uma das maiores e mais cuidadosamente projetadas pesquisas de orçamento familiar no mundo (BORLIZZI; DELGROSSIB; CAFIEROA, 2017)</w:t>
      </w:r>
      <w:r w:rsidR="003A1E40">
        <w:t>. I</w:t>
      </w:r>
      <w:r>
        <w:t>nici</w:t>
      </w:r>
      <w:r w:rsidR="003A1E40">
        <w:t>adas</w:t>
      </w:r>
      <w:r>
        <w:t xml:space="preserve"> em 1974/1975</w:t>
      </w:r>
      <w:r w:rsidR="003A1E40">
        <w:t>,</w:t>
      </w:r>
      <w:r>
        <w:t xml:space="preserve"> pelo Estudo Nacional de Despesa Familiar (ENDEF 1974-1975)</w:t>
      </w:r>
      <w:r w:rsidR="003A1E40">
        <w:t>,</w:t>
      </w:r>
      <w:r>
        <w:t xml:space="preserve"> e, posteriormente, pelas POF 1987-1988, POF 1995-</w:t>
      </w:r>
      <w:r w:rsidR="003A1E40">
        <w:t>1996, POF 2002-2003 e POF 2008-</w:t>
      </w:r>
      <w:r>
        <w:t>2009</w:t>
      </w:r>
      <w:r w:rsidR="003A1E40">
        <w:t>, essa</w:t>
      </w:r>
      <w:r>
        <w:t xml:space="preserve">s </w:t>
      </w:r>
      <w:r w:rsidR="003A1E40">
        <w:t>pesquisas</w:t>
      </w:r>
      <w:r>
        <w:t xml:space="preserve"> </w:t>
      </w:r>
      <w:r w:rsidR="003A1E40">
        <w:t>permitem</w:t>
      </w:r>
      <w:r>
        <w:t xml:space="preserve"> </w:t>
      </w:r>
      <w:r w:rsidR="003A1E40">
        <w:t>“</w:t>
      </w:r>
      <w:r>
        <w:t>traçar, portanto, um perfil das condições de vida da população brasileira a partir da análise de seus orçamentos domésticos (IBGE, 2019, p. 7)”.</w:t>
      </w:r>
    </w:p>
    <w:p w:rsidR="00464505" w:rsidRDefault="00464505" w:rsidP="00464505">
      <w:pPr>
        <w:pStyle w:val="FPCTextonormal"/>
        <w:spacing w:before="0" w:after="0"/>
        <w:rPr>
          <w:rFonts w:ascii="Times New Roman" w:hAnsi="Times New Roman"/>
        </w:rPr>
      </w:pPr>
    </w:p>
    <w:p w:rsidR="00464505" w:rsidRDefault="00896E3D" w:rsidP="00896E3D">
      <w:pPr>
        <w:numPr>
          <w:ilvl w:val="1"/>
          <w:numId w:val="1"/>
        </w:numPr>
        <w:jc w:val="left"/>
        <w:rPr>
          <w:b/>
          <w:sz w:val="24"/>
          <w:szCs w:val="24"/>
        </w:rPr>
      </w:pPr>
      <w:r w:rsidRPr="00896E3D">
        <w:rPr>
          <w:b/>
          <w:sz w:val="24"/>
          <w:szCs w:val="24"/>
        </w:rPr>
        <w:t>Metodologia da POF 2017-2018: aspectos da amostragem e da coleta de informações</w:t>
      </w:r>
    </w:p>
    <w:p w:rsidR="00464505" w:rsidRPr="00074EB6" w:rsidRDefault="00464505" w:rsidP="00464505">
      <w:pPr>
        <w:pStyle w:val="FPCTextonormal"/>
        <w:spacing w:before="0" w:after="0"/>
        <w:rPr>
          <w:rFonts w:ascii="Times New Roman" w:hAnsi="Times New Roman"/>
        </w:rPr>
      </w:pPr>
    </w:p>
    <w:p w:rsidR="00896E3D" w:rsidRDefault="00896E3D" w:rsidP="00896E3D">
      <w:pPr>
        <w:pStyle w:val="Sinespaciado"/>
      </w:pPr>
      <w:r>
        <w:t>A POF 2017-2018 foi realizada nas áreas urbana e rural em todo o Território Brasileiro no período de 11 de julho de 2017 a 9 de julho de 2018. Tendo em vista o longo período de distribuição de todo o seu processo (coleta de dados, compilação, análise e apresentação dos resultados), em torno de 24 meses, e as mudanças absolutas e relativas nos preços, requereu-se que os valores levantados na pesquisa fossem valorados a preços de uma data estipulada: 15 de janeiro de 2018 (IBGE, 2019).</w:t>
      </w:r>
    </w:p>
    <w:p w:rsidR="00896E3D" w:rsidRDefault="00896E3D" w:rsidP="00896E3D">
      <w:pPr>
        <w:pStyle w:val="Sinespaciado"/>
      </w:pPr>
      <w:r>
        <w:t xml:space="preserve">Foram entrevistados 57.920 domicílios de 5.504 Unidades Primárias de Amostragem (UPAs), selecionadas por um procedimento de seleção de amostra aleatória simples a partir da amostra mestra dos setores censitários do IBGE (que </w:t>
      </w:r>
      <w:r>
        <w:lastRenderedPageBreak/>
        <w:t>são definidos por uma estratificação geográfica e estatística). Para esse fim, foram utilizados sete instrumentos para coleta das informações: POF 1 - Questionário de características do domicílio e dos moradores; POF 2 - Questionário de aquisição coletiva; POF 3 - Caderneta de aquisição coletiva; POF 4 - Questionário de aquisição individual; POF 5 - Questionário de trabalho e rendimento individual; POF 6 - Avaliação das condições de vida; e POF 7 - Bloco de consumo alimentar pessoal (IBGE, 2019).</w:t>
      </w:r>
    </w:p>
    <w:p w:rsidR="0071066D" w:rsidRDefault="00896E3D" w:rsidP="00896E3D">
      <w:pPr>
        <w:pStyle w:val="Sinespaciado"/>
      </w:pPr>
      <w:r>
        <w:t>Os 12 meses de efetiva pesquisa foram divididos em 52 períodos, sendo que, para cada domicílio selecionado, foram indicados, dentre esses períodos, dois consecutivos em que obrigatoriamente foi iniciada a coleta. Assim, as informações da POF foram obtidas diretamente nos domicílios particulares permanentes selecionados, por meio de questionários específicos sob a forma de entrevistas presenciais junto aos seus moradores, utilizando-se de computadores portáteis para registro e entrada de dados, durante um período de nove dias consecutivos (IBGE, 2019).</w:t>
      </w:r>
    </w:p>
    <w:p w:rsidR="003B0693" w:rsidRDefault="003B0693" w:rsidP="003B0693">
      <w:pPr>
        <w:pStyle w:val="FPCTextonormal"/>
        <w:spacing w:before="0" w:after="0"/>
        <w:rPr>
          <w:rFonts w:ascii="Times New Roman" w:hAnsi="Times New Roman"/>
        </w:rPr>
      </w:pPr>
    </w:p>
    <w:p w:rsidR="003B0693" w:rsidRPr="00260E22" w:rsidRDefault="00260E22" w:rsidP="00260E22">
      <w:pPr>
        <w:pStyle w:val="Prrafodelista"/>
        <w:numPr>
          <w:ilvl w:val="1"/>
          <w:numId w:val="1"/>
        </w:numPr>
        <w:jc w:val="left"/>
        <w:rPr>
          <w:b/>
          <w:sz w:val="24"/>
          <w:szCs w:val="24"/>
        </w:rPr>
      </w:pPr>
      <w:r w:rsidRPr="00260E22">
        <w:rPr>
          <w:b/>
          <w:sz w:val="24"/>
          <w:szCs w:val="24"/>
        </w:rPr>
        <w:t>Estruturação das Despesas de Consumo</w:t>
      </w:r>
    </w:p>
    <w:p w:rsidR="003B0693" w:rsidRPr="00074EB6" w:rsidRDefault="003B0693" w:rsidP="003B0693">
      <w:pPr>
        <w:pStyle w:val="FPCTextonormal"/>
        <w:spacing w:before="0" w:after="0"/>
        <w:rPr>
          <w:rFonts w:ascii="Times New Roman" w:hAnsi="Times New Roman"/>
        </w:rPr>
      </w:pPr>
    </w:p>
    <w:p w:rsidR="006F2D8D" w:rsidRDefault="00F66BD5" w:rsidP="00F824E1">
      <w:pPr>
        <w:pStyle w:val="Sinespaciado"/>
      </w:pPr>
      <w:r w:rsidRPr="00F66BD5">
        <w:t>As despesas de consumo correspondem ao mais importante componente da estrutura de despesas das famílias e englobam o consumo com habitação, transporte, alimentação, assistência à saúde, educação, vestuário, higiene e cuidados pessoais, recreação e cultura, fumo, serviços pessoais e despesas diversas (em consumo). A Tabela 1 traz os dados que demonstram sua importância no conjunto das despesas das famílias.</w:t>
      </w:r>
    </w:p>
    <w:p w:rsidR="00F66BD5" w:rsidRDefault="00F66BD5" w:rsidP="00F824E1">
      <w:pPr>
        <w:pStyle w:val="Sinespaciado"/>
      </w:pPr>
    </w:p>
    <w:p w:rsidR="00F66BD5" w:rsidRPr="00F66BD5" w:rsidRDefault="00F66BD5" w:rsidP="00F66BD5">
      <w:pPr>
        <w:rPr>
          <w:rFonts w:cs="Arial"/>
          <w:noProof/>
        </w:rPr>
      </w:pPr>
      <w:r w:rsidRPr="00F66BD5">
        <w:rPr>
          <w:rFonts w:cs="Arial"/>
          <w:b/>
          <w:noProof/>
        </w:rPr>
        <w:t>Tabela</w:t>
      </w:r>
      <w:r w:rsidRPr="00F66BD5">
        <w:rPr>
          <w:rFonts w:cs="Arial"/>
          <w:noProof/>
        </w:rPr>
        <w:t xml:space="preserve"> </w:t>
      </w:r>
      <w:r w:rsidRPr="004209E8">
        <w:rPr>
          <w:rFonts w:cs="Arial"/>
          <w:b/>
          <w:noProof/>
        </w:rPr>
        <w:t>1</w:t>
      </w:r>
      <w:r w:rsidRPr="00F66BD5">
        <w:rPr>
          <w:rFonts w:cs="Arial"/>
          <w:noProof/>
        </w:rPr>
        <w:t xml:space="preserve"> – Despesa Total média mensal familiar (monetária e não monetária), por situação do domicílio, segundo os tipos de despesa – Brasil - período 2017-2018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113"/>
        <w:gridCol w:w="112"/>
        <w:gridCol w:w="1831"/>
        <w:gridCol w:w="2082"/>
        <w:gridCol w:w="1896"/>
        <w:gridCol w:w="193"/>
      </w:tblGrid>
      <w:tr w:rsidR="00F66BD5" w:rsidRPr="00F66BD5" w:rsidTr="002F29AF">
        <w:tc>
          <w:tcPr>
            <w:tcW w:w="2845" w:type="dxa"/>
            <w:vMerge w:val="restart"/>
            <w:tcBorders>
              <w:left w:val="nil"/>
            </w:tcBorders>
            <w:shd w:val="clear" w:color="auto" w:fill="auto"/>
            <w:vAlign w:val="center"/>
          </w:tcPr>
          <w:p w:rsidR="00F66BD5" w:rsidRPr="00F66BD5" w:rsidRDefault="00F66BD5" w:rsidP="002F29AF">
            <w:pPr>
              <w:jc w:val="center"/>
              <w:rPr>
                <w:rFonts w:cs="Arial"/>
                <w:color w:val="000000"/>
              </w:rPr>
            </w:pPr>
            <w:r w:rsidRPr="00F66BD5">
              <w:rPr>
                <w:rFonts w:cs="Arial"/>
                <w:color w:val="000000"/>
              </w:rPr>
              <w:t>Tipos de Despesa</w:t>
            </w:r>
          </w:p>
        </w:tc>
        <w:tc>
          <w:tcPr>
            <w:tcW w:w="6227" w:type="dxa"/>
            <w:gridSpan w:val="6"/>
            <w:tcBorders>
              <w:right w:val="nil"/>
            </w:tcBorders>
            <w:shd w:val="clear" w:color="auto" w:fill="auto"/>
            <w:vAlign w:val="center"/>
          </w:tcPr>
          <w:p w:rsidR="00F66BD5" w:rsidRPr="00F66BD5" w:rsidRDefault="00F66BD5" w:rsidP="002F29AF">
            <w:pPr>
              <w:jc w:val="center"/>
              <w:rPr>
                <w:rFonts w:cs="Arial"/>
                <w:color w:val="000000"/>
              </w:rPr>
            </w:pPr>
            <w:r w:rsidRPr="00F66BD5">
              <w:rPr>
                <w:rFonts w:cs="Arial"/>
                <w:color w:val="000000"/>
              </w:rPr>
              <w:t>Despesa monetária e não monetária média mensal familiar</w:t>
            </w:r>
          </w:p>
        </w:tc>
      </w:tr>
      <w:tr w:rsidR="00F66BD5" w:rsidRPr="00F66BD5" w:rsidTr="002F29AF">
        <w:tc>
          <w:tcPr>
            <w:tcW w:w="2845" w:type="dxa"/>
            <w:vMerge/>
            <w:tcBorders>
              <w:left w:val="nil"/>
            </w:tcBorders>
            <w:shd w:val="clear" w:color="auto" w:fill="auto"/>
            <w:vAlign w:val="center"/>
          </w:tcPr>
          <w:p w:rsidR="00F66BD5" w:rsidRPr="00F66BD5" w:rsidRDefault="00F66BD5" w:rsidP="002F29AF">
            <w:pPr>
              <w:jc w:val="center"/>
              <w:rPr>
                <w:rFonts w:cs="Arial"/>
                <w:color w:val="000000"/>
              </w:rPr>
            </w:pPr>
          </w:p>
        </w:tc>
        <w:tc>
          <w:tcPr>
            <w:tcW w:w="2056" w:type="dxa"/>
            <w:gridSpan w:val="3"/>
            <w:vMerge w:val="restart"/>
            <w:shd w:val="clear" w:color="auto" w:fill="auto"/>
            <w:vAlign w:val="center"/>
          </w:tcPr>
          <w:p w:rsidR="00F66BD5" w:rsidRPr="00F66BD5" w:rsidRDefault="00F66BD5" w:rsidP="002F29AF">
            <w:pPr>
              <w:jc w:val="center"/>
              <w:rPr>
                <w:rFonts w:cs="Arial"/>
                <w:color w:val="000000"/>
              </w:rPr>
            </w:pPr>
            <w:r w:rsidRPr="00F66BD5">
              <w:rPr>
                <w:rFonts w:cs="Arial"/>
                <w:color w:val="000000"/>
              </w:rPr>
              <w:t>Total</w:t>
            </w:r>
          </w:p>
        </w:tc>
        <w:tc>
          <w:tcPr>
            <w:tcW w:w="4171" w:type="dxa"/>
            <w:gridSpan w:val="3"/>
            <w:tcBorders>
              <w:bottom w:val="single" w:sz="4" w:space="0" w:color="auto"/>
              <w:right w:val="nil"/>
            </w:tcBorders>
            <w:shd w:val="clear" w:color="auto" w:fill="auto"/>
            <w:vAlign w:val="center"/>
          </w:tcPr>
          <w:p w:rsidR="00F66BD5" w:rsidRPr="00F66BD5" w:rsidRDefault="00F66BD5" w:rsidP="002F29AF">
            <w:pPr>
              <w:jc w:val="center"/>
              <w:rPr>
                <w:rFonts w:cs="Arial"/>
                <w:color w:val="000000"/>
              </w:rPr>
            </w:pPr>
            <w:r w:rsidRPr="00F66BD5">
              <w:rPr>
                <w:rFonts w:cs="Arial"/>
                <w:color w:val="000000"/>
              </w:rPr>
              <w:t>Situação do domicílio</w:t>
            </w:r>
          </w:p>
        </w:tc>
      </w:tr>
      <w:tr w:rsidR="00F66BD5" w:rsidRPr="00F66BD5" w:rsidTr="002F29AF">
        <w:tc>
          <w:tcPr>
            <w:tcW w:w="2845" w:type="dxa"/>
            <w:vMerge/>
            <w:tcBorders>
              <w:left w:val="nil"/>
              <w:bottom w:val="single" w:sz="4" w:space="0" w:color="auto"/>
            </w:tcBorders>
            <w:shd w:val="clear" w:color="auto" w:fill="auto"/>
            <w:vAlign w:val="center"/>
          </w:tcPr>
          <w:p w:rsidR="00F66BD5" w:rsidRPr="00F66BD5" w:rsidRDefault="00F66BD5" w:rsidP="002F29AF">
            <w:pPr>
              <w:jc w:val="center"/>
              <w:rPr>
                <w:rFonts w:cs="Arial"/>
                <w:color w:val="000000"/>
              </w:rPr>
            </w:pPr>
          </w:p>
        </w:tc>
        <w:tc>
          <w:tcPr>
            <w:tcW w:w="2056" w:type="dxa"/>
            <w:gridSpan w:val="3"/>
            <w:vMerge/>
            <w:tcBorders>
              <w:bottom w:val="single" w:sz="4" w:space="0" w:color="auto"/>
            </w:tcBorders>
            <w:shd w:val="clear" w:color="auto" w:fill="auto"/>
            <w:vAlign w:val="center"/>
          </w:tcPr>
          <w:p w:rsidR="00F66BD5" w:rsidRPr="00F66BD5" w:rsidRDefault="00F66BD5" w:rsidP="002F29AF">
            <w:pPr>
              <w:jc w:val="center"/>
              <w:rPr>
                <w:rFonts w:cs="Arial"/>
                <w:color w:val="000000"/>
              </w:rPr>
            </w:pPr>
          </w:p>
        </w:tc>
        <w:tc>
          <w:tcPr>
            <w:tcW w:w="2082" w:type="dxa"/>
            <w:tcBorders>
              <w:bottom w:val="single" w:sz="4" w:space="0" w:color="auto"/>
            </w:tcBorders>
            <w:shd w:val="clear" w:color="auto" w:fill="auto"/>
            <w:vAlign w:val="center"/>
          </w:tcPr>
          <w:p w:rsidR="00F66BD5" w:rsidRPr="00F66BD5" w:rsidRDefault="00F66BD5" w:rsidP="002F29AF">
            <w:pPr>
              <w:jc w:val="center"/>
              <w:rPr>
                <w:rFonts w:cs="Arial"/>
                <w:color w:val="000000"/>
              </w:rPr>
            </w:pPr>
            <w:r w:rsidRPr="00F66BD5">
              <w:rPr>
                <w:rFonts w:cs="Arial"/>
                <w:color w:val="000000"/>
              </w:rPr>
              <w:t>Urbana</w:t>
            </w:r>
          </w:p>
        </w:tc>
        <w:tc>
          <w:tcPr>
            <w:tcW w:w="2089" w:type="dxa"/>
            <w:gridSpan w:val="2"/>
            <w:tcBorders>
              <w:bottom w:val="single" w:sz="4" w:space="0" w:color="auto"/>
              <w:right w:val="nil"/>
            </w:tcBorders>
            <w:shd w:val="clear" w:color="auto" w:fill="auto"/>
            <w:vAlign w:val="center"/>
          </w:tcPr>
          <w:p w:rsidR="00F66BD5" w:rsidRPr="00F66BD5" w:rsidRDefault="00F66BD5" w:rsidP="002F29AF">
            <w:pPr>
              <w:jc w:val="center"/>
              <w:rPr>
                <w:rFonts w:cs="Arial"/>
                <w:color w:val="000000"/>
              </w:rPr>
            </w:pPr>
            <w:r w:rsidRPr="00F66BD5">
              <w:rPr>
                <w:rFonts w:cs="Arial"/>
                <w:color w:val="000000"/>
              </w:rPr>
              <w:t>Rural</w:t>
            </w:r>
          </w:p>
        </w:tc>
      </w:tr>
      <w:tr w:rsidR="00F66BD5" w:rsidRPr="00F66BD5" w:rsidTr="002F29AF">
        <w:tc>
          <w:tcPr>
            <w:tcW w:w="9072" w:type="dxa"/>
            <w:gridSpan w:val="7"/>
            <w:tcBorders>
              <w:top w:val="single" w:sz="4" w:space="0" w:color="auto"/>
              <w:left w:val="nil"/>
              <w:bottom w:val="nil"/>
              <w:right w:val="nil"/>
            </w:tcBorders>
            <w:shd w:val="clear" w:color="auto" w:fill="D9D9D9"/>
            <w:vAlign w:val="center"/>
          </w:tcPr>
          <w:p w:rsidR="00F66BD5" w:rsidRPr="00F66BD5" w:rsidRDefault="00F66BD5" w:rsidP="002F29AF">
            <w:pPr>
              <w:ind w:firstLine="2552"/>
              <w:jc w:val="center"/>
              <w:rPr>
                <w:rFonts w:cs="Arial"/>
                <w:color w:val="000000"/>
              </w:rPr>
            </w:pPr>
            <w:r w:rsidRPr="00F66BD5">
              <w:rPr>
                <w:rFonts w:cs="Arial"/>
                <w:color w:val="000000"/>
              </w:rPr>
              <w:t>Valor (R$)</w:t>
            </w:r>
          </w:p>
        </w:tc>
      </w:tr>
      <w:tr w:rsidR="00F66BD5" w:rsidRPr="00F66BD5" w:rsidTr="002F29AF">
        <w:trPr>
          <w:gridAfter w:val="1"/>
          <w:wAfter w:w="193" w:type="dxa"/>
        </w:trPr>
        <w:tc>
          <w:tcPr>
            <w:tcW w:w="3070" w:type="dxa"/>
            <w:gridSpan w:val="3"/>
            <w:tcBorders>
              <w:top w:val="nil"/>
              <w:left w:val="nil"/>
              <w:bottom w:val="nil"/>
              <w:right w:val="nil"/>
            </w:tcBorders>
            <w:shd w:val="clear" w:color="auto" w:fill="auto"/>
            <w:vAlign w:val="center"/>
          </w:tcPr>
          <w:p w:rsidR="00F66BD5" w:rsidRPr="00F66BD5" w:rsidRDefault="00F66BD5" w:rsidP="002F29AF">
            <w:pPr>
              <w:jc w:val="center"/>
              <w:rPr>
                <w:rFonts w:cs="Arial"/>
                <w:color w:val="000000"/>
              </w:rPr>
            </w:pPr>
            <w:r w:rsidRPr="00F66BD5">
              <w:rPr>
                <w:rFonts w:cs="Arial"/>
                <w:color w:val="000000"/>
              </w:rPr>
              <w:t>Total</w:t>
            </w:r>
          </w:p>
        </w:tc>
        <w:tc>
          <w:tcPr>
            <w:tcW w:w="1831" w:type="dxa"/>
            <w:tcBorders>
              <w:top w:val="nil"/>
              <w:left w:val="nil"/>
              <w:bottom w:val="nil"/>
              <w:right w:val="nil"/>
            </w:tcBorders>
            <w:shd w:val="clear" w:color="auto" w:fill="auto"/>
            <w:vAlign w:val="center"/>
          </w:tcPr>
          <w:p w:rsidR="00F66BD5" w:rsidRPr="00F66BD5" w:rsidRDefault="00F66BD5" w:rsidP="002F29AF">
            <w:pPr>
              <w:ind w:right="223"/>
              <w:jc w:val="center"/>
              <w:rPr>
                <w:rFonts w:cs="Arial"/>
                <w:color w:val="000000"/>
              </w:rPr>
            </w:pPr>
            <w:r w:rsidRPr="00F66BD5">
              <w:rPr>
                <w:rFonts w:cs="Arial"/>
                <w:color w:val="000000"/>
              </w:rPr>
              <w:t>4.649,03</w:t>
            </w:r>
          </w:p>
        </w:tc>
        <w:tc>
          <w:tcPr>
            <w:tcW w:w="2082" w:type="dxa"/>
            <w:tcBorders>
              <w:top w:val="nil"/>
              <w:left w:val="nil"/>
              <w:bottom w:val="nil"/>
              <w:right w:val="nil"/>
            </w:tcBorders>
            <w:shd w:val="clear" w:color="auto" w:fill="auto"/>
            <w:vAlign w:val="center"/>
          </w:tcPr>
          <w:p w:rsidR="00F66BD5" w:rsidRPr="00F66BD5" w:rsidRDefault="00F66BD5" w:rsidP="002F29AF">
            <w:pPr>
              <w:ind w:right="179"/>
              <w:jc w:val="center"/>
              <w:rPr>
                <w:rFonts w:cs="Arial"/>
                <w:color w:val="000000"/>
              </w:rPr>
            </w:pPr>
            <w:r w:rsidRPr="00F66BD5">
              <w:rPr>
                <w:rFonts w:cs="Arial"/>
                <w:color w:val="000000"/>
              </w:rPr>
              <w:t>4.985,39</w:t>
            </w:r>
          </w:p>
        </w:tc>
        <w:tc>
          <w:tcPr>
            <w:tcW w:w="1896" w:type="dxa"/>
            <w:tcBorders>
              <w:top w:val="nil"/>
              <w:left w:val="nil"/>
              <w:bottom w:val="nil"/>
              <w:right w:val="nil"/>
            </w:tcBorders>
            <w:shd w:val="clear" w:color="auto" w:fill="auto"/>
            <w:vAlign w:val="center"/>
          </w:tcPr>
          <w:p w:rsidR="00F66BD5" w:rsidRPr="00F66BD5" w:rsidRDefault="00F66BD5" w:rsidP="002F29AF">
            <w:pPr>
              <w:jc w:val="center"/>
              <w:rPr>
                <w:rFonts w:cs="Arial"/>
                <w:color w:val="000000"/>
              </w:rPr>
            </w:pPr>
            <w:r w:rsidRPr="00F66BD5">
              <w:rPr>
                <w:rFonts w:cs="Arial"/>
                <w:color w:val="000000"/>
              </w:rPr>
              <w:t>2.543,15</w:t>
            </w:r>
          </w:p>
        </w:tc>
      </w:tr>
      <w:tr w:rsidR="00F66BD5" w:rsidRPr="00F66BD5" w:rsidTr="002F29AF">
        <w:tc>
          <w:tcPr>
            <w:tcW w:w="9072" w:type="dxa"/>
            <w:gridSpan w:val="7"/>
            <w:tcBorders>
              <w:top w:val="nil"/>
              <w:left w:val="nil"/>
              <w:bottom w:val="nil"/>
              <w:right w:val="nil"/>
            </w:tcBorders>
            <w:shd w:val="clear" w:color="auto" w:fill="D9D9D9"/>
            <w:vAlign w:val="center"/>
          </w:tcPr>
          <w:p w:rsidR="00F66BD5" w:rsidRPr="00F66BD5" w:rsidRDefault="00F66BD5" w:rsidP="002F29AF">
            <w:pPr>
              <w:ind w:firstLine="2835"/>
              <w:jc w:val="center"/>
              <w:rPr>
                <w:rFonts w:cs="Arial"/>
                <w:color w:val="000000"/>
              </w:rPr>
            </w:pPr>
            <w:r w:rsidRPr="00F66BD5">
              <w:rPr>
                <w:rFonts w:cs="Arial"/>
                <w:color w:val="000000"/>
              </w:rPr>
              <w:t>Distribuição percentual (%)</w:t>
            </w:r>
          </w:p>
        </w:tc>
      </w:tr>
      <w:tr w:rsidR="00F66BD5" w:rsidRPr="00F66BD5" w:rsidTr="002F29AF">
        <w:tc>
          <w:tcPr>
            <w:tcW w:w="2958" w:type="dxa"/>
            <w:gridSpan w:val="2"/>
            <w:tcBorders>
              <w:top w:val="nil"/>
              <w:left w:val="nil"/>
              <w:bottom w:val="nil"/>
              <w:right w:val="nil"/>
            </w:tcBorders>
            <w:shd w:val="clear" w:color="auto" w:fill="auto"/>
            <w:vAlign w:val="center"/>
          </w:tcPr>
          <w:p w:rsidR="00F66BD5" w:rsidRPr="00F66BD5" w:rsidRDefault="00F66BD5" w:rsidP="002F29AF">
            <w:pPr>
              <w:rPr>
                <w:rFonts w:cs="Arial"/>
                <w:color w:val="000000"/>
              </w:rPr>
            </w:pPr>
            <w:r w:rsidRPr="00F66BD5">
              <w:rPr>
                <w:rFonts w:cs="Arial"/>
                <w:color w:val="000000"/>
              </w:rPr>
              <w:t>Despesas Correntes</w:t>
            </w:r>
          </w:p>
        </w:tc>
        <w:tc>
          <w:tcPr>
            <w:tcW w:w="1943" w:type="dxa"/>
            <w:gridSpan w:val="2"/>
            <w:tcBorders>
              <w:top w:val="nil"/>
              <w:left w:val="nil"/>
              <w:bottom w:val="nil"/>
              <w:right w:val="nil"/>
            </w:tcBorders>
            <w:shd w:val="clear" w:color="auto" w:fill="auto"/>
            <w:vAlign w:val="center"/>
          </w:tcPr>
          <w:p w:rsidR="00F66BD5" w:rsidRPr="00F66BD5" w:rsidRDefault="00F66BD5" w:rsidP="002F29AF">
            <w:pPr>
              <w:ind w:right="223"/>
              <w:jc w:val="center"/>
              <w:rPr>
                <w:rFonts w:cs="Arial"/>
                <w:color w:val="000000"/>
              </w:rPr>
            </w:pPr>
            <w:r w:rsidRPr="00F66BD5">
              <w:rPr>
                <w:rFonts w:cs="Arial"/>
                <w:color w:val="000000"/>
              </w:rPr>
              <w:t>92,7</w:t>
            </w:r>
          </w:p>
        </w:tc>
        <w:tc>
          <w:tcPr>
            <w:tcW w:w="2082" w:type="dxa"/>
            <w:tcBorders>
              <w:top w:val="nil"/>
              <w:left w:val="nil"/>
              <w:bottom w:val="nil"/>
              <w:right w:val="nil"/>
            </w:tcBorders>
            <w:shd w:val="clear" w:color="auto" w:fill="auto"/>
            <w:vAlign w:val="center"/>
          </w:tcPr>
          <w:p w:rsidR="00F66BD5" w:rsidRPr="00F66BD5" w:rsidRDefault="00F66BD5" w:rsidP="002F29AF">
            <w:pPr>
              <w:ind w:right="179"/>
              <w:jc w:val="center"/>
              <w:rPr>
                <w:rFonts w:cs="Arial"/>
                <w:color w:val="000000"/>
              </w:rPr>
            </w:pPr>
            <w:r w:rsidRPr="00F66BD5">
              <w:rPr>
                <w:rFonts w:cs="Arial"/>
                <w:color w:val="000000"/>
              </w:rPr>
              <w:t>92,8</w:t>
            </w:r>
          </w:p>
        </w:tc>
        <w:tc>
          <w:tcPr>
            <w:tcW w:w="2089" w:type="dxa"/>
            <w:gridSpan w:val="2"/>
            <w:tcBorders>
              <w:top w:val="nil"/>
              <w:left w:val="nil"/>
              <w:bottom w:val="nil"/>
              <w:right w:val="nil"/>
            </w:tcBorders>
            <w:shd w:val="clear" w:color="auto" w:fill="auto"/>
            <w:vAlign w:val="center"/>
          </w:tcPr>
          <w:p w:rsidR="00F66BD5" w:rsidRPr="00F66BD5" w:rsidRDefault="00F66BD5" w:rsidP="002F29AF">
            <w:pPr>
              <w:jc w:val="center"/>
              <w:rPr>
                <w:rFonts w:cs="Arial"/>
                <w:color w:val="000000"/>
              </w:rPr>
            </w:pPr>
            <w:r w:rsidRPr="00F66BD5">
              <w:rPr>
                <w:rFonts w:cs="Arial"/>
                <w:color w:val="000000"/>
              </w:rPr>
              <w:t>92,1</w:t>
            </w:r>
          </w:p>
        </w:tc>
      </w:tr>
      <w:tr w:rsidR="00F66BD5" w:rsidRPr="00F66BD5" w:rsidTr="002F29AF">
        <w:tc>
          <w:tcPr>
            <w:tcW w:w="2958" w:type="dxa"/>
            <w:gridSpan w:val="2"/>
            <w:tcBorders>
              <w:top w:val="nil"/>
              <w:left w:val="nil"/>
              <w:bottom w:val="nil"/>
              <w:right w:val="nil"/>
            </w:tcBorders>
            <w:shd w:val="clear" w:color="auto" w:fill="D99594"/>
            <w:vAlign w:val="center"/>
          </w:tcPr>
          <w:p w:rsidR="00F66BD5" w:rsidRPr="00F66BD5" w:rsidRDefault="00F66BD5" w:rsidP="002F29AF">
            <w:pPr>
              <w:ind w:firstLine="284"/>
              <w:rPr>
                <w:rFonts w:cs="Arial"/>
                <w:color w:val="000000"/>
              </w:rPr>
            </w:pPr>
            <w:r w:rsidRPr="00F66BD5">
              <w:rPr>
                <w:rFonts w:cs="Arial"/>
                <w:color w:val="000000"/>
              </w:rPr>
              <w:t>Despesas de consumo</w:t>
            </w:r>
          </w:p>
        </w:tc>
        <w:tc>
          <w:tcPr>
            <w:tcW w:w="1943" w:type="dxa"/>
            <w:gridSpan w:val="2"/>
            <w:tcBorders>
              <w:top w:val="nil"/>
              <w:left w:val="nil"/>
              <w:bottom w:val="nil"/>
              <w:right w:val="nil"/>
            </w:tcBorders>
            <w:shd w:val="clear" w:color="auto" w:fill="D99594"/>
            <w:vAlign w:val="center"/>
          </w:tcPr>
          <w:p w:rsidR="00F66BD5" w:rsidRPr="00F66BD5" w:rsidRDefault="00F66BD5" w:rsidP="002F29AF">
            <w:pPr>
              <w:ind w:right="223"/>
              <w:jc w:val="center"/>
              <w:rPr>
                <w:rFonts w:cs="Arial"/>
                <w:color w:val="000000"/>
              </w:rPr>
            </w:pPr>
            <w:r w:rsidRPr="00F66BD5">
              <w:rPr>
                <w:rFonts w:cs="Arial"/>
                <w:color w:val="000000"/>
              </w:rPr>
              <w:t>81,0</w:t>
            </w:r>
          </w:p>
        </w:tc>
        <w:tc>
          <w:tcPr>
            <w:tcW w:w="2082" w:type="dxa"/>
            <w:tcBorders>
              <w:top w:val="nil"/>
              <w:left w:val="nil"/>
              <w:bottom w:val="nil"/>
              <w:right w:val="nil"/>
            </w:tcBorders>
            <w:shd w:val="clear" w:color="auto" w:fill="D99594"/>
            <w:vAlign w:val="center"/>
          </w:tcPr>
          <w:p w:rsidR="00F66BD5" w:rsidRPr="00F66BD5" w:rsidRDefault="00F66BD5" w:rsidP="002F29AF">
            <w:pPr>
              <w:ind w:right="179"/>
              <w:jc w:val="center"/>
              <w:rPr>
                <w:rFonts w:cs="Arial"/>
                <w:color w:val="000000"/>
              </w:rPr>
            </w:pPr>
            <w:r w:rsidRPr="00F66BD5">
              <w:rPr>
                <w:rFonts w:cs="Arial"/>
                <w:color w:val="000000"/>
              </w:rPr>
              <w:t>80,7</w:t>
            </w:r>
          </w:p>
        </w:tc>
        <w:tc>
          <w:tcPr>
            <w:tcW w:w="2089" w:type="dxa"/>
            <w:gridSpan w:val="2"/>
            <w:tcBorders>
              <w:top w:val="nil"/>
              <w:left w:val="nil"/>
              <w:bottom w:val="nil"/>
              <w:right w:val="nil"/>
            </w:tcBorders>
            <w:shd w:val="clear" w:color="auto" w:fill="D99594"/>
            <w:vAlign w:val="center"/>
          </w:tcPr>
          <w:p w:rsidR="00F66BD5" w:rsidRPr="00F66BD5" w:rsidRDefault="00F66BD5" w:rsidP="002F29AF">
            <w:pPr>
              <w:jc w:val="center"/>
              <w:rPr>
                <w:rFonts w:cs="Arial"/>
                <w:color w:val="000000"/>
              </w:rPr>
            </w:pPr>
            <w:r w:rsidRPr="00F66BD5">
              <w:rPr>
                <w:rFonts w:cs="Arial"/>
                <w:color w:val="000000"/>
              </w:rPr>
              <w:t>84,9</w:t>
            </w:r>
          </w:p>
        </w:tc>
      </w:tr>
      <w:tr w:rsidR="00F66BD5" w:rsidRPr="00F66BD5" w:rsidTr="002F29AF">
        <w:tc>
          <w:tcPr>
            <w:tcW w:w="2958" w:type="dxa"/>
            <w:gridSpan w:val="2"/>
            <w:tcBorders>
              <w:top w:val="nil"/>
              <w:left w:val="nil"/>
              <w:bottom w:val="nil"/>
              <w:right w:val="nil"/>
            </w:tcBorders>
            <w:shd w:val="clear" w:color="auto" w:fill="auto"/>
            <w:vAlign w:val="center"/>
          </w:tcPr>
          <w:p w:rsidR="00F66BD5" w:rsidRPr="00F66BD5" w:rsidRDefault="00F66BD5" w:rsidP="002F29AF">
            <w:pPr>
              <w:ind w:firstLine="284"/>
              <w:rPr>
                <w:rFonts w:cs="Arial"/>
                <w:color w:val="000000"/>
              </w:rPr>
            </w:pPr>
            <w:r w:rsidRPr="00F66BD5">
              <w:rPr>
                <w:rFonts w:cs="Arial"/>
                <w:color w:val="000000"/>
              </w:rPr>
              <w:t>Outras</w:t>
            </w:r>
          </w:p>
        </w:tc>
        <w:tc>
          <w:tcPr>
            <w:tcW w:w="1943" w:type="dxa"/>
            <w:gridSpan w:val="2"/>
            <w:tcBorders>
              <w:top w:val="nil"/>
              <w:left w:val="nil"/>
              <w:bottom w:val="nil"/>
              <w:right w:val="nil"/>
            </w:tcBorders>
            <w:shd w:val="clear" w:color="auto" w:fill="auto"/>
            <w:vAlign w:val="center"/>
          </w:tcPr>
          <w:p w:rsidR="00F66BD5" w:rsidRPr="00F66BD5" w:rsidRDefault="00F66BD5" w:rsidP="002F29AF">
            <w:pPr>
              <w:ind w:right="223"/>
              <w:jc w:val="center"/>
              <w:rPr>
                <w:rFonts w:cs="Arial"/>
                <w:color w:val="000000"/>
              </w:rPr>
            </w:pPr>
            <w:r w:rsidRPr="00F66BD5">
              <w:rPr>
                <w:rFonts w:cs="Arial"/>
                <w:color w:val="000000"/>
              </w:rPr>
              <w:t>11,7</w:t>
            </w:r>
          </w:p>
        </w:tc>
        <w:tc>
          <w:tcPr>
            <w:tcW w:w="2082" w:type="dxa"/>
            <w:tcBorders>
              <w:top w:val="nil"/>
              <w:left w:val="nil"/>
              <w:bottom w:val="nil"/>
              <w:right w:val="nil"/>
            </w:tcBorders>
            <w:shd w:val="clear" w:color="auto" w:fill="auto"/>
            <w:vAlign w:val="center"/>
          </w:tcPr>
          <w:p w:rsidR="00F66BD5" w:rsidRPr="00F66BD5" w:rsidRDefault="00F66BD5" w:rsidP="002F29AF">
            <w:pPr>
              <w:ind w:right="179"/>
              <w:jc w:val="center"/>
              <w:rPr>
                <w:rFonts w:cs="Arial"/>
                <w:color w:val="000000"/>
              </w:rPr>
            </w:pPr>
            <w:r w:rsidRPr="00F66BD5">
              <w:rPr>
                <w:rFonts w:cs="Arial"/>
                <w:color w:val="000000"/>
              </w:rPr>
              <w:t>12,1</w:t>
            </w:r>
          </w:p>
        </w:tc>
        <w:tc>
          <w:tcPr>
            <w:tcW w:w="2089" w:type="dxa"/>
            <w:gridSpan w:val="2"/>
            <w:tcBorders>
              <w:top w:val="nil"/>
              <w:left w:val="nil"/>
              <w:bottom w:val="nil"/>
              <w:right w:val="nil"/>
            </w:tcBorders>
            <w:shd w:val="clear" w:color="auto" w:fill="auto"/>
            <w:vAlign w:val="center"/>
          </w:tcPr>
          <w:p w:rsidR="00F66BD5" w:rsidRPr="00F66BD5" w:rsidRDefault="00F66BD5" w:rsidP="002F29AF">
            <w:pPr>
              <w:jc w:val="center"/>
              <w:rPr>
                <w:rFonts w:cs="Arial"/>
                <w:color w:val="000000"/>
              </w:rPr>
            </w:pPr>
            <w:r w:rsidRPr="00F66BD5">
              <w:rPr>
                <w:rFonts w:cs="Arial"/>
                <w:color w:val="000000"/>
              </w:rPr>
              <w:t>6,8</w:t>
            </w:r>
          </w:p>
        </w:tc>
      </w:tr>
      <w:tr w:rsidR="00F66BD5" w:rsidRPr="00F66BD5" w:rsidTr="002F29AF">
        <w:tc>
          <w:tcPr>
            <w:tcW w:w="2958" w:type="dxa"/>
            <w:gridSpan w:val="2"/>
            <w:tcBorders>
              <w:top w:val="nil"/>
              <w:left w:val="nil"/>
              <w:bottom w:val="nil"/>
              <w:right w:val="nil"/>
            </w:tcBorders>
            <w:shd w:val="clear" w:color="auto" w:fill="auto"/>
            <w:vAlign w:val="center"/>
          </w:tcPr>
          <w:p w:rsidR="00F66BD5" w:rsidRPr="00F66BD5" w:rsidRDefault="00F66BD5" w:rsidP="002F29AF">
            <w:pPr>
              <w:rPr>
                <w:rFonts w:cs="Arial"/>
                <w:color w:val="000000"/>
              </w:rPr>
            </w:pPr>
            <w:r w:rsidRPr="00F66BD5">
              <w:rPr>
                <w:rFonts w:cs="Arial"/>
                <w:color w:val="000000"/>
              </w:rPr>
              <w:t>Aumento do ativo</w:t>
            </w:r>
          </w:p>
        </w:tc>
        <w:tc>
          <w:tcPr>
            <w:tcW w:w="1943" w:type="dxa"/>
            <w:gridSpan w:val="2"/>
            <w:tcBorders>
              <w:top w:val="nil"/>
              <w:left w:val="nil"/>
              <w:bottom w:val="nil"/>
              <w:right w:val="nil"/>
            </w:tcBorders>
            <w:shd w:val="clear" w:color="auto" w:fill="auto"/>
            <w:vAlign w:val="center"/>
          </w:tcPr>
          <w:p w:rsidR="00F66BD5" w:rsidRPr="00F66BD5" w:rsidRDefault="00F66BD5" w:rsidP="002F29AF">
            <w:pPr>
              <w:ind w:right="223"/>
              <w:jc w:val="center"/>
              <w:rPr>
                <w:rFonts w:cs="Arial"/>
                <w:color w:val="000000"/>
              </w:rPr>
            </w:pPr>
            <w:r w:rsidRPr="00F66BD5">
              <w:rPr>
                <w:rFonts w:cs="Arial"/>
                <w:color w:val="000000"/>
              </w:rPr>
              <w:t>4,1</w:t>
            </w:r>
          </w:p>
        </w:tc>
        <w:tc>
          <w:tcPr>
            <w:tcW w:w="2082" w:type="dxa"/>
            <w:tcBorders>
              <w:top w:val="nil"/>
              <w:left w:val="nil"/>
              <w:bottom w:val="nil"/>
              <w:right w:val="nil"/>
            </w:tcBorders>
            <w:shd w:val="clear" w:color="auto" w:fill="auto"/>
            <w:vAlign w:val="center"/>
          </w:tcPr>
          <w:p w:rsidR="00F66BD5" w:rsidRPr="00F66BD5" w:rsidRDefault="00F66BD5" w:rsidP="002F29AF">
            <w:pPr>
              <w:ind w:right="179"/>
              <w:jc w:val="center"/>
              <w:rPr>
                <w:rFonts w:cs="Arial"/>
                <w:color w:val="000000"/>
              </w:rPr>
            </w:pPr>
            <w:r w:rsidRPr="00F66BD5">
              <w:rPr>
                <w:rFonts w:cs="Arial"/>
                <w:color w:val="000000"/>
              </w:rPr>
              <w:t>4,0</w:t>
            </w:r>
          </w:p>
        </w:tc>
        <w:tc>
          <w:tcPr>
            <w:tcW w:w="2089" w:type="dxa"/>
            <w:gridSpan w:val="2"/>
            <w:tcBorders>
              <w:top w:val="nil"/>
              <w:left w:val="nil"/>
              <w:bottom w:val="nil"/>
              <w:right w:val="nil"/>
            </w:tcBorders>
            <w:shd w:val="clear" w:color="auto" w:fill="auto"/>
            <w:vAlign w:val="center"/>
          </w:tcPr>
          <w:p w:rsidR="00F66BD5" w:rsidRPr="00F66BD5" w:rsidRDefault="00F66BD5" w:rsidP="002F29AF">
            <w:pPr>
              <w:jc w:val="center"/>
              <w:rPr>
                <w:rFonts w:cs="Arial"/>
                <w:color w:val="000000"/>
              </w:rPr>
            </w:pPr>
            <w:r w:rsidRPr="00F66BD5">
              <w:rPr>
                <w:rFonts w:cs="Arial"/>
                <w:color w:val="000000"/>
              </w:rPr>
              <w:t>4,5</w:t>
            </w:r>
          </w:p>
        </w:tc>
      </w:tr>
      <w:tr w:rsidR="00F66BD5" w:rsidRPr="00F66BD5" w:rsidTr="002F29AF">
        <w:tc>
          <w:tcPr>
            <w:tcW w:w="2958" w:type="dxa"/>
            <w:gridSpan w:val="2"/>
            <w:tcBorders>
              <w:top w:val="nil"/>
              <w:left w:val="nil"/>
              <w:bottom w:val="single" w:sz="4" w:space="0" w:color="auto"/>
              <w:right w:val="nil"/>
            </w:tcBorders>
            <w:shd w:val="clear" w:color="auto" w:fill="auto"/>
            <w:vAlign w:val="center"/>
          </w:tcPr>
          <w:p w:rsidR="00F66BD5" w:rsidRPr="00F66BD5" w:rsidRDefault="00F66BD5" w:rsidP="002F29AF">
            <w:pPr>
              <w:rPr>
                <w:rFonts w:cs="Arial"/>
                <w:color w:val="000000"/>
              </w:rPr>
            </w:pPr>
            <w:r w:rsidRPr="00F66BD5">
              <w:rPr>
                <w:rFonts w:cs="Arial"/>
                <w:color w:val="000000"/>
              </w:rPr>
              <w:t>Diminuição do passivo</w:t>
            </w:r>
          </w:p>
        </w:tc>
        <w:tc>
          <w:tcPr>
            <w:tcW w:w="1943" w:type="dxa"/>
            <w:gridSpan w:val="2"/>
            <w:tcBorders>
              <w:top w:val="nil"/>
              <w:left w:val="nil"/>
              <w:bottom w:val="single" w:sz="4" w:space="0" w:color="auto"/>
              <w:right w:val="nil"/>
            </w:tcBorders>
            <w:shd w:val="clear" w:color="auto" w:fill="auto"/>
            <w:vAlign w:val="center"/>
          </w:tcPr>
          <w:p w:rsidR="00F66BD5" w:rsidRPr="00F66BD5" w:rsidRDefault="00F66BD5" w:rsidP="002F29AF">
            <w:pPr>
              <w:ind w:right="223"/>
              <w:jc w:val="center"/>
              <w:rPr>
                <w:rFonts w:cs="Arial"/>
                <w:color w:val="000000"/>
              </w:rPr>
            </w:pPr>
            <w:r w:rsidRPr="00F66BD5">
              <w:rPr>
                <w:rFonts w:cs="Arial"/>
                <w:color w:val="000000"/>
              </w:rPr>
              <w:t>3,2</w:t>
            </w:r>
          </w:p>
        </w:tc>
        <w:tc>
          <w:tcPr>
            <w:tcW w:w="2082" w:type="dxa"/>
            <w:tcBorders>
              <w:top w:val="nil"/>
              <w:left w:val="nil"/>
              <w:bottom w:val="single" w:sz="4" w:space="0" w:color="auto"/>
              <w:right w:val="nil"/>
            </w:tcBorders>
            <w:shd w:val="clear" w:color="auto" w:fill="auto"/>
            <w:vAlign w:val="center"/>
          </w:tcPr>
          <w:p w:rsidR="00F66BD5" w:rsidRPr="00F66BD5" w:rsidRDefault="00F66BD5" w:rsidP="002F29AF">
            <w:pPr>
              <w:ind w:right="179"/>
              <w:jc w:val="center"/>
              <w:rPr>
                <w:rFonts w:cs="Arial"/>
                <w:color w:val="000000"/>
              </w:rPr>
            </w:pPr>
            <w:r w:rsidRPr="00F66BD5">
              <w:rPr>
                <w:rFonts w:cs="Arial"/>
                <w:color w:val="000000"/>
              </w:rPr>
              <w:t>3,2</w:t>
            </w:r>
          </w:p>
        </w:tc>
        <w:tc>
          <w:tcPr>
            <w:tcW w:w="2089" w:type="dxa"/>
            <w:gridSpan w:val="2"/>
            <w:tcBorders>
              <w:top w:val="nil"/>
              <w:left w:val="nil"/>
              <w:bottom w:val="single" w:sz="4" w:space="0" w:color="auto"/>
              <w:right w:val="nil"/>
            </w:tcBorders>
            <w:shd w:val="clear" w:color="auto" w:fill="auto"/>
            <w:vAlign w:val="center"/>
          </w:tcPr>
          <w:p w:rsidR="00F66BD5" w:rsidRPr="00F66BD5" w:rsidRDefault="00F66BD5" w:rsidP="002F29AF">
            <w:pPr>
              <w:jc w:val="center"/>
              <w:rPr>
                <w:rFonts w:cs="Arial"/>
                <w:color w:val="000000"/>
              </w:rPr>
            </w:pPr>
            <w:r w:rsidRPr="00F66BD5">
              <w:rPr>
                <w:rFonts w:cs="Arial"/>
                <w:color w:val="000000"/>
              </w:rPr>
              <w:t>3,8</w:t>
            </w:r>
          </w:p>
        </w:tc>
      </w:tr>
    </w:tbl>
    <w:p w:rsidR="00F66BD5" w:rsidRDefault="00F66BD5" w:rsidP="00F66BD5">
      <w:pPr>
        <w:pStyle w:val="Sinespaciado"/>
        <w:ind w:firstLine="0"/>
        <w:rPr>
          <w:rFonts w:cs="Arial"/>
          <w:color w:val="000000"/>
          <w:sz w:val="20"/>
        </w:rPr>
      </w:pPr>
      <w:r w:rsidRPr="00F66BD5">
        <w:rPr>
          <w:rFonts w:cs="Arial"/>
          <w:b/>
          <w:color w:val="000000"/>
          <w:sz w:val="20"/>
        </w:rPr>
        <w:t>Fonte</w:t>
      </w:r>
      <w:r w:rsidRPr="00F66BD5">
        <w:rPr>
          <w:rFonts w:cs="Arial"/>
          <w:color w:val="000000"/>
          <w:sz w:val="20"/>
        </w:rPr>
        <w:t>: adaptado pelo autor de IBGE (2019, p. 40).</w:t>
      </w:r>
    </w:p>
    <w:p w:rsidR="003A1E40" w:rsidRPr="00F66BD5" w:rsidRDefault="003A1E40" w:rsidP="00F66BD5">
      <w:pPr>
        <w:pStyle w:val="Sinespaciado"/>
        <w:ind w:firstLine="0"/>
        <w:rPr>
          <w:rFonts w:cs="Arial"/>
          <w:color w:val="000000"/>
          <w:sz w:val="20"/>
        </w:rPr>
      </w:pPr>
    </w:p>
    <w:p w:rsidR="00F66BD5" w:rsidRDefault="00F66BD5" w:rsidP="00F66BD5">
      <w:pPr>
        <w:pStyle w:val="Sinespaciado"/>
      </w:pPr>
      <w:r>
        <w:t xml:space="preserve">Percebe-se na Tabela 1 que o valor estimado para as despesas médias de consumo mensal familiar é de R$ 3.765,71 (81% da despesa total). Dessa forma, com o consumo num índice tão elevado de comprometimento das despesas totais torna-se necessário que o consumidor ‘equilibre-se na corda bamba’ e preocupe-se em gastar com moderação. Além disso, seria interessante a direção de um comportamento útil em seu consumo, como o que Quoquab e Mohammad (2016, p. </w:t>
      </w:r>
      <w:r>
        <w:lastRenderedPageBreak/>
        <w:t>602), em seu estudo sobre o consumo sustentável, orientam: “o dinheiro que poderia ser utilizado para capacitar a sociedade ou atender às necessidades básicas dos que não têm nada é estragado para mostrar a riqueza de alguém”.</w:t>
      </w:r>
    </w:p>
    <w:p w:rsidR="00752988" w:rsidRDefault="00F66BD5" w:rsidP="00F66BD5">
      <w:pPr>
        <w:pStyle w:val="Sinespaciado"/>
      </w:pPr>
      <w:r>
        <w:t>Além dessa análise do total das despesas de consumo, verifica-se que, fruto da grande diferença nos valores da despesa total rural e urbana, há um grande abismo entre os valores das despesas de consumo rural e urbano: o consumo rural (R$ 2.159,13) é quase metade do valor urbano (R$ 4.023,20).</w:t>
      </w:r>
    </w:p>
    <w:p w:rsidR="006F6A84" w:rsidRDefault="006F6A84" w:rsidP="006F6A84">
      <w:pPr>
        <w:pStyle w:val="FPCTextonormal"/>
        <w:spacing w:before="0" w:after="0"/>
        <w:rPr>
          <w:rFonts w:ascii="Times New Roman" w:hAnsi="Times New Roman"/>
        </w:rPr>
      </w:pPr>
    </w:p>
    <w:p w:rsidR="006F6A84" w:rsidRPr="009C4554" w:rsidRDefault="009C4554" w:rsidP="009C4554">
      <w:pPr>
        <w:pStyle w:val="Prrafodelista"/>
        <w:numPr>
          <w:ilvl w:val="1"/>
          <w:numId w:val="1"/>
        </w:numPr>
        <w:jc w:val="left"/>
        <w:rPr>
          <w:b/>
          <w:sz w:val="24"/>
          <w:szCs w:val="24"/>
        </w:rPr>
      </w:pPr>
      <w:r w:rsidRPr="009C4554">
        <w:rPr>
          <w:b/>
          <w:sz w:val="24"/>
          <w:szCs w:val="24"/>
        </w:rPr>
        <w:t>O Consumo nos ambientes urbano e rural e nas Grandes Regiões</w:t>
      </w:r>
    </w:p>
    <w:p w:rsidR="006F6A84" w:rsidRPr="00074EB6" w:rsidRDefault="006F6A84" w:rsidP="006F6A84">
      <w:pPr>
        <w:pStyle w:val="FPCTextonormal"/>
        <w:spacing w:before="0" w:after="0"/>
        <w:rPr>
          <w:rFonts w:ascii="Times New Roman" w:hAnsi="Times New Roman"/>
        </w:rPr>
      </w:pPr>
    </w:p>
    <w:p w:rsidR="00586709" w:rsidRDefault="00527878" w:rsidP="0027375B">
      <w:pPr>
        <w:pStyle w:val="Sinespaciado"/>
      </w:pPr>
      <w:r w:rsidRPr="00527878">
        <w:t>Para uma análise do consumo nos ambientes urbano e rural e entre as grandes regiões brasileiras, tem-se a Tabela 2 com informações percentuais de cada situação.</w:t>
      </w:r>
    </w:p>
    <w:p w:rsidR="00683D0C" w:rsidRPr="00683D0C" w:rsidRDefault="00683D0C" w:rsidP="00683D0C">
      <w:pPr>
        <w:rPr>
          <w:rFonts w:cs="Arial"/>
          <w:noProof/>
        </w:rPr>
      </w:pPr>
    </w:p>
    <w:p w:rsidR="00683D0C" w:rsidRPr="00683D0C" w:rsidRDefault="00683D0C" w:rsidP="00683D0C">
      <w:pPr>
        <w:rPr>
          <w:rFonts w:cs="Arial"/>
          <w:noProof/>
        </w:rPr>
      </w:pPr>
      <w:r w:rsidRPr="00683D0C">
        <w:rPr>
          <w:rFonts w:cs="Arial"/>
          <w:b/>
          <w:noProof/>
        </w:rPr>
        <w:t>Tabela</w:t>
      </w:r>
      <w:r w:rsidRPr="00683D0C">
        <w:rPr>
          <w:rFonts w:cs="Arial"/>
          <w:noProof/>
        </w:rPr>
        <w:t xml:space="preserve"> </w:t>
      </w:r>
      <w:r w:rsidRPr="004209E8">
        <w:rPr>
          <w:rFonts w:cs="Arial"/>
          <w:b/>
          <w:noProof/>
        </w:rPr>
        <w:t>2</w:t>
      </w:r>
      <w:r w:rsidRPr="00683D0C">
        <w:rPr>
          <w:rFonts w:cs="Arial"/>
          <w:noProof/>
        </w:rPr>
        <w:t xml:space="preserve"> – Distribuição do consumo (monetário e não monetário) média mensal familiar, por tipos de despesa, segundo a situação do domicílio e as Grandes Regiões – Brasil - 2017-2018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5"/>
        <w:gridCol w:w="709"/>
        <w:gridCol w:w="665"/>
        <w:gridCol w:w="647"/>
        <w:gridCol w:w="645"/>
        <w:gridCol w:w="718"/>
        <w:gridCol w:w="710"/>
        <w:gridCol w:w="654"/>
        <w:gridCol w:w="657"/>
        <w:gridCol w:w="776"/>
        <w:gridCol w:w="620"/>
        <w:gridCol w:w="657"/>
        <w:gridCol w:w="689"/>
      </w:tblGrid>
      <w:tr w:rsidR="00683D0C" w:rsidRPr="00683D0C" w:rsidTr="002F29AF">
        <w:tc>
          <w:tcPr>
            <w:tcW w:w="925" w:type="dxa"/>
            <w:vMerge w:val="restart"/>
            <w:tcBorders>
              <w:lef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Situação do domicílio e Grandes Regiões</w:t>
            </w:r>
          </w:p>
        </w:tc>
        <w:tc>
          <w:tcPr>
            <w:tcW w:w="8147" w:type="dxa"/>
            <w:gridSpan w:val="12"/>
            <w:tcBorders>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Distribuição do consumo (monetário e não monetário) média mensal (%)</w:t>
            </w:r>
          </w:p>
        </w:tc>
      </w:tr>
      <w:tr w:rsidR="00683D0C" w:rsidRPr="00683D0C" w:rsidTr="002F29AF">
        <w:tc>
          <w:tcPr>
            <w:tcW w:w="925" w:type="dxa"/>
            <w:vMerge/>
            <w:tcBorders>
              <w:left w:val="nil"/>
            </w:tcBorders>
            <w:shd w:val="clear" w:color="auto" w:fill="auto"/>
            <w:vAlign w:val="center"/>
          </w:tcPr>
          <w:p w:rsidR="00683D0C" w:rsidRPr="00683D0C" w:rsidRDefault="00683D0C" w:rsidP="002F29AF">
            <w:pPr>
              <w:jc w:val="center"/>
              <w:rPr>
                <w:rFonts w:cs="Arial"/>
                <w:color w:val="000000"/>
              </w:rPr>
            </w:pPr>
          </w:p>
        </w:tc>
        <w:tc>
          <w:tcPr>
            <w:tcW w:w="709" w:type="dxa"/>
            <w:vMerge w:val="restart"/>
            <w:shd w:val="clear" w:color="auto" w:fill="auto"/>
            <w:vAlign w:val="center"/>
          </w:tcPr>
          <w:p w:rsidR="00683D0C" w:rsidRPr="00683D0C" w:rsidRDefault="00683D0C" w:rsidP="002F29AF">
            <w:pPr>
              <w:jc w:val="center"/>
              <w:rPr>
                <w:rFonts w:cs="Arial"/>
                <w:color w:val="000000"/>
              </w:rPr>
            </w:pPr>
            <w:r w:rsidRPr="00683D0C">
              <w:rPr>
                <w:rFonts w:cs="Arial"/>
                <w:color w:val="000000"/>
              </w:rPr>
              <w:t>Total</w:t>
            </w:r>
          </w:p>
        </w:tc>
        <w:tc>
          <w:tcPr>
            <w:tcW w:w="7438" w:type="dxa"/>
            <w:gridSpan w:val="11"/>
            <w:tcBorders>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Tipo de despesas</w:t>
            </w:r>
          </w:p>
        </w:tc>
      </w:tr>
      <w:tr w:rsidR="00683D0C" w:rsidRPr="00683D0C" w:rsidTr="002F29AF">
        <w:tc>
          <w:tcPr>
            <w:tcW w:w="925" w:type="dxa"/>
            <w:vMerge/>
            <w:tcBorders>
              <w:left w:val="nil"/>
              <w:bottom w:val="single" w:sz="4" w:space="0" w:color="auto"/>
            </w:tcBorders>
            <w:shd w:val="clear" w:color="auto" w:fill="auto"/>
            <w:vAlign w:val="center"/>
          </w:tcPr>
          <w:p w:rsidR="00683D0C" w:rsidRPr="00683D0C" w:rsidRDefault="00683D0C" w:rsidP="002F29AF">
            <w:pPr>
              <w:jc w:val="center"/>
              <w:rPr>
                <w:rFonts w:cs="Arial"/>
                <w:color w:val="000000"/>
              </w:rPr>
            </w:pPr>
          </w:p>
        </w:tc>
        <w:tc>
          <w:tcPr>
            <w:tcW w:w="709" w:type="dxa"/>
            <w:vMerge/>
            <w:tcBorders>
              <w:bottom w:val="single" w:sz="4" w:space="0" w:color="auto"/>
            </w:tcBorders>
            <w:shd w:val="clear" w:color="auto" w:fill="auto"/>
            <w:vAlign w:val="center"/>
          </w:tcPr>
          <w:p w:rsidR="00683D0C" w:rsidRPr="00683D0C" w:rsidRDefault="00683D0C" w:rsidP="002F29AF">
            <w:pPr>
              <w:jc w:val="center"/>
              <w:rPr>
                <w:rFonts w:cs="Arial"/>
                <w:color w:val="000000"/>
              </w:rPr>
            </w:pPr>
          </w:p>
        </w:tc>
        <w:tc>
          <w:tcPr>
            <w:tcW w:w="665" w:type="dxa"/>
            <w:tcBorders>
              <w:bottom w:val="single" w:sz="4" w:space="0" w:color="auto"/>
            </w:tcBorders>
            <w:shd w:val="clear" w:color="auto" w:fill="D99594"/>
            <w:vAlign w:val="center"/>
          </w:tcPr>
          <w:p w:rsidR="00683D0C" w:rsidRPr="00683D0C" w:rsidRDefault="00683D0C" w:rsidP="002F29AF">
            <w:pPr>
              <w:jc w:val="center"/>
              <w:rPr>
                <w:rFonts w:cs="Arial"/>
                <w:color w:val="000000"/>
              </w:rPr>
            </w:pPr>
            <w:r w:rsidRPr="00683D0C">
              <w:rPr>
                <w:rFonts w:cs="Arial"/>
                <w:color w:val="000000"/>
              </w:rPr>
              <w:t>Ali-men-tação</w:t>
            </w:r>
          </w:p>
        </w:tc>
        <w:tc>
          <w:tcPr>
            <w:tcW w:w="647" w:type="dxa"/>
            <w:tcBorders>
              <w:bottom w:val="single" w:sz="4" w:space="0" w:color="auto"/>
            </w:tcBorders>
            <w:shd w:val="clear" w:color="auto" w:fill="D99594"/>
            <w:vAlign w:val="center"/>
          </w:tcPr>
          <w:p w:rsidR="00683D0C" w:rsidRPr="00683D0C" w:rsidRDefault="00683D0C" w:rsidP="002F29AF">
            <w:pPr>
              <w:jc w:val="center"/>
              <w:rPr>
                <w:rFonts w:cs="Arial"/>
                <w:color w:val="000000"/>
              </w:rPr>
            </w:pPr>
            <w:r w:rsidRPr="00683D0C">
              <w:rPr>
                <w:rFonts w:cs="Arial"/>
                <w:color w:val="000000"/>
              </w:rPr>
              <w:t>Habi-tação</w:t>
            </w:r>
          </w:p>
        </w:tc>
        <w:tc>
          <w:tcPr>
            <w:tcW w:w="645" w:type="dxa"/>
            <w:tcBorders>
              <w:bottom w:val="single" w:sz="4" w:space="0" w:color="auto"/>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Ves-tuário</w:t>
            </w:r>
          </w:p>
        </w:tc>
        <w:tc>
          <w:tcPr>
            <w:tcW w:w="718" w:type="dxa"/>
            <w:tcBorders>
              <w:bottom w:val="single" w:sz="4" w:space="0" w:color="auto"/>
            </w:tcBorders>
            <w:shd w:val="clear" w:color="auto" w:fill="D99594"/>
            <w:vAlign w:val="center"/>
          </w:tcPr>
          <w:p w:rsidR="00683D0C" w:rsidRPr="00683D0C" w:rsidRDefault="00683D0C" w:rsidP="002F29AF">
            <w:pPr>
              <w:jc w:val="center"/>
              <w:rPr>
                <w:rFonts w:cs="Arial"/>
                <w:color w:val="000000"/>
              </w:rPr>
            </w:pPr>
            <w:r w:rsidRPr="00683D0C">
              <w:rPr>
                <w:rFonts w:cs="Arial"/>
                <w:color w:val="000000"/>
              </w:rPr>
              <w:t>Trans-porte</w:t>
            </w:r>
          </w:p>
        </w:tc>
        <w:tc>
          <w:tcPr>
            <w:tcW w:w="710" w:type="dxa"/>
            <w:tcBorders>
              <w:bottom w:val="single" w:sz="4" w:space="0" w:color="auto"/>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Higie-ne e Cuida-dos Pes-soais</w:t>
            </w:r>
          </w:p>
        </w:tc>
        <w:tc>
          <w:tcPr>
            <w:tcW w:w="654" w:type="dxa"/>
            <w:tcBorders>
              <w:bottom w:val="single" w:sz="4" w:space="0" w:color="auto"/>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Assis-tência à saúde</w:t>
            </w:r>
          </w:p>
        </w:tc>
        <w:tc>
          <w:tcPr>
            <w:tcW w:w="657" w:type="dxa"/>
            <w:tcBorders>
              <w:bottom w:val="single" w:sz="4" w:space="0" w:color="auto"/>
            </w:tcBorders>
            <w:shd w:val="clear" w:color="auto" w:fill="B2A1C7"/>
            <w:vAlign w:val="center"/>
          </w:tcPr>
          <w:p w:rsidR="00683D0C" w:rsidRPr="00683D0C" w:rsidRDefault="00683D0C" w:rsidP="002F29AF">
            <w:pPr>
              <w:jc w:val="center"/>
              <w:rPr>
                <w:rFonts w:cs="Arial"/>
                <w:color w:val="000000"/>
              </w:rPr>
            </w:pPr>
            <w:r w:rsidRPr="00683D0C">
              <w:rPr>
                <w:rFonts w:cs="Arial"/>
                <w:color w:val="000000"/>
              </w:rPr>
              <w:t>Edu-cação</w:t>
            </w:r>
          </w:p>
        </w:tc>
        <w:tc>
          <w:tcPr>
            <w:tcW w:w="776" w:type="dxa"/>
            <w:tcBorders>
              <w:bottom w:val="single" w:sz="4" w:space="0" w:color="auto"/>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Recre-ação e Cultura</w:t>
            </w:r>
          </w:p>
        </w:tc>
        <w:tc>
          <w:tcPr>
            <w:tcW w:w="620" w:type="dxa"/>
            <w:tcBorders>
              <w:bottom w:val="single" w:sz="4" w:space="0" w:color="auto"/>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Fumo</w:t>
            </w:r>
          </w:p>
        </w:tc>
        <w:tc>
          <w:tcPr>
            <w:tcW w:w="657" w:type="dxa"/>
            <w:tcBorders>
              <w:bottom w:val="single" w:sz="4" w:space="0" w:color="auto"/>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Servi-ços Pes-soais</w:t>
            </w:r>
          </w:p>
        </w:tc>
        <w:tc>
          <w:tcPr>
            <w:tcW w:w="689" w:type="dxa"/>
            <w:tcBorders>
              <w:bottom w:val="single" w:sz="4" w:space="0" w:color="auto"/>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Des-pesas Diver-sas</w:t>
            </w:r>
          </w:p>
        </w:tc>
      </w:tr>
      <w:tr w:rsidR="00683D0C" w:rsidRPr="00683D0C" w:rsidTr="002F29AF">
        <w:tc>
          <w:tcPr>
            <w:tcW w:w="925" w:type="dxa"/>
            <w:tcBorders>
              <w:top w:val="single" w:sz="4" w:space="0" w:color="auto"/>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Brasil</w:t>
            </w:r>
          </w:p>
        </w:tc>
        <w:tc>
          <w:tcPr>
            <w:tcW w:w="709" w:type="dxa"/>
            <w:tcBorders>
              <w:top w:val="single" w:sz="4" w:space="0" w:color="auto"/>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100,00</w:t>
            </w:r>
          </w:p>
        </w:tc>
        <w:tc>
          <w:tcPr>
            <w:tcW w:w="665" w:type="dxa"/>
            <w:tcBorders>
              <w:top w:val="single" w:sz="4" w:space="0" w:color="auto"/>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17,5</w:t>
            </w:r>
          </w:p>
        </w:tc>
        <w:tc>
          <w:tcPr>
            <w:tcW w:w="647" w:type="dxa"/>
            <w:tcBorders>
              <w:top w:val="single" w:sz="4" w:space="0" w:color="auto"/>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36,6</w:t>
            </w:r>
          </w:p>
        </w:tc>
        <w:tc>
          <w:tcPr>
            <w:tcW w:w="645" w:type="dxa"/>
            <w:tcBorders>
              <w:top w:val="single" w:sz="4" w:space="0" w:color="auto"/>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4,3</w:t>
            </w:r>
          </w:p>
        </w:tc>
        <w:tc>
          <w:tcPr>
            <w:tcW w:w="718" w:type="dxa"/>
            <w:tcBorders>
              <w:top w:val="single" w:sz="4" w:space="0" w:color="auto"/>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18,1</w:t>
            </w:r>
          </w:p>
        </w:tc>
        <w:tc>
          <w:tcPr>
            <w:tcW w:w="710" w:type="dxa"/>
            <w:tcBorders>
              <w:top w:val="single" w:sz="4" w:space="0" w:color="auto"/>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3,6</w:t>
            </w:r>
          </w:p>
        </w:tc>
        <w:tc>
          <w:tcPr>
            <w:tcW w:w="654" w:type="dxa"/>
            <w:tcBorders>
              <w:top w:val="single" w:sz="4" w:space="0" w:color="auto"/>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8,0</w:t>
            </w:r>
          </w:p>
        </w:tc>
        <w:tc>
          <w:tcPr>
            <w:tcW w:w="657" w:type="dxa"/>
            <w:tcBorders>
              <w:top w:val="single" w:sz="4" w:space="0" w:color="auto"/>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4,7</w:t>
            </w:r>
          </w:p>
        </w:tc>
        <w:tc>
          <w:tcPr>
            <w:tcW w:w="776" w:type="dxa"/>
            <w:tcBorders>
              <w:top w:val="single" w:sz="4" w:space="0" w:color="auto"/>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2,6</w:t>
            </w:r>
          </w:p>
        </w:tc>
        <w:tc>
          <w:tcPr>
            <w:tcW w:w="620" w:type="dxa"/>
            <w:tcBorders>
              <w:top w:val="single" w:sz="4" w:space="0" w:color="auto"/>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0,5</w:t>
            </w:r>
          </w:p>
        </w:tc>
        <w:tc>
          <w:tcPr>
            <w:tcW w:w="657" w:type="dxa"/>
            <w:tcBorders>
              <w:top w:val="single" w:sz="4" w:space="0" w:color="auto"/>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1,3</w:t>
            </w:r>
          </w:p>
        </w:tc>
        <w:tc>
          <w:tcPr>
            <w:tcW w:w="689" w:type="dxa"/>
            <w:tcBorders>
              <w:top w:val="single" w:sz="4" w:space="0" w:color="auto"/>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3,0</w:t>
            </w:r>
          </w:p>
        </w:tc>
      </w:tr>
      <w:tr w:rsidR="00683D0C" w:rsidRPr="00683D0C" w:rsidTr="002F29AF">
        <w:tc>
          <w:tcPr>
            <w:tcW w:w="925"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Urbana</w:t>
            </w:r>
          </w:p>
        </w:tc>
        <w:tc>
          <w:tcPr>
            <w:tcW w:w="709"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100,00</w:t>
            </w:r>
          </w:p>
        </w:tc>
        <w:tc>
          <w:tcPr>
            <w:tcW w:w="665" w:type="dxa"/>
            <w:tcBorders>
              <w:top w:val="nil"/>
              <w:left w:val="nil"/>
              <w:bottom w:val="nil"/>
              <w:right w:val="nil"/>
            </w:tcBorders>
            <w:shd w:val="clear" w:color="auto" w:fill="D99594"/>
            <w:vAlign w:val="center"/>
          </w:tcPr>
          <w:p w:rsidR="00683D0C" w:rsidRPr="00683D0C" w:rsidRDefault="00683D0C" w:rsidP="002F29AF">
            <w:pPr>
              <w:jc w:val="center"/>
              <w:rPr>
                <w:rFonts w:cs="Arial"/>
                <w:color w:val="000000"/>
              </w:rPr>
            </w:pPr>
            <w:r w:rsidRPr="00683D0C">
              <w:rPr>
                <w:rFonts w:cs="Arial"/>
                <w:color w:val="000000"/>
              </w:rPr>
              <w:t>16,9</w:t>
            </w:r>
          </w:p>
        </w:tc>
        <w:tc>
          <w:tcPr>
            <w:tcW w:w="647" w:type="dxa"/>
            <w:tcBorders>
              <w:top w:val="nil"/>
              <w:left w:val="nil"/>
              <w:bottom w:val="nil"/>
              <w:right w:val="nil"/>
            </w:tcBorders>
            <w:shd w:val="clear" w:color="auto" w:fill="D99594"/>
            <w:vAlign w:val="center"/>
          </w:tcPr>
          <w:p w:rsidR="00683D0C" w:rsidRPr="00683D0C" w:rsidRDefault="00683D0C" w:rsidP="002F29AF">
            <w:pPr>
              <w:jc w:val="center"/>
              <w:rPr>
                <w:rFonts w:cs="Arial"/>
                <w:color w:val="000000"/>
              </w:rPr>
            </w:pPr>
            <w:r w:rsidRPr="00683D0C">
              <w:rPr>
                <w:rFonts w:cs="Arial"/>
                <w:color w:val="000000"/>
              </w:rPr>
              <w:t>37,1</w:t>
            </w:r>
          </w:p>
        </w:tc>
        <w:tc>
          <w:tcPr>
            <w:tcW w:w="645"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4,2</w:t>
            </w:r>
          </w:p>
        </w:tc>
        <w:tc>
          <w:tcPr>
            <w:tcW w:w="718" w:type="dxa"/>
            <w:tcBorders>
              <w:top w:val="nil"/>
              <w:left w:val="nil"/>
              <w:bottom w:val="nil"/>
              <w:right w:val="nil"/>
            </w:tcBorders>
            <w:shd w:val="clear" w:color="auto" w:fill="D99594"/>
            <w:vAlign w:val="center"/>
          </w:tcPr>
          <w:p w:rsidR="00683D0C" w:rsidRPr="00683D0C" w:rsidRDefault="00683D0C" w:rsidP="002F29AF">
            <w:pPr>
              <w:jc w:val="center"/>
              <w:rPr>
                <w:rFonts w:cs="Arial"/>
                <w:color w:val="000000"/>
              </w:rPr>
            </w:pPr>
            <w:r w:rsidRPr="00683D0C">
              <w:rPr>
                <w:rFonts w:cs="Arial"/>
                <w:color w:val="000000"/>
              </w:rPr>
              <w:t>17,9</w:t>
            </w:r>
          </w:p>
        </w:tc>
        <w:tc>
          <w:tcPr>
            <w:tcW w:w="710"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3,6</w:t>
            </w:r>
          </w:p>
        </w:tc>
        <w:tc>
          <w:tcPr>
            <w:tcW w:w="654"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8,0</w:t>
            </w:r>
          </w:p>
        </w:tc>
        <w:tc>
          <w:tcPr>
            <w:tcW w:w="657" w:type="dxa"/>
            <w:tcBorders>
              <w:top w:val="nil"/>
              <w:left w:val="nil"/>
              <w:bottom w:val="nil"/>
              <w:right w:val="nil"/>
            </w:tcBorders>
            <w:shd w:val="clear" w:color="auto" w:fill="B2A1C7"/>
            <w:vAlign w:val="center"/>
          </w:tcPr>
          <w:p w:rsidR="00683D0C" w:rsidRPr="00683D0C" w:rsidRDefault="00683D0C" w:rsidP="002F29AF">
            <w:pPr>
              <w:jc w:val="center"/>
              <w:rPr>
                <w:rFonts w:cs="Arial"/>
                <w:color w:val="000000"/>
              </w:rPr>
            </w:pPr>
            <w:r w:rsidRPr="00683D0C">
              <w:rPr>
                <w:rFonts w:cs="Arial"/>
                <w:color w:val="000000"/>
              </w:rPr>
              <w:t>4,9</w:t>
            </w:r>
          </w:p>
        </w:tc>
        <w:tc>
          <w:tcPr>
            <w:tcW w:w="776"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2,6</w:t>
            </w:r>
          </w:p>
        </w:tc>
        <w:tc>
          <w:tcPr>
            <w:tcW w:w="620"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0,5</w:t>
            </w:r>
          </w:p>
        </w:tc>
        <w:tc>
          <w:tcPr>
            <w:tcW w:w="657"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1,3</w:t>
            </w:r>
          </w:p>
        </w:tc>
        <w:tc>
          <w:tcPr>
            <w:tcW w:w="689"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3,0</w:t>
            </w:r>
          </w:p>
        </w:tc>
      </w:tr>
      <w:tr w:rsidR="00683D0C" w:rsidRPr="00683D0C" w:rsidTr="002F29AF">
        <w:tc>
          <w:tcPr>
            <w:tcW w:w="925"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Rural</w:t>
            </w:r>
          </w:p>
        </w:tc>
        <w:tc>
          <w:tcPr>
            <w:tcW w:w="709"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100,00</w:t>
            </w:r>
          </w:p>
        </w:tc>
        <w:tc>
          <w:tcPr>
            <w:tcW w:w="665" w:type="dxa"/>
            <w:tcBorders>
              <w:top w:val="nil"/>
              <w:left w:val="nil"/>
              <w:bottom w:val="nil"/>
              <w:right w:val="nil"/>
            </w:tcBorders>
            <w:shd w:val="clear" w:color="auto" w:fill="D99594"/>
            <w:vAlign w:val="center"/>
          </w:tcPr>
          <w:p w:rsidR="00683D0C" w:rsidRPr="00683D0C" w:rsidRDefault="00683D0C" w:rsidP="002F29AF">
            <w:pPr>
              <w:jc w:val="center"/>
              <w:rPr>
                <w:rFonts w:cs="Arial"/>
                <w:color w:val="000000"/>
              </w:rPr>
            </w:pPr>
            <w:r w:rsidRPr="00683D0C">
              <w:rPr>
                <w:rFonts w:cs="Arial"/>
                <w:color w:val="000000"/>
              </w:rPr>
              <w:t>23,8</w:t>
            </w:r>
          </w:p>
        </w:tc>
        <w:tc>
          <w:tcPr>
            <w:tcW w:w="647" w:type="dxa"/>
            <w:tcBorders>
              <w:top w:val="nil"/>
              <w:left w:val="nil"/>
              <w:bottom w:val="nil"/>
              <w:right w:val="nil"/>
            </w:tcBorders>
            <w:shd w:val="clear" w:color="auto" w:fill="D99594"/>
            <w:vAlign w:val="center"/>
          </w:tcPr>
          <w:p w:rsidR="00683D0C" w:rsidRPr="00683D0C" w:rsidRDefault="00683D0C" w:rsidP="002F29AF">
            <w:pPr>
              <w:jc w:val="center"/>
              <w:rPr>
                <w:rFonts w:cs="Arial"/>
                <w:color w:val="000000"/>
              </w:rPr>
            </w:pPr>
            <w:r w:rsidRPr="00683D0C">
              <w:rPr>
                <w:rFonts w:cs="Arial"/>
                <w:color w:val="000000"/>
              </w:rPr>
              <w:t>30,9</w:t>
            </w:r>
          </w:p>
        </w:tc>
        <w:tc>
          <w:tcPr>
            <w:tcW w:w="645"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4,7</w:t>
            </w:r>
          </w:p>
        </w:tc>
        <w:tc>
          <w:tcPr>
            <w:tcW w:w="718" w:type="dxa"/>
            <w:tcBorders>
              <w:top w:val="nil"/>
              <w:left w:val="nil"/>
              <w:bottom w:val="nil"/>
              <w:right w:val="nil"/>
            </w:tcBorders>
            <w:shd w:val="clear" w:color="auto" w:fill="D99594"/>
            <w:vAlign w:val="center"/>
          </w:tcPr>
          <w:p w:rsidR="00683D0C" w:rsidRPr="00683D0C" w:rsidRDefault="00683D0C" w:rsidP="002F29AF">
            <w:pPr>
              <w:jc w:val="center"/>
              <w:rPr>
                <w:rFonts w:cs="Arial"/>
                <w:color w:val="000000"/>
              </w:rPr>
            </w:pPr>
            <w:r w:rsidRPr="00683D0C">
              <w:rPr>
                <w:rFonts w:cs="Arial"/>
                <w:color w:val="000000"/>
              </w:rPr>
              <w:t>20,0</w:t>
            </w:r>
          </w:p>
        </w:tc>
        <w:tc>
          <w:tcPr>
            <w:tcW w:w="710"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4,5</w:t>
            </w:r>
          </w:p>
        </w:tc>
        <w:tc>
          <w:tcPr>
            <w:tcW w:w="654"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8,0</w:t>
            </w:r>
          </w:p>
        </w:tc>
        <w:tc>
          <w:tcPr>
            <w:tcW w:w="657" w:type="dxa"/>
            <w:tcBorders>
              <w:top w:val="nil"/>
              <w:left w:val="nil"/>
              <w:bottom w:val="nil"/>
              <w:right w:val="nil"/>
            </w:tcBorders>
            <w:shd w:val="clear" w:color="auto" w:fill="B2A1C7"/>
            <w:vAlign w:val="center"/>
          </w:tcPr>
          <w:p w:rsidR="00683D0C" w:rsidRPr="00683D0C" w:rsidRDefault="00683D0C" w:rsidP="002F29AF">
            <w:pPr>
              <w:jc w:val="center"/>
              <w:rPr>
                <w:rFonts w:cs="Arial"/>
                <w:color w:val="000000"/>
              </w:rPr>
            </w:pPr>
            <w:r w:rsidRPr="00683D0C">
              <w:rPr>
                <w:rFonts w:cs="Arial"/>
                <w:color w:val="000000"/>
              </w:rPr>
              <w:t>2,3</w:t>
            </w:r>
          </w:p>
        </w:tc>
        <w:tc>
          <w:tcPr>
            <w:tcW w:w="776"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1,8</w:t>
            </w:r>
          </w:p>
        </w:tc>
        <w:tc>
          <w:tcPr>
            <w:tcW w:w="620"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0,5</w:t>
            </w:r>
          </w:p>
        </w:tc>
        <w:tc>
          <w:tcPr>
            <w:tcW w:w="657"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0,9</w:t>
            </w:r>
          </w:p>
        </w:tc>
        <w:tc>
          <w:tcPr>
            <w:tcW w:w="689"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2,5</w:t>
            </w:r>
          </w:p>
        </w:tc>
      </w:tr>
      <w:tr w:rsidR="00683D0C" w:rsidRPr="00683D0C" w:rsidTr="002F29AF">
        <w:tc>
          <w:tcPr>
            <w:tcW w:w="925"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Norte</w:t>
            </w:r>
          </w:p>
        </w:tc>
        <w:tc>
          <w:tcPr>
            <w:tcW w:w="709"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100,00</w:t>
            </w:r>
          </w:p>
        </w:tc>
        <w:tc>
          <w:tcPr>
            <w:tcW w:w="665"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21,0</w:t>
            </w:r>
          </w:p>
        </w:tc>
        <w:tc>
          <w:tcPr>
            <w:tcW w:w="647"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36,4</w:t>
            </w:r>
          </w:p>
        </w:tc>
        <w:tc>
          <w:tcPr>
            <w:tcW w:w="645"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5,3</w:t>
            </w:r>
          </w:p>
        </w:tc>
        <w:tc>
          <w:tcPr>
            <w:tcW w:w="718"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16,6</w:t>
            </w:r>
          </w:p>
        </w:tc>
        <w:tc>
          <w:tcPr>
            <w:tcW w:w="710"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5,7</w:t>
            </w:r>
          </w:p>
        </w:tc>
        <w:tc>
          <w:tcPr>
            <w:tcW w:w="654"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5,4</w:t>
            </w:r>
          </w:p>
        </w:tc>
        <w:tc>
          <w:tcPr>
            <w:tcW w:w="657"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3,2</w:t>
            </w:r>
          </w:p>
        </w:tc>
        <w:tc>
          <w:tcPr>
            <w:tcW w:w="776"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2,5</w:t>
            </w:r>
          </w:p>
        </w:tc>
        <w:tc>
          <w:tcPr>
            <w:tcW w:w="620"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0,3</w:t>
            </w:r>
          </w:p>
        </w:tc>
        <w:tc>
          <w:tcPr>
            <w:tcW w:w="657"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1,1</w:t>
            </w:r>
          </w:p>
        </w:tc>
        <w:tc>
          <w:tcPr>
            <w:tcW w:w="689"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2,4</w:t>
            </w:r>
          </w:p>
        </w:tc>
      </w:tr>
      <w:tr w:rsidR="00683D0C" w:rsidRPr="00683D0C" w:rsidTr="002F29AF">
        <w:tc>
          <w:tcPr>
            <w:tcW w:w="925"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Nordeste</w:t>
            </w:r>
          </w:p>
        </w:tc>
        <w:tc>
          <w:tcPr>
            <w:tcW w:w="709"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100,00</w:t>
            </w:r>
          </w:p>
        </w:tc>
        <w:tc>
          <w:tcPr>
            <w:tcW w:w="665"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22,0</w:t>
            </w:r>
          </w:p>
        </w:tc>
        <w:tc>
          <w:tcPr>
            <w:tcW w:w="647"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32,4</w:t>
            </w:r>
          </w:p>
        </w:tc>
        <w:tc>
          <w:tcPr>
            <w:tcW w:w="645"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5,1</w:t>
            </w:r>
          </w:p>
        </w:tc>
        <w:tc>
          <w:tcPr>
            <w:tcW w:w="718"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16,2</w:t>
            </w:r>
          </w:p>
        </w:tc>
        <w:tc>
          <w:tcPr>
            <w:tcW w:w="710"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5,0</w:t>
            </w:r>
          </w:p>
        </w:tc>
        <w:tc>
          <w:tcPr>
            <w:tcW w:w="654"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8,0</w:t>
            </w:r>
          </w:p>
        </w:tc>
        <w:tc>
          <w:tcPr>
            <w:tcW w:w="657"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4,7</w:t>
            </w:r>
          </w:p>
        </w:tc>
        <w:tc>
          <w:tcPr>
            <w:tcW w:w="776"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2,5</w:t>
            </w:r>
          </w:p>
        </w:tc>
        <w:tc>
          <w:tcPr>
            <w:tcW w:w="620"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0,4</w:t>
            </w:r>
          </w:p>
        </w:tc>
        <w:tc>
          <w:tcPr>
            <w:tcW w:w="657"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1,3</w:t>
            </w:r>
          </w:p>
        </w:tc>
        <w:tc>
          <w:tcPr>
            <w:tcW w:w="689"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2,4</w:t>
            </w:r>
          </w:p>
        </w:tc>
      </w:tr>
      <w:tr w:rsidR="00683D0C" w:rsidRPr="00683D0C" w:rsidTr="002F29AF">
        <w:tc>
          <w:tcPr>
            <w:tcW w:w="925"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Sudeste</w:t>
            </w:r>
          </w:p>
        </w:tc>
        <w:tc>
          <w:tcPr>
            <w:tcW w:w="709"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100,00</w:t>
            </w:r>
          </w:p>
        </w:tc>
        <w:tc>
          <w:tcPr>
            <w:tcW w:w="665"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15,8</w:t>
            </w:r>
          </w:p>
        </w:tc>
        <w:tc>
          <w:tcPr>
            <w:tcW w:w="647"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39,0</w:t>
            </w:r>
          </w:p>
        </w:tc>
        <w:tc>
          <w:tcPr>
            <w:tcW w:w="645"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3,7</w:t>
            </w:r>
          </w:p>
        </w:tc>
        <w:tc>
          <w:tcPr>
            <w:tcW w:w="718"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17,5</w:t>
            </w:r>
          </w:p>
        </w:tc>
        <w:tc>
          <w:tcPr>
            <w:tcW w:w="710"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3,0</w:t>
            </w:r>
          </w:p>
        </w:tc>
        <w:tc>
          <w:tcPr>
            <w:tcW w:w="654"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8,5</w:t>
            </w:r>
          </w:p>
        </w:tc>
        <w:tc>
          <w:tcPr>
            <w:tcW w:w="657"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5,1</w:t>
            </w:r>
          </w:p>
        </w:tc>
        <w:tc>
          <w:tcPr>
            <w:tcW w:w="776"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2,5</w:t>
            </w:r>
          </w:p>
        </w:tc>
        <w:tc>
          <w:tcPr>
            <w:tcW w:w="620"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0,5</w:t>
            </w:r>
          </w:p>
        </w:tc>
        <w:tc>
          <w:tcPr>
            <w:tcW w:w="657"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1,3</w:t>
            </w:r>
          </w:p>
        </w:tc>
        <w:tc>
          <w:tcPr>
            <w:tcW w:w="689"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3,0</w:t>
            </w:r>
          </w:p>
        </w:tc>
      </w:tr>
      <w:tr w:rsidR="00683D0C" w:rsidRPr="00683D0C" w:rsidTr="002F29AF">
        <w:tc>
          <w:tcPr>
            <w:tcW w:w="925"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Sul</w:t>
            </w:r>
          </w:p>
        </w:tc>
        <w:tc>
          <w:tcPr>
            <w:tcW w:w="709"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100,00</w:t>
            </w:r>
          </w:p>
        </w:tc>
        <w:tc>
          <w:tcPr>
            <w:tcW w:w="665"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17,1</w:t>
            </w:r>
          </w:p>
        </w:tc>
        <w:tc>
          <w:tcPr>
            <w:tcW w:w="647"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35,7</w:t>
            </w:r>
          </w:p>
        </w:tc>
        <w:tc>
          <w:tcPr>
            <w:tcW w:w="645"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4,5</w:t>
            </w:r>
          </w:p>
        </w:tc>
        <w:tc>
          <w:tcPr>
            <w:tcW w:w="718"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20,6</w:t>
            </w:r>
          </w:p>
        </w:tc>
        <w:tc>
          <w:tcPr>
            <w:tcW w:w="710"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3,3</w:t>
            </w:r>
          </w:p>
        </w:tc>
        <w:tc>
          <w:tcPr>
            <w:tcW w:w="654"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7,3</w:t>
            </w:r>
          </w:p>
        </w:tc>
        <w:tc>
          <w:tcPr>
            <w:tcW w:w="657"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3,7</w:t>
            </w:r>
          </w:p>
        </w:tc>
        <w:tc>
          <w:tcPr>
            <w:tcW w:w="776"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2,6</w:t>
            </w:r>
          </w:p>
        </w:tc>
        <w:tc>
          <w:tcPr>
            <w:tcW w:w="620"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0,6</w:t>
            </w:r>
          </w:p>
        </w:tc>
        <w:tc>
          <w:tcPr>
            <w:tcW w:w="657"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1,2</w:t>
            </w:r>
          </w:p>
        </w:tc>
        <w:tc>
          <w:tcPr>
            <w:tcW w:w="689" w:type="dxa"/>
            <w:tcBorders>
              <w:top w:val="nil"/>
              <w:left w:val="nil"/>
              <w:bottom w:val="nil"/>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3,3</w:t>
            </w:r>
          </w:p>
        </w:tc>
      </w:tr>
      <w:tr w:rsidR="00683D0C" w:rsidRPr="00683D0C" w:rsidTr="002F29AF">
        <w:tc>
          <w:tcPr>
            <w:tcW w:w="925" w:type="dxa"/>
            <w:tcBorders>
              <w:top w:val="nil"/>
              <w:left w:val="nil"/>
              <w:bottom w:val="single" w:sz="4" w:space="0" w:color="auto"/>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Centro-Oeste</w:t>
            </w:r>
          </w:p>
        </w:tc>
        <w:tc>
          <w:tcPr>
            <w:tcW w:w="709" w:type="dxa"/>
            <w:tcBorders>
              <w:top w:val="nil"/>
              <w:left w:val="nil"/>
              <w:bottom w:val="single" w:sz="4" w:space="0" w:color="auto"/>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100,00</w:t>
            </w:r>
          </w:p>
        </w:tc>
        <w:tc>
          <w:tcPr>
            <w:tcW w:w="665" w:type="dxa"/>
            <w:tcBorders>
              <w:top w:val="nil"/>
              <w:left w:val="nil"/>
              <w:bottom w:val="single" w:sz="4" w:space="0" w:color="auto"/>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16,6</w:t>
            </w:r>
          </w:p>
        </w:tc>
        <w:tc>
          <w:tcPr>
            <w:tcW w:w="647" w:type="dxa"/>
            <w:tcBorders>
              <w:top w:val="nil"/>
              <w:left w:val="nil"/>
              <w:bottom w:val="single" w:sz="4" w:space="0" w:color="auto"/>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33,4</w:t>
            </w:r>
          </w:p>
        </w:tc>
        <w:tc>
          <w:tcPr>
            <w:tcW w:w="645" w:type="dxa"/>
            <w:tcBorders>
              <w:top w:val="nil"/>
              <w:left w:val="nil"/>
              <w:bottom w:val="single" w:sz="4" w:space="0" w:color="auto"/>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4,5</w:t>
            </w:r>
          </w:p>
        </w:tc>
        <w:tc>
          <w:tcPr>
            <w:tcW w:w="718" w:type="dxa"/>
            <w:tcBorders>
              <w:top w:val="nil"/>
              <w:left w:val="nil"/>
              <w:bottom w:val="single" w:sz="4" w:space="0" w:color="auto"/>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21,0</w:t>
            </w:r>
          </w:p>
        </w:tc>
        <w:tc>
          <w:tcPr>
            <w:tcW w:w="710" w:type="dxa"/>
            <w:tcBorders>
              <w:top w:val="nil"/>
              <w:left w:val="nil"/>
              <w:bottom w:val="single" w:sz="4" w:space="0" w:color="auto"/>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3,6</w:t>
            </w:r>
          </w:p>
        </w:tc>
        <w:tc>
          <w:tcPr>
            <w:tcW w:w="654" w:type="dxa"/>
            <w:tcBorders>
              <w:top w:val="nil"/>
              <w:left w:val="nil"/>
              <w:bottom w:val="single" w:sz="4" w:space="0" w:color="auto"/>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8,0</w:t>
            </w:r>
          </w:p>
        </w:tc>
        <w:tc>
          <w:tcPr>
            <w:tcW w:w="657" w:type="dxa"/>
            <w:tcBorders>
              <w:top w:val="nil"/>
              <w:left w:val="nil"/>
              <w:bottom w:val="single" w:sz="4" w:space="0" w:color="auto"/>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4,7</w:t>
            </w:r>
          </w:p>
        </w:tc>
        <w:tc>
          <w:tcPr>
            <w:tcW w:w="776" w:type="dxa"/>
            <w:tcBorders>
              <w:top w:val="nil"/>
              <w:left w:val="nil"/>
              <w:bottom w:val="single" w:sz="4" w:space="0" w:color="auto"/>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2,7</w:t>
            </w:r>
          </w:p>
        </w:tc>
        <w:tc>
          <w:tcPr>
            <w:tcW w:w="620" w:type="dxa"/>
            <w:tcBorders>
              <w:top w:val="nil"/>
              <w:left w:val="nil"/>
              <w:bottom w:val="single" w:sz="4" w:space="0" w:color="auto"/>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0,4</w:t>
            </w:r>
          </w:p>
        </w:tc>
        <w:tc>
          <w:tcPr>
            <w:tcW w:w="657" w:type="dxa"/>
            <w:tcBorders>
              <w:top w:val="nil"/>
              <w:left w:val="nil"/>
              <w:bottom w:val="single" w:sz="4" w:space="0" w:color="auto"/>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1,3</w:t>
            </w:r>
          </w:p>
        </w:tc>
        <w:tc>
          <w:tcPr>
            <w:tcW w:w="689" w:type="dxa"/>
            <w:tcBorders>
              <w:top w:val="nil"/>
              <w:left w:val="nil"/>
              <w:bottom w:val="single" w:sz="4" w:space="0" w:color="auto"/>
              <w:right w:val="nil"/>
            </w:tcBorders>
            <w:shd w:val="clear" w:color="auto" w:fill="auto"/>
            <w:vAlign w:val="center"/>
          </w:tcPr>
          <w:p w:rsidR="00683D0C" w:rsidRPr="00683D0C" w:rsidRDefault="00683D0C" w:rsidP="002F29AF">
            <w:pPr>
              <w:jc w:val="center"/>
              <w:rPr>
                <w:rFonts w:cs="Arial"/>
                <w:color w:val="000000"/>
              </w:rPr>
            </w:pPr>
            <w:r w:rsidRPr="00683D0C">
              <w:rPr>
                <w:rFonts w:cs="Arial"/>
                <w:color w:val="000000"/>
              </w:rPr>
              <w:t>3,8</w:t>
            </w:r>
          </w:p>
        </w:tc>
      </w:tr>
    </w:tbl>
    <w:p w:rsidR="00683D0C" w:rsidRPr="00683D0C" w:rsidRDefault="00683D0C" w:rsidP="00683D0C">
      <w:pPr>
        <w:rPr>
          <w:rFonts w:cs="Arial"/>
          <w:color w:val="000000"/>
        </w:rPr>
      </w:pPr>
      <w:r w:rsidRPr="00683D0C">
        <w:rPr>
          <w:rFonts w:cs="Arial"/>
          <w:b/>
          <w:color w:val="000000"/>
        </w:rPr>
        <w:t>Fonte</w:t>
      </w:r>
      <w:r w:rsidRPr="00683D0C">
        <w:rPr>
          <w:rFonts w:cs="Arial"/>
          <w:color w:val="000000"/>
        </w:rPr>
        <w:t>: adaptado pelo autor de IBGE (2019, p. 43).</w:t>
      </w:r>
    </w:p>
    <w:p w:rsidR="00683D0C" w:rsidRPr="00683D0C" w:rsidRDefault="00683D0C" w:rsidP="0027375B">
      <w:pPr>
        <w:pStyle w:val="Sinespaciado"/>
        <w:rPr>
          <w:sz w:val="20"/>
        </w:rPr>
      </w:pPr>
    </w:p>
    <w:p w:rsidR="008B353E" w:rsidRDefault="008B353E" w:rsidP="008B353E">
      <w:pPr>
        <w:pStyle w:val="Sinespaciado"/>
      </w:pPr>
      <w:r>
        <w:t xml:space="preserve">Analisando-se a Tabela 2 e tratando-se inicialmente do consumo das famílias nos ambientes urbano e rural, tem-se em educação (em destaque na tabela), que não possui o maior gasto de consumo, a maior diferença percentual: na área urbana as famílias gastam mais que o dobro em pontos percentuais (p.p.) que na área rural. Já no tocante aos três maiores percentuais de consumo (habitação, transporte e alimentação – também em destaque), vê-se uma discrepância nos ambientes: em relação à habitação, o maior consumo das famílias nos dois ambientes, consome-se 6,2 p.p. a mais nas cidades que no campo; já em relação à alimentação e transporte há uma inversão de ordem: no urbano consome-se mais em transporte que alimentação (percentuais bem próximos), o que é inverso no rural, onde o consumo é maior com alimentação que com transporte. Além disso, tanto alimentação quanto </w:t>
      </w:r>
      <w:r>
        <w:lastRenderedPageBreak/>
        <w:t>transporte são consumidos muito mais no rural que no urbano, 6,9 p.p. e 2,1 p.p., respectivamente, a mais.</w:t>
      </w:r>
    </w:p>
    <w:p w:rsidR="008B353E" w:rsidRDefault="008B353E" w:rsidP="008B353E">
      <w:pPr>
        <w:pStyle w:val="Sinespaciado"/>
      </w:pPr>
      <w:r>
        <w:t>Nessa análise entre o consumo urbano e rural, Paterson (2006) comenta que é fácil ver a conexão entre formas de vida recém-urbanas e padrões mais modernos de consumo, pois, nas cidades, passa-se a articular um novo senso de id</w:t>
      </w:r>
      <w:r w:rsidR="004209E8">
        <w:t xml:space="preserve">entidade que leva as pessoas a </w:t>
      </w:r>
      <w:r>
        <w:t xml:space="preserve">adornar </w:t>
      </w:r>
      <w:r w:rsidR="004209E8">
        <w:t>o corpo com roupas e decorações</w:t>
      </w:r>
      <w:r>
        <w:t xml:space="preserve"> e a comer e beber de uma maneira interpretável para os outros, ou seja, as pessoas no meio urbano tendem a viver e con</w:t>
      </w:r>
      <w:r w:rsidR="004209E8">
        <w:t>sumir quase que para os outros</w:t>
      </w:r>
      <w:r>
        <w:t>.</w:t>
      </w:r>
    </w:p>
    <w:p w:rsidR="00527878" w:rsidRDefault="008B353E" w:rsidP="008B353E">
      <w:pPr>
        <w:pStyle w:val="Sinespaciado"/>
      </w:pPr>
      <w:r>
        <w:t>Passando-se à análise sobre as Grandes Regiões brasileiras da Tabela 2, tem-se o Quadro 1 com cada despesa de consumo diagnosticada em separado.</w:t>
      </w:r>
    </w:p>
    <w:p w:rsidR="00DC264E" w:rsidRPr="00DC264E" w:rsidRDefault="00DC264E" w:rsidP="00DC264E">
      <w:pPr>
        <w:ind w:firstLine="709"/>
        <w:rPr>
          <w:rFonts w:cs="Arial"/>
          <w:color w:val="000000"/>
        </w:rPr>
      </w:pPr>
    </w:p>
    <w:p w:rsidR="00DC264E" w:rsidRPr="00DC264E" w:rsidRDefault="00DC264E" w:rsidP="00DC264E">
      <w:pPr>
        <w:rPr>
          <w:rFonts w:cs="Arial"/>
          <w:noProof/>
          <w:szCs w:val="21"/>
        </w:rPr>
      </w:pPr>
      <w:r w:rsidRPr="00DC264E">
        <w:rPr>
          <w:rFonts w:cs="Arial"/>
          <w:b/>
          <w:noProof/>
          <w:szCs w:val="21"/>
        </w:rPr>
        <w:t>Quadro 1</w:t>
      </w:r>
      <w:r w:rsidRPr="00DC264E">
        <w:rPr>
          <w:rFonts w:cs="Arial"/>
          <w:noProof/>
          <w:szCs w:val="21"/>
        </w:rPr>
        <w:t xml:space="preserve"> – Análise dos consumos das Grandes Regiões do Brasil tendo por base a Tabela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DC264E" w:rsidRPr="00DC264E" w:rsidTr="00E47475">
        <w:tc>
          <w:tcPr>
            <w:tcW w:w="2127" w:type="dxa"/>
            <w:shd w:val="clear" w:color="auto" w:fill="auto"/>
            <w:vAlign w:val="center"/>
          </w:tcPr>
          <w:p w:rsidR="00DC264E" w:rsidRPr="00DC264E" w:rsidRDefault="00DC264E" w:rsidP="002F29AF">
            <w:pPr>
              <w:jc w:val="center"/>
              <w:rPr>
                <w:rFonts w:cs="Arial"/>
                <w:bCs/>
                <w:noProof/>
                <w:color w:val="000000"/>
                <w:szCs w:val="21"/>
              </w:rPr>
            </w:pPr>
            <w:r w:rsidRPr="00DC264E">
              <w:rPr>
                <w:rFonts w:cs="Arial"/>
                <w:bCs/>
                <w:noProof/>
                <w:color w:val="000000"/>
                <w:szCs w:val="21"/>
              </w:rPr>
              <w:t>Consumo com...</w:t>
            </w:r>
          </w:p>
        </w:tc>
        <w:tc>
          <w:tcPr>
            <w:tcW w:w="6945" w:type="dxa"/>
            <w:shd w:val="clear" w:color="auto" w:fill="auto"/>
            <w:vAlign w:val="center"/>
          </w:tcPr>
          <w:p w:rsidR="00DC264E" w:rsidRPr="00DC264E" w:rsidRDefault="00DC264E" w:rsidP="002F29AF">
            <w:pPr>
              <w:jc w:val="center"/>
              <w:rPr>
                <w:rFonts w:cs="Arial"/>
                <w:bCs/>
                <w:noProof/>
                <w:color w:val="000000"/>
                <w:szCs w:val="21"/>
              </w:rPr>
            </w:pPr>
            <w:r w:rsidRPr="00DC264E">
              <w:rPr>
                <w:rFonts w:cs="Arial"/>
                <w:bCs/>
                <w:noProof/>
                <w:color w:val="000000"/>
                <w:szCs w:val="21"/>
              </w:rPr>
              <w:t>Análise das Grandes Regiões</w:t>
            </w:r>
          </w:p>
        </w:tc>
      </w:tr>
      <w:tr w:rsidR="00DC264E" w:rsidRPr="00DC264E" w:rsidTr="00E47475">
        <w:tc>
          <w:tcPr>
            <w:tcW w:w="2127" w:type="dxa"/>
            <w:shd w:val="clear" w:color="auto" w:fill="A6A6A6"/>
            <w:vAlign w:val="center"/>
          </w:tcPr>
          <w:p w:rsidR="00DC264E" w:rsidRPr="00DC264E" w:rsidRDefault="00DC264E" w:rsidP="002F29AF">
            <w:pPr>
              <w:rPr>
                <w:rFonts w:cs="Arial"/>
                <w:bCs/>
                <w:noProof/>
                <w:color w:val="000000"/>
                <w:szCs w:val="21"/>
              </w:rPr>
            </w:pPr>
            <w:r w:rsidRPr="00DC264E">
              <w:rPr>
                <w:rFonts w:cs="Arial"/>
                <w:bCs/>
                <w:noProof/>
                <w:color w:val="000000"/>
                <w:szCs w:val="21"/>
              </w:rPr>
              <w:t>Alimentação</w:t>
            </w:r>
          </w:p>
        </w:tc>
        <w:tc>
          <w:tcPr>
            <w:tcW w:w="6945" w:type="dxa"/>
            <w:shd w:val="clear" w:color="auto" w:fill="A6A6A6"/>
            <w:vAlign w:val="center"/>
          </w:tcPr>
          <w:p w:rsidR="00DC264E" w:rsidRPr="00DC264E" w:rsidRDefault="00DC264E" w:rsidP="002F29AF">
            <w:pPr>
              <w:rPr>
                <w:rFonts w:cs="Arial"/>
                <w:noProof/>
                <w:color w:val="000000"/>
                <w:szCs w:val="21"/>
              </w:rPr>
            </w:pPr>
            <w:r w:rsidRPr="00DC264E">
              <w:rPr>
                <w:rFonts w:cs="Arial"/>
                <w:color w:val="000000"/>
                <w:szCs w:val="21"/>
              </w:rPr>
              <w:t>As regiões Norte (21,0%) e Nordeste (22,0%) têm consumo acima da média do Brasil (17,5%). Já o Sudeste é a região com menor consumo no país nesse item</w:t>
            </w:r>
          </w:p>
        </w:tc>
      </w:tr>
      <w:tr w:rsidR="00DC264E" w:rsidRPr="00DC264E" w:rsidTr="00E47475">
        <w:tc>
          <w:tcPr>
            <w:tcW w:w="2127" w:type="dxa"/>
            <w:shd w:val="clear" w:color="auto" w:fill="auto"/>
            <w:vAlign w:val="center"/>
          </w:tcPr>
          <w:p w:rsidR="00DC264E" w:rsidRPr="00DC264E" w:rsidRDefault="00DC264E" w:rsidP="002F29AF">
            <w:pPr>
              <w:rPr>
                <w:rFonts w:cs="Arial"/>
                <w:bCs/>
                <w:noProof/>
                <w:color w:val="000000"/>
                <w:szCs w:val="21"/>
              </w:rPr>
            </w:pPr>
            <w:r w:rsidRPr="00DC264E">
              <w:rPr>
                <w:rFonts w:cs="Arial"/>
                <w:bCs/>
                <w:noProof/>
                <w:color w:val="000000"/>
                <w:szCs w:val="21"/>
              </w:rPr>
              <w:t>Habitação</w:t>
            </w:r>
          </w:p>
        </w:tc>
        <w:tc>
          <w:tcPr>
            <w:tcW w:w="6945" w:type="dxa"/>
            <w:shd w:val="clear" w:color="auto" w:fill="auto"/>
            <w:vAlign w:val="center"/>
          </w:tcPr>
          <w:p w:rsidR="00DC264E" w:rsidRPr="00DC264E" w:rsidRDefault="00DC264E" w:rsidP="002F29AF">
            <w:pPr>
              <w:rPr>
                <w:rFonts w:cs="Arial"/>
                <w:noProof/>
                <w:color w:val="000000"/>
                <w:szCs w:val="21"/>
              </w:rPr>
            </w:pPr>
            <w:r w:rsidRPr="00DC264E">
              <w:rPr>
                <w:rFonts w:cs="Arial"/>
                <w:color w:val="000000"/>
                <w:szCs w:val="21"/>
              </w:rPr>
              <w:t>Neste quesito, o Sudeste (39,0%) é a região com índice acima da média brasileira (36,6%) e o Nordeste possui o menor índice (32,4%)</w:t>
            </w:r>
          </w:p>
        </w:tc>
      </w:tr>
      <w:tr w:rsidR="00DC264E" w:rsidRPr="00DC264E" w:rsidTr="00E47475">
        <w:tc>
          <w:tcPr>
            <w:tcW w:w="2127" w:type="dxa"/>
            <w:shd w:val="clear" w:color="auto" w:fill="A6A6A6"/>
            <w:vAlign w:val="center"/>
          </w:tcPr>
          <w:p w:rsidR="00DC264E" w:rsidRPr="00DC264E" w:rsidRDefault="00DC264E" w:rsidP="002F29AF">
            <w:pPr>
              <w:rPr>
                <w:rFonts w:cs="Arial"/>
                <w:bCs/>
                <w:noProof/>
                <w:color w:val="000000"/>
                <w:szCs w:val="21"/>
              </w:rPr>
            </w:pPr>
            <w:r w:rsidRPr="00DC264E">
              <w:rPr>
                <w:rFonts w:cs="Arial"/>
                <w:bCs/>
                <w:noProof/>
                <w:color w:val="000000"/>
                <w:szCs w:val="21"/>
              </w:rPr>
              <w:t>Vestuário</w:t>
            </w:r>
          </w:p>
        </w:tc>
        <w:tc>
          <w:tcPr>
            <w:tcW w:w="6945" w:type="dxa"/>
            <w:shd w:val="clear" w:color="auto" w:fill="A6A6A6"/>
            <w:vAlign w:val="center"/>
          </w:tcPr>
          <w:p w:rsidR="00DC264E" w:rsidRPr="00DC264E" w:rsidRDefault="00DC264E" w:rsidP="002F29AF">
            <w:pPr>
              <w:rPr>
                <w:rFonts w:cs="Arial"/>
                <w:noProof/>
                <w:color w:val="000000"/>
                <w:szCs w:val="21"/>
              </w:rPr>
            </w:pPr>
            <w:r w:rsidRPr="00DC264E">
              <w:rPr>
                <w:rFonts w:cs="Arial"/>
                <w:color w:val="000000"/>
                <w:szCs w:val="21"/>
              </w:rPr>
              <w:t>Todas as regiões, com exceção do Sudeste (3,7%), possuem índices acima da média brasileira (4,3%)</w:t>
            </w:r>
          </w:p>
        </w:tc>
      </w:tr>
      <w:tr w:rsidR="00DC264E" w:rsidRPr="00DC264E" w:rsidTr="00E47475">
        <w:tc>
          <w:tcPr>
            <w:tcW w:w="2127" w:type="dxa"/>
            <w:shd w:val="clear" w:color="auto" w:fill="auto"/>
            <w:vAlign w:val="center"/>
          </w:tcPr>
          <w:p w:rsidR="00DC264E" w:rsidRPr="00DC264E" w:rsidRDefault="00DC264E" w:rsidP="002F29AF">
            <w:pPr>
              <w:rPr>
                <w:rFonts w:cs="Arial"/>
                <w:bCs/>
                <w:noProof/>
                <w:color w:val="000000"/>
                <w:szCs w:val="21"/>
              </w:rPr>
            </w:pPr>
            <w:r w:rsidRPr="00DC264E">
              <w:rPr>
                <w:rFonts w:cs="Arial"/>
                <w:bCs/>
                <w:noProof/>
                <w:color w:val="000000"/>
                <w:szCs w:val="21"/>
              </w:rPr>
              <w:t>Transporte</w:t>
            </w:r>
          </w:p>
        </w:tc>
        <w:tc>
          <w:tcPr>
            <w:tcW w:w="6945" w:type="dxa"/>
            <w:shd w:val="clear" w:color="auto" w:fill="auto"/>
            <w:vAlign w:val="center"/>
          </w:tcPr>
          <w:p w:rsidR="00DC264E" w:rsidRPr="00DC264E" w:rsidRDefault="00DC264E" w:rsidP="002F29AF">
            <w:pPr>
              <w:rPr>
                <w:rFonts w:cs="Arial"/>
                <w:noProof/>
                <w:color w:val="000000"/>
                <w:szCs w:val="21"/>
              </w:rPr>
            </w:pPr>
            <w:r w:rsidRPr="00DC264E">
              <w:rPr>
                <w:rFonts w:cs="Arial"/>
                <w:color w:val="000000"/>
                <w:szCs w:val="21"/>
              </w:rPr>
              <w:t>Se gasta mais nesse item nas regiões Centro-Oeste (21%) e Sul (20,6%) que a média do Brasil (18,1%). Já as outras regiões encontram-se com índices próximos e abaixo da média nacional</w:t>
            </w:r>
          </w:p>
        </w:tc>
      </w:tr>
      <w:tr w:rsidR="00DC264E" w:rsidRPr="00DC264E" w:rsidTr="00E47475">
        <w:tc>
          <w:tcPr>
            <w:tcW w:w="2127" w:type="dxa"/>
            <w:shd w:val="clear" w:color="auto" w:fill="A6A6A6"/>
            <w:vAlign w:val="center"/>
          </w:tcPr>
          <w:p w:rsidR="00DC264E" w:rsidRPr="00DC264E" w:rsidRDefault="00DC264E" w:rsidP="002F29AF">
            <w:pPr>
              <w:rPr>
                <w:rFonts w:cs="Arial"/>
                <w:bCs/>
                <w:noProof/>
                <w:color w:val="000000"/>
                <w:szCs w:val="21"/>
              </w:rPr>
            </w:pPr>
            <w:r w:rsidRPr="00DC264E">
              <w:rPr>
                <w:rFonts w:cs="Arial"/>
                <w:bCs/>
                <w:noProof/>
                <w:color w:val="000000"/>
                <w:szCs w:val="21"/>
              </w:rPr>
              <w:t>Higiene e cuidados pessoais</w:t>
            </w:r>
          </w:p>
        </w:tc>
        <w:tc>
          <w:tcPr>
            <w:tcW w:w="6945" w:type="dxa"/>
            <w:shd w:val="clear" w:color="auto" w:fill="A6A6A6"/>
            <w:vAlign w:val="center"/>
          </w:tcPr>
          <w:p w:rsidR="00DC264E" w:rsidRPr="00DC264E" w:rsidRDefault="00DC264E" w:rsidP="002F29AF">
            <w:pPr>
              <w:rPr>
                <w:rFonts w:cs="Arial"/>
                <w:noProof/>
                <w:color w:val="000000"/>
                <w:szCs w:val="21"/>
              </w:rPr>
            </w:pPr>
            <w:r w:rsidRPr="00DC264E">
              <w:rPr>
                <w:rFonts w:cs="Arial"/>
                <w:color w:val="000000"/>
                <w:szCs w:val="21"/>
              </w:rPr>
              <w:t>As regiões Norte (5,7%) e Nordeste (5,4%) despontam entre as outras regiões que possuem índices próximos à média nacional (3,6%)</w:t>
            </w:r>
          </w:p>
        </w:tc>
      </w:tr>
      <w:tr w:rsidR="00DC264E" w:rsidRPr="00DC264E" w:rsidTr="00E47475">
        <w:tc>
          <w:tcPr>
            <w:tcW w:w="2127" w:type="dxa"/>
            <w:shd w:val="clear" w:color="auto" w:fill="auto"/>
            <w:vAlign w:val="center"/>
          </w:tcPr>
          <w:p w:rsidR="00DC264E" w:rsidRPr="00DC264E" w:rsidRDefault="00DC264E" w:rsidP="002F29AF">
            <w:pPr>
              <w:rPr>
                <w:rFonts w:cs="Arial"/>
                <w:bCs/>
                <w:noProof/>
                <w:color w:val="000000"/>
                <w:szCs w:val="21"/>
              </w:rPr>
            </w:pPr>
            <w:r w:rsidRPr="00DC264E">
              <w:rPr>
                <w:rFonts w:cs="Arial"/>
                <w:bCs/>
                <w:noProof/>
                <w:color w:val="000000"/>
                <w:szCs w:val="21"/>
              </w:rPr>
              <w:t>Assistência à saúde</w:t>
            </w:r>
          </w:p>
        </w:tc>
        <w:tc>
          <w:tcPr>
            <w:tcW w:w="6945" w:type="dxa"/>
            <w:shd w:val="clear" w:color="auto" w:fill="auto"/>
            <w:vAlign w:val="center"/>
          </w:tcPr>
          <w:p w:rsidR="00DC264E" w:rsidRPr="00DC264E" w:rsidRDefault="00DC264E" w:rsidP="002F29AF">
            <w:pPr>
              <w:rPr>
                <w:rFonts w:cs="Arial"/>
                <w:noProof/>
                <w:color w:val="000000"/>
                <w:szCs w:val="21"/>
              </w:rPr>
            </w:pPr>
            <w:r w:rsidRPr="00DC264E">
              <w:rPr>
                <w:rFonts w:cs="Arial"/>
                <w:color w:val="000000"/>
                <w:szCs w:val="21"/>
              </w:rPr>
              <w:t>Com exceção da região Norte (5,4%), todas as outras regiões possuem índices próximos entre si e parecidos com a média nacional (8,0%)</w:t>
            </w:r>
          </w:p>
        </w:tc>
      </w:tr>
      <w:tr w:rsidR="00DC264E" w:rsidRPr="00DC264E" w:rsidTr="00E47475">
        <w:tc>
          <w:tcPr>
            <w:tcW w:w="2127" w:type="dxa"/>
            <w:shd w:val="clear" w:color="auto" w:fill="A6A6A6"/>
            <w:vAlign w:val="center"/>
          </w:tcPr>
          <w:p w:rsidR="00DC264E" w:rsidRPr="00DC264E" w:rsidRDefault="00DC264E" w:rsidP="002F29AF">
            <w:pPr>
              <w:rPr>
                <w:rFonts w:cs="Arial"/>
                <w:bCs/>
                <w:noProof/>
                <w:color w:val="000000"/>
                <w:szCs w:val="21"/>
              </w:rPr>
            </w:pPr>
            <w:r w:rsidRPr="00DC264E">
              <w:rPr>
                <w:rFonts w:cs="Arial"/>
                <w:bCs/>
                <w:noProof/>
                <w:color w:val="000000"/>
                <w:szCs w:val="21"/>
              </w:rPr>
              <w:t>Educação</w:t>
            </w:r>
          </w:p>
        </w:tc>
        <w:tc>
          <w:tcPr>
            <w:tcW w:w="6945" w:type="dxa"/>
            <w:shd w:val="clear" w:color="auto" w:fill="A6A6A6"/>
            <w:vAlign w:val="center"/>
          </w:tcPr>
          <w:p w:rsidR="00DC264E" w:rsidRPr="00DC264E" w:rsidRDefault="00DC264E" w:rsidP="002F29AF">
            <w:pPr>
              <w:rPr>
                <w:rFonts w:cs="Arial"/>
                <w:noProof/>
                <w:color w:val="000000"/>
                <w:szCs w:val="21"/>
              </w:rPr>
            </w:pPr>
            <w:r w:rsidRPr="00DC264E">
              <w:rPr>
                <w:rFonts w:cs="Arial"/>
                <w:color w:val="000000"/>
                <w:szCs w:val="21"/>
              </w:rPr>
              <w:t>Neste importante índice, o Sudeste (5,4%) desponta acima da média brasileira (4,7%), enquanto que Norte (3,2%) e Sul (3,7%) são as regiões com menores índices</w:t>
            </w:r>
          </w:p>
        </w:tc>
      </w:tr>
      <w:tr w:rsidR="00DC264E" w:rsidRPr="00DC264E" w:rsidTr="00E47475">
        <w:tc>
          <w:tcPr>
            <w:tcW w:w="2127" w:type="dxa"/>
            <w:shd w:val="clear" w:color="auto" w:fill="auto"/>
            <w:vAlign w:val="center"/>
          </w:tcPr>
          <w:p w:rsidR="00DC264E" w:rsidRPr="00DC264E" w:rsidRDefault="00DC264E" w:rsidP="002F29AF">
            <w:pPr>
              <w:rPr>
                <w:rFonts w:cs="Arial"/>
                <w:bCs/>
                <w:noProof/>
                <w:color w:val="000000"/>
                <w:szCs w:val="21"/>
              </w:rPr>
            </w:pPr>
            <w:r w:rsidRPr="00DC264E">
              <w:rPr>
                <w:rFonts w:cs="Arial"/>
                <w:bCs/>
                <w:noProof/>
                <w:color w:val="000000"/>
                <w:szCs w:val="21"/>
              </w:rPr>
              <w:t>Recreação e cultura /</w:t>
            </w:r>
          </w:p>
          <w:p w:rsidR="00DC264E" w:rsidRPr="00DC264E" w:rsidRDefault="00DC264E" w:rsidP="002F29AF">
            <w:pPr>
              <w:rPr>
                <w:rFonts w:cs="Arial"/>
                <w:bCs/>
                <w:noProof/>
                <w:color w:val="000000"/>
                <w:szCs w:val="21"/>
              </w:rPr>
            </w:pPr>
            <w:r w:rsidRPr="00DC264E">
              <w:rPr>
                <w:rFonts w:cs="Arial"/>
                <w:bCs/>
                <w:noProof/>
                <w:color w:val="000000"/>
                <w:szCs w:val="21"/>
              </w:rPr>
              <w:t>Serviços pessoais</w:t>
            </w:r>
          </w:p>
        </w:tc>
        <w:tc>
          <w:tcPr>
            <w:tcW w:w="6945" w:type="dxa"/>
            <w:shd w:val="clear" w:color="auto" w:fill="auto"/>
            <w:vAlign w:val="center"/>
          </w:tcPr>
          <w:p w:rsidR="00DC264E" w:rsidRPr="00DC264E" w:rsidRDefault="00DC264E" w:rsidP="002F29AF">
            <w:pPr>
              <w:rPr>
                <w:rFonts w:cs="Arial"/>
                <w:noProof/>
                <w:color w:val="000000"/>
                <w:szCs w:val="21"/>
              </w:rPr>
            </w:pPr>
            <w:r w:rsidRPr="00DC264E">
              <w:rPr>
                <w:rFonts w:cs="Arial"/>
                <w:color w:val="000000"/>
                <w:szCs w:val="21"/>
              </w:rPr>
              <w:t>Nestes dois consumos, praticamente todas as regiões estão no mesmo patamar nacional (2,6% e 1,3%, respectivamente)</w:t>
            </w:r>
          </w:p>
        </w:tc>
      </w:tr>
      <w:tr w:rsidR="00DC264E" w:rsidRPr="00DC264E" w:rsidTr="00E47475">
        <w:tc>
          <w:tcPr>
            <w:tcW w:w="2127" w:type="dxa"/>
            <w:shd w:val="clear" w:color="auto" w:fill="A6A6A6"/>
            <w:vAlign w:val="center"/>
          </w:tcPr>
          <w:p w:rsidR="00DC264E" w:rsidRPr="00DC264E" w:rsidRDefault="00DC264E" w:rsidP="002F29AF">
            <w:pPr>
              <w:rPr>
                <w:rFonts w:cs="Arial"/>
                <w:bCs/>
                <w:noProof/>
                <w:color w:val="000000"/>
                <w:szCs w:val="21"/>
              </w:rPr>
            </w:pPr>
            <w:r w:rsidRPr="00DC264E">
              <w:rPr>
                <w:rFonts w:cs="Arial"/>
                <w:bCs/>
                <w:noProof/>
                <w:color w:val="000000"/>
                <w:szCs w:val="21"/>
              </w:rPr>
              <w:t>Fumo</w:t>
            </w:r>
          </w:p>
        </w:tc>
        <w:tc>
          <w:tcPr>
            <w:tcW w:w="6945" w:type="dxa"/>
            <w:shd w:val="clear" w:color="auto" w:fill="A6A6A6"/>
            <w:vAlign w:val="center"/>
          </w:tcPr>
          <w:p w:rsidR="00DC264E" w:rsidRPr="00DC264E" w:rsidRDefault="00DC264E" w:rsidP="002F29AF">
            <w:pPr>
              <w:rPr>
                <w:rFonts w:cs="Arial"/>
                <w:noProof/>
                <w:color w:val="000000"/>
                <w:szCs w:val="21"/>
              </w:rPr>
            </w:pPr>
            <w:r w:rsidRPr="00DC264E">
              <w:rPr>
                <w:rFonts w:cs="Arial"/>
                <w:color w:val="000000"/>
                <w:szCs w:val="21"/>
              </w:rPr>
              <w:t>A região com menor consumo é a Norte (0,3%), a metade da que mais consome (região Sul - 0,6%). As outras regiões estão com seus índices bem próximos à média nacional (0,5%)</w:t>
            </w:r>
          </w:p>
        </w:tc>
      </w:tr>
      <w:tr w:rsidR="00DC264E" w:rsidRPr="00DC264E" w:rsidTr="00E47475">
        <w:tc>
          <w:tcPr>
            <w:tcW w:w="2127" w:type="dxa"/>
            <w:shd w:val="clear" w:color="auto" w:fill="auto"/>
            <w:vAlign w:val="center"/>
          </w:tcPr>
          <w:p w:rsidR="00DC264E" w:rsidRPr="00DC264E" w:rsidRDefault="00DC264E" w:rsidP="002F29AF">
            <w:pPr>
              <w:rPr>
                <w:rFonts w:cs="Arial"/>
                <w:bCs/>
                <w:noProof/>
                <w:color w:val="000000"/>
                <w:szCs w:val="21"/>
              </w:rPr>
            </w:pPr>
            <w:r w:rsidRPr="00DC264E">
              <w:rPr>
                <w:rFonts w:cs="Arial"/>
                <w:bCs/>
                <w:noProof/>
                <w:color w:val="000000"/>
                <w:szCs w:val="21"/>
              </w:rPr>
              <w:t>Despesas Diversas</w:t>
            </w:r>
          </w:p>
        </w:tc>
        <w:tc>
          <w:tcPr>
            <w:tcW w:w="6945" w:type="dxa"/>
            <w:shd w:val="clear" w:color="auto" w:fill="auto"/>
            <w:vAlign w:val="center"/>
          </w:tcPr>
          <w:p w:rsidR="00DC264E" w:rsidRPr="00DC264E" w:rsidRDefault="00DC264E" w:rsidP="002F29AF">
            <w:pPr>
              <w:rPr>
                <w:rFonts w:cs="Arial"/>
                <w:noProof/>
                <w:color w:val="000000"/>
                <w:szCs w:val="21"/>
              </w:rPr>
            </w:pPr>
            <w:r w:rsidRPr="00DC264E">
              <w:rPr>
                <w:rFonts w:cs="Arial"/>
                <w:color w:val="000000"/>
                <w:szCs w:val="21"/>
              </w:rPr>
              <w:t>A região Centro-Oeste (3,8%) é a que mais se destaca; já as regiões Norte e Nordeste (2,4% cada) as que menos consomem neste item em relação à média brasileira (3,0%)</w:t>
            </w:r>
          </w:p>
        </w:tc>
      </w:tr>
    </w:tbl>
    <w:p w:rsidR="00DC264E" w:rsidRPr="00DC264E" w:rsidRDefault="00DC264E" w:rsidP="00DC264E">
      <w:pPr>
        <w:pStyle w:val="Sinespaciado"/>
        <w:ind w:firstLine="0"/>
        <w:rPr>
          <w:rFonts w:cs="Arial"/>
          <w:sz w:val="22"/>
        </w:rPr>
      </w:pPr>
      <w:r w:rsidRPr="00DC264E">
        <w:rPr>
          <w:rFonts w:cs="Arial"/>
          <w:b/>
          <w:color w:val="000000"/>
          <w:sz w:val="20"/>
          <w:szCs w:val="21"/>
        </w:rPr>
        <w:t>Fonte</w:t>
      </w:r>
      <w:r w:rsidRPr="00DC264E">
        <w:rPr>
          <w:rFonts w:cs="Arial"/>
          <w:color w:val="000000"/>
          <w:sz w:val="20"/>
          <w:szCs w:val="21"/>
        </w:rPr>
        <w:t>: elaborado pelo autor (2020)</w:t>
      </w:r>
    </w:p>
    <w:p w:rsidR="009B057C" w:rsidRDefault="009B057C" w:rsidP="009B057C">
      <w:pPr>
        <w:pStyle w:val="FPCTextonormal"/>
        <w:spacing w:before="0" w:after="0"/>
        <w:rPr>
          <w:rFonts w:ascii="Times New Roman" w:hAnsi="Times New Roman"/>
        </w:rPr>
      </w:pPr>
    </w:p>
    <w:p w:rsidR="009B057C" w:rsidRPr="00DF3767" w:rsidRDefault="00892469" w:rsidP="00892469">
      <w:pPr>
        <w:pStyle w:val="Prrafodelista"/>
        <w:numPr>
          <w:ilvl w:val="1"/>
          <w:numId w:val="1"/>
        </w:numPr>
        <w:jc w:val="left"/>
        <w:rPr>
          <w:b/>
          <w:sz w:val="24"/>
          <w:szCs w:val="24"/>
        </w:rPr>
      </w:pPr>
      <w:r w:rsidRPr="00892469">
        <w:rPr>
          <w:b/>
          <w:sz w:val="24"/>
          <w:szCs w:val="24"/>
        </w:rPr>
        <w:t>O Consumo conforme o rendimento das classes extremas</w:t>
      </w:r>
    </w:p>
    <w:p w:rsidR="009B057C" w:rsidRPr="00074EB6" w:rsidRDefault="009B057C" w:rsidP="009B057C">
      <w:pPr>
        <w:pStyle w:val="FPCTextonormal"/>
        <w:spacing w:before="0" w:after="0"/>
        <w:rPr>
          <w:rFonts w:ascii="Times New Roman" w:hAnsi="Times New Roman"/>
        </w:rPr>
      </w:pPr>
    </w:p>
    <w:p w:rsidR="0027375B" w:rsidRDefault="007435AB" w:rsidP="009B057C">
      <w:pPr>
        <w:pStyle w:val="Sinespaciado"/>
      </w:pPr>
      <w:r w:rsidRPr="007435AB">
        <w:t>Outra importante análise a ser executada sobre os dados de consumo da POF 2017-2018 é a que compara o consumo familiar conforme os rendimentos das classes. Para esse fim, traz</w:t>
      </w:r>
      <w:r w:rsidR="00ED0FB6">
        <w:t>-se</w:t>
      </w:r>
      <w:r w:rsidRPr="007435AB">
        <w:t xml:space="preserve"> o consumo das famílias de classes extremas de rendimentos (a que recebe até R$ 1.908,00 e a que percebe R$ 23.850,00 ou mais), abordando o consumo dessas famílias com dados percentuais de cinco tipos de despesas: alimentação, habitação, transporte, assistência à saúde e educação. As </w:t>
      </w:r>
      <w:r w:rsidRPr="007435AB">
        <w:lastRenderedPageBreak/>
        <w:t>outras seis classes de despesas de consumo estão englobadas conjuntamente em “outras”.</w:t>
      </w:r>
    </w:p>
    <w:p w:rsidR="003C4336" w:rsidRDefault="003C4336" w:rsidP="003C4336">
      <w:pPr>
        <w:pStyle w:val="Sinespaciado"/>
      </w:pPr>
      <w:r>
        <w:t xml:space="preserve">Inicialmente, há de se comentar a discrepância do peso do consumo nos dois grupos de famílias comparados. Enquanto nas famílias com renda mais baixa o consumo representa 92,6% de suas despesas totais, nas de renda mais alta somente 66,3%. Isso equivale dizer que esse segundo grupo pode investir </w:t>
      </w:r>
      <w:r w:rsidR="00ED0FB6">
        <w:t xml:space="preserve">muito mais de </w:t>
      </w:r>
      <w:r>
        <w:t>sua renda no aumento do patrimônio familiar que o primeiro grupo.</w:t>
      </w:r>
    </w:p>
    <w:p w:rsidR="003C4336" w:rsidRDefault="003C4336" w:rsidP="003C4336">
      <w:pPr>
        <w:pStyle w:val="Sinespaciado"/>
      </w:pPr>
      <w:r>
        <w:t xml:space="preserve">Agora, sobre a análise dos itens da despesa de consumo, tem-se que a alimentação no primeiro grupo corresponde a 22,0% dos rendimentos, quase o triplo do correspondente ao segundo grupo (7,6%). Demonstra-se o peso deste consumo nas famílias mais pobres, sendo somente menor que as despesas de consumo </w:t>
      </w:r>
      <w:r w:rsidR="000858CA">
        <w:t>com</w:t>
      </w:r>
      <w:r>
        <w:t xml:space="preserve"> habitação.</w:t>
      </w:r>
    </w:p>
    <w:p w:rsidR="003C4336" w:rsidRDefault="003C4336" w:rsidP="003C4336">
      <w:pPr>
        <w:pStyle w:val="Sinespaciado"/>
      </w:pPr>
      <w:r>
        <w:t>O ‘morar’ para as famílias mais pobres corresponde a um percentual altíssimo de sua renda, praticamente 40%, quase o dobro do valor gasto pelas famílias mais ricas (22,6%). Neste tipo de despesa, cabe continuar ressaltando as diferenças com os gastos pelas famílias mais pobres: aluguel, 20,6% contra 10,7% do grupo com rendimentos mais elevados; e serviços e taxas, 11,2% contra 3,5%.</w:t>
      </w:r>
    </w:p>
    <w:p w:rsidR="003C4336" w:rsidRDefault="003C4336" w:rsidP="003C4336">
      <w:pPr>
        <w:pStyle w:val="Sinespaciado"/>
      </w:pPr>
      <w:r>
        <w:t>Com o transporte, a participação registrada para o grupo de famílias com os maiores rendimentos foi maior: 15,3% contra 9,4%. Nesse componente, destacam-se as diferenças dos mais pobres para os mais ricos também: enquanto que as famílias do primeiro grupo consomem mais transporte urbano (2,1% contra 0,4%), as famílias de elevados rendimentos gastam mais com veículos (7,5% contra 2,3%).</w:t>
      </w:r>
    </w:p>
    <w:p w:rsidR="003C4336" w:rsidRDefault="003C4336" w:rsidP="003C4336">
      <w:pPr>
        <w:pStyle w:val="Sinespaciado"/>
      </w:pPr>
      <w:r>
        <w:t xml:space="preserve">No tocante à assistência à saúde, os gastos dos mais pobres e dos mais ricos foram similares (5,9% e 5,6%, respectivamente). No entanto, a composição desses gastos difere bastante. Com remédios, o primeiro grupo gasta 4,2% de sua renda, enquanto que o segundo somente 1,4%, demonstrando-se o peso dos gastos com medicamentos para os mais pobres. Por outro lado, a participação correspondente ao plano/seguro de saúde foi de 2,9% na classe com altos rendimentos, tendo alcançado somente 0,4% na classe oposta, </w:t>
      </w:r>
      <w:r w:rsidR="00750685">
        <w:t>concluindo-se</w:t>
      </w:r>
      <w:r>
        <w:t xml:space="preserve"> que os mais pobres vão depender quase que exclusivamente do Sistema Único de Saúde (SUS).</w:t>
      </w:r>
    </w:p>
    <w:p w:rsidR="003C4336" w:rsidRDefault="003C4336" w:rsidP="003C4336">
      <w:pPr>
        <w:pStyle w:val="Sinespaciado"/>
      </w:pPr>
      <w:r>
        <w:t>Quanto à educação, as participações demonstram uma situação preocupante no país: as famílias de mais baixa renda aplicam 1,9%, enquanto que a classe dos valores mais elevados 5,1%. Percebem-se baixos montantes de aplicações numa área tão importante.</w:t>
      </w:r>
    </w:p>
    <w:p w:rsidR="007435AB" w:rsidRDefault="003C4336" w:rsidP="003C4336">
      <w:pPr>
        <w:pStyle w:val="Sinespaciado"/>
      </w:pPr>
      <w:r>
        <w:t>Em outras despesas de consumo, que englobam vestuário, higiene e cuidados pessoais, recreação e cultura, fumo, serviços pessoais e despesas diversas, o primeiro grupo de famílias (menores rendimentos) consomem 14,2% de sua renda com esses itens, 4 p.p. a mais que o segundo grupo (10,2%), isto é, pesa aos mais pobres o vestir-se, o cuidar-se, a diversão, entre outros. Santos (2003, p. 64) esclarece bem a situação dos menos favorecidos dizendo que “[...] sua convivência com a escassez é conflituosa e até pode ser guerreira. Para eles, viver na esfera do consumo é como querer subir uma escada rolante no sentido da descida. Cada dia acaba oferecendo uma nova experiência da escassez”.</w:t>
      </w:r>
    </w:p>
    <w:p w:rsidR="00123B99" w:rsidRDefault="00123B99" w:rsidP="00E47475">
      <w:pPr>
        <w:pStyle w:val="Sinespaciado"/>
        <w:ind w:firstLine="0"/>
        <w:jc w:val="left"/>
        <w:rPr>
          <w:sz w:val="20"/>
        </w:rPr>
      </w:pPr>
    </w:p>
    <w:p w:rsidR="00635A7C" w:rsidRPr="002A0354" w:rsidRDefault="002A0354" w:rsidP="002A0354">
      <w:pPr>
        <w:pStyle w:val="Prrafodelista"/>
        <w:numPr>
          <w:ilvl w:val="1"/>
          <w:numId w:val="4"/>
        </w:numPr>
        <w:jc w:val="left"/>
        <w:rPr>
          <w:b/>
          <w:sz w:val="24"/>
          <w:szCs w:val="24"/>
        </w:rPr>
      </w:pPr>
      <w:r w:rsidRPr="002A0354">
        <w:rPr>
          <w:b/>
          <w:sz w:val="24"/>
          <w:szCs w:val="24"/>
        </w:rPr>
        <w:lastRenderedPageBreak/>
        <w:t>O consumo segundo as séries históricas de pesquisas nacionais do IBGE</w:t>
      </w:r>
    </w:p>
    <w:p w:rsidR="009D271C" w:rsidRDefault="009D271C" w:rsidP="00635A7C">
      <w:pPr>
        <w:pStyle w:val="Sinespaciado"/>
      </w:pPr>
    </w:p>
    <w:p w:rsidR="00635A7C" w:rsidRDefault="00C66310" w:rsidP="00635A7C">
      <w:pPr>
        <w:pStyle w:val="Sinespaciado"/>
      </w:pPr>
      <w:r w:rsidRPr="00C66310">
        <w:t xml:space="preserve">A última análise quanto ao consumo das famílias passa por comparar as mesmas despesas de consumo analisadas no item anterior (alimentação, habitação, transporte, assistência à saúde e educação) com um olhar nas séries históricas de pesquisas de consumo divulgadas </w:t>
      </w:r>
      <w:r w:rsidR="009E1CAE">
        <w:t>pelo IBGE. Para isso, a Tabela 3</w:t>
      </w:r>
      <w:r w:rsidRPr="00C66310">
        <w:t xml:space="preserve"> apresenta um histórico com quatro pesquisas de âmbito nacional: ENDEF 1974-1975, POF 2002-2003, POF 2008-2009 e POF 2017-2018. É oportuno informar que as POF 1987-1988 e POF 1995-1996 não entraram no histórico da tabela, pois foram concebidas para atender, prioritariamente, informações para o IBGE de preços ao consumidor, tendo sido realizadas somente em nove Regiões Metropolitanas (Belém, Fortaleza, Recife, Salvador, Belo Horizonte, Rio de Janeiro, São Paulo, Curitiba e Porto Alegre), no município de Goiânia e no Distrito Federal (IBGE, 2019).</w:t>
      </w:r>
    </w:p>
    <w:p w:rsidR="00E87022" w:rsidRPr="00E87022" w:rsidRDefault="00E87022" w:rsidP="00E87022">
      <w:pPr>
        <w:rPr>
          <w:rFonts w:cs="Arial"/>
          <w:noProof/>
        </w:rPr>
      </w:pPr>
    </w:p>
    <w:p w:rsidR="00E87022" w:rsidRPr="00E87022" w:rsidRDefault="00FA06BD" w:rsidP="00E87022">
      <w:pPr>
        <w:rPr>
          <w:rFonts w:cs="Arial"/>
          <w:noProof/>
        </w:rPr>
      </w:pPr>
      <w:r>
        <w:rPr>
          <w:rFonts w:cs="Arial"/>
          <w:b/>
          <w:noProof/>
        </w:rPr>
        <w:t>Tabela 3</w:t>
      </w:r>
      <w:r w:rsidR="00E87022" w:rsidRPr="00E87022">
        <w:rPr>
          <w:rFonts w:cs="Arial"/>
          <w:noProof/>
        </w:rPr>
        <w:t xml:space="preserve"> – Participação na despesa de consumo monetária e não monetária média mensal familiar, no ENDEF e nas POF, segundo os tipos de despesas selecionadas - Brasil - 1974/2018</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924"/>
        <w:gridCol w:w="923"/>
        <w:gridCol w:w="923"/>
        <w:gridCol w:w="923"/>
        <w:gridCol w:w="923"/>
        <w:gridCol w:w="923"/>
        <w:gridCol w:w="923"/>
        <w:gridCol w:w="767"/>
      </w:tblGrid>
      <w:tr w:rsidR="00E87022" w:rsidRPr="00E87022" w:rsidTr="002F29AF">
        <w:tc>
          <w:tcPr>
            <w:tcW w:w="1985" w:type="dxa"/>
            <w:vMerge w:val="restart"/>
            <w:tcBorders>
              <w:left w:val="nil"/>
            </w:tcBorders>
            <w:shd w:val="clear" w:color="auto" w:fill="auto"/>
            <w:vAlign w:val="center"/>
          </w:tcPr>
          <w:p w:rsidR="00E87022" w:rsidRPr="00E87022" w:rsidRDefault="00E87022" w:rsidP="002F29AF">
            <w:pPr>
              <w:jc w:val="center"/>
              <w:rPr>
                <w:rFonts w:cs="Arial"/>
                <w:color w:val="000000"/>
              </w:rPr>
            </w:pPr>
            <w:r w:rsidRPr="00E87022">
              <w:rPr>
                <w:rFonts w:cs="Arial"/>
                <w:color w:val="000000"/>
              </w:rPr>
              <w:t>Tipos de despesas selecionadas</w:t>
            </w:r>
          </w:p>
        </w:tc>
        <w:tc>
          <w:tcPr>
            <w:tcW w:w="7229" w:type="dxa"/>
            <w:gridSpan w:val="8"/>
            <w:tcBorders>
              <w:right w:val="nil"/>
            </w:tcBorders>
            <w:shd w:val="clear" w:color="auto" w:fill="auto"/>
            <w:vAlign w:val="center"/>
          </w:tcPr>
          <w:p w:rsidR="00E87022" w:rsidRPr="00E87022" w:rsidRDefault="00E87022" w:rsidP="002F29AF">
            <w:pPr>
              <w:jc w:val="center"/>
              <w:rPr>
                <w:rFonts w:cs="Arial"/>
                <w:color w:val="000000"/>
              </w:rPr>
            </w:pPr>
            <w:r w:rsidRPr="00E87022">
              <w:rPr>
                <w:rFonts w:cs="Arial"/>
                <w:color w:val="000000"/>
              </w:rPr>
              <w:t>Participação na despesa de consumo monetária e não monetária média mensal familiar (%)</w:t>
            </w:r>
          </w:p>
        </w:tc>
      </w:tr>
      <w:tr w:rsidR="00E87022" w:rsidRPr="00E87022" w:rsidTr="002F29AF">
        <w:tc>
          <w:tcPr>
            <w:tcW w:w="1985" w:type="dxa"/>
            <w:vMerge/>
            <w:tcBorders>
              <w:left w:val="nil"/>
            </w:tcBorders>
            <w:shd w:val="clear" w:color="auto" w:fill="auto"/>
            <w:vAlign w:val="center"/>
          </w:tcPr>
          <w:p w:rsidR="00E87022" w:rsidRPr="00E87022" w:rsidRDefault="00E87022" w:rsidP="002F29AF">
            <w:pPr>
              <w:jc w:val="center"/>
              <w:rPr>
                <w:rFonts w:cs="Arial"/>
                <w:color w:val="000000"/>
              </w:rPr>
            </w:pPr>
          </w:p>
        </w:tc>
        <w:tc>
          <w:tcPr>
            <w:tcW w:w="1847" w:type="dxa"/>
            <w:gridSpan w:val="2"/>
            <w:vMerge w:val="restart"/>
            <w:shd w:val="clear" w:color="auto" w:fill="auto"/>
            <w:vAlign w:val="center"/>
          </w:tcPr>
          <w:p w:rsidR="00E87022" w:rsidRPr="00E87022" w:rsidRDefault="00E87022" w:rsidP="002F29AF">
            <w:pPr>
              <w:jc w:val="center"/>
              <w:rPr>
                <w:rFonts w:cs="Arial"/>
                <w:color w:val="000000"/>
              </w:rPr>
            </w:pPr>
            <w:r w:rsidRPr="00E87022">
              <w:rPr>
                <w:rFonts w:cs="Arial"/>
                <w:color w:val="000000"/>
              </w:rPr>
              <w:t>ENDEF</w:t>
            </w:r>
          </w:p>
          <w:p w:rsidR="00E87022" w:rsidRPr="00E87022" w:rsidRDefault="00E87022" w:rsidP="002F29AF">
            <w:pPr>
              <w:jc w:val="center"/>
              <w:rPr>
                <w:rFonts w:cs="Arial"/>
                <w:color w:val="000000"/>
              </w:rPr>
            </w:pPr>
            <w:r w:rsidRPr="00E87022">
              <w:rPr>
                <w:rFonts w:cs="Arial"/>
                <w:color w:val="000000"/>
              </w:rPr>
              <w:t>1974 -1975 (1)</w:t>
            </w:r>
          </w:p>
        </w:tc>
        <w:tc>
          <w:tcPr>
            <w:tcW w:w="5382" w:type="dxa"/>
            <w:gridSpan w:val="6"/>
            <w:tcBorders>
              <w:right w:val="nil"/>
            </w:tcBorders>
            <w:shd w:val="clear" w:color="auto" w:fill="auto"/>
            <w:vAlign w:val="center"/>
          </w:tcPr>
          <w:p w:rsidR="00E87022" w:rsidRPr="00E87022" w:rsidRDefault="00E87022" w:rsidP="002F29AF">
            <w:pPr>
              <w:jc w:val="center"/>
              <w:rPr>
                <w:rFonts w:cs="Arial"/>
                <w:color w:val="000000"/>
              </w:rPr>
            </w:pPr>
            <w:r w:rsidRPr="00E87022">
              <w:rPr>
                <w:rFonts w:cs="Arial"/>
                <w:color w:val="000000"/>
              </w:rPr>
              <w:t>POF</w:t>
            </w:r>
          </w:p>
        </w:tc>
      </w:tr>
      <w:tr w:rsidR="00E87022" w:rsidRPr="00E87022" w:rsidTr="002F29AF">
        <w:tc>
          <w:tcPr>
            <w:tcW w:w="1985" w:type="dxa"/>
            <w:vMerge/>
            <w:tcBorders>
              <w:left w:val="nil"/>
              <w:bottom w:val="single" w:sz="4" w:space="0" w:color="auto"/>
            </w:tcBorders>
            <w:shd w:val="clear" w:color="auto" w:fill="auto"/>
            <w:vAlign w:val="center"/>
          </w:tcPr>
          <w:p w:rsidR="00E87022" w:rsidRPr="00E87022" w:rsidRDefault="00E87022" w:rsidP="002F29AF">
            <w:pPr>
              <w:jc w:val="center"/>
              <w:rPr>
                <w:rFonts w:cs="Arial"/>
                <w:color w:val="000000"/>
              </w:rPr>
            </w:pPr>
          </w:p>
        </w:tc>
        <w:tc>
          <w:tcPr>
            <w:tcW w:w="1847" w:type="dxa"/>
            <w:gridSpan w:val="2"/>
            <w:vMerge/>
            <w:tcBorders>
              <w:bottom w:val="single" w:sz="4" w:space="0" w:color="auto"/>
            </w:tcBorders>
            <w:shd w:val="clear" w:color="auto" w:fill="auto"/>
            <w:vAlign w:val="center"/>
          </w:tcPr>
          <w:p w:rsidR="00E87022" w:rsidRPr="00E87022" w:rsidRDefault="00E87022" w:rsidP="002F29AF">
            <w:pPr>
              <w:jc w:val="center"/>
              <w:rPr>
                <w:rFonts w:cs="Arial"/>
                <w:color w:val="000000"/>
              </w:rPr>
            </w:pPr>
          </w:p>
        </w:tc>
        <w:tc>
          <w:tcPr>
            <w:tcW w:w="1846" w:type="dxa"/>
            <w:gridSpan w:val="2"/>
            <w:tcBorders>
              <w:bottom w:val="single" w:sz="4" w:space="0" w:color="auto"/>
            </w:tcBorders>
            <w:shd w:val="clear" w:color="auto" w:fill="auto"/>
            <w:vAlign w:val="center"/>
          </w:tcPr>
          <w:p w:rsidR="00E87022" w:rsidRPr="00E87022" w:rsidRDefault="00E87022" w:rsidP="002F29AF">
            <w:pPr>
              <w:jc w:val="center"/>
              <w:rPr>
                <w:rFonts w:cs="Arial"/>
                <w:color w:val="000000"/>
              </w:rPr>
            </w:pPr>
            <w:r w:rsidRPr="00E87022">
              <w:rPr>
                <w:rFonts w:cs="Arial"/>
                <w:color w:val="000000"/>
              </w:rPr>
              <w:t>2002-2003</w:t>
            </w:r>
          </w:p>
        </w:tc>
        <w:tc>
          <w:tcPr>
            <w:tcW w:w="1846" w:type="dxa"/>
            <w:gridSpan w:val="2"/>
            <w:tcBorders>
              <w:bottom w:val="single" w:sz="4" w:space="0" w:color="auto"/>
            </w:tcBorders>
            <w:shd w:val="clear" w:color="auto" w:fill="auto"/>
            <w:vAlign w:val="center"/>
          </w:tcPr>
          <w:p w:rsidR="00E87022" w:rsidRPr="00E87022" w:rsidRDefault="00E87022" w:rsidP="002F29AF">
            <w:pPr>
              <w:jc w:val="center"/>
              <w:rPr>
                <w:rFonts w:cs="Arial"/>
                <w:color w:val="000000"/>
              </w:rPr>
            </w:pPr>
            <w:r w:rsidRPr="00E87022">
              <w:rPr>
                <w:rFonts w:cs="Arial"/>
                <w:color w:val="000000"/>
              </w:rPr>
              <w:t>2008-2009</w:t>
            </w:r>
          </w:p>
        </w:tc>
        <w:tc>
          <w:tcPr>
            <w:tcW w:w="1690" w:type="dxa"/>
            <w:gridSpan w:val="2"/>
            <w:tcBorders>
              <w:bottom w:val="single" w:sz="4" w:space="0" w:color="auto"/>
              <w:right w:val="nil"/>
            </w:tcBorders>
            <w:shd w:val="clear" w:color="auto" w:fill="auto"/>
            <w:vAlign w:val="center"/>
          </w:tcPr>
          <w:p w:rsidR="00E87022" w:rsidRPr="00E87022" w:rsidRDefault="00E87022" w:rsidP="002F29AF">
            <w:pPr>
              <w:jc w:val="center"/>
              <w:rPr>
                <w:rFonts w:cs="Arial"/>
                <w:color w:val="000000"/>
              </w:rPr>
            </w:pPr>
            <w:r w:rsidRPr="00E87022">
              <w:rPr>
                <w:rFonts w:cs="Arial"/>
                <w:color w:val="000000"/>
              </w:rPr>
              <w:t>2017-2018</w:t>
            </w:r>
          </w:p>
        </w:tc>
      </w:tr>
      <w:tr w:rsidR="00E87022" w:rsidRPr="00E87022" w:rsidTr="002F29AF">
        <w:tc>
          <w:tcPr>
            <w:tcW w:w="1985" w:type="dxa"/>
            <w:tcBorders>
              <w:top w:val="single" w:sz="4" w:space="0" w:color="auto"/>
              <w:left w:val="nil"/>
              <w:bottom w:val="nil"/>
              <w:right w:val="nil"/>
            </w:tcBorders>
            <w:shd w:val="clear" w:color="auto" w:fill="auto"/>
            <w:vAlign w:val="center"/>
          </w:tcPr>
          <w:p w:rsidR="00E87022" w:rsidRPr="00E87022" w:rsidRDefault="00E87022" w:rsidP="002F29AF">
            <w:pPr>
              <w:rPr>
                <w:rFonts w:cs="Arial"/>
                <w:color w:val="000000"/>
              </w:rPr>
            </w:pPr>
            <w:r w:rsidRPr="00E87022">
              <w:rPr>
                <w:rFonts w:cs="Arial"/>
                <w:color w:val="000000"/>
              </w:rPr>
              <w:t>Alimentação</w:t>
            </w:r>
          </w:p>
        </w:tc>
        <w:tc>
          <w:tcPr>
            <w:tcW w:w="924" w:type="dxa"/>
            <w:tcBorders>
              <w:top w:val="single" w:sz="4" w:space="0" w:color="auto"/>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33,9</w:t>
            </w:r>
          </w:p>
        </w:tc>
        <w:tc>
          <w:tcPr>
            <w:tcW w:w="923" w:type="dxa"/>
            <w:vMerge w:val="restart"/>
            <w:tcBorders>
              <w:top w:val="single" w:sz="4" w:space="0" w:color="auto"/>
              <w:left w:val="single" w:sz="4" w:space="0" w:color="auto"/>
              <w:bottom w:val="nil"/>
              <w:right w:val="nil"/>
            </w:tcBorders>
            <w:shd w:val="clear" w:color="auto" w:fill="auto"/>
            <w:vAlign w:val="center"/>
          </w:tcPr>
          <w:p w:rsidR="00E87022" w:rsidRPr="00E87022" w:rsidRDefault="00E87022" w:rsidP="002F29AF">
            <w:pPr>
              <w:jc w:val="center"/>
              <w:rPr>
                <w:rFonts w:cs="Arial"/>
                <w:b/>
                <w:color w:val="000000"/>
              </w:rPr>
            </w:pPr>
            <w:r w:rsidRPr="00E87022">
              <w:rPr>
                <w:rFonts w:cs="Arial"/>
                <w:b/>
                <w:color w:val="000000"/>
                <w:highlight w:val="darkGray"/>
              </w:rPr>
              <w:t>82,0</w:t>
            </w:r>
          </w:p>
        </w:tc>
        <w:tc>
          <w:tcPr>
            <w:tcW w:w="923" w:type="dxa"/>
            <w:tcBorders>
              <w:top w:val="single" w:sz="4" w:space="0" w:color="auto"/>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20,8</w:t>
            </w:r>
          </w:p>
        </w:tc>
        <w:tc>
          <w:tcPr>
            <w:tcW w:w="923" w:type="dxa"/>
            <w:vMerge w:val="restart"/>
            <w:tcBorders>
              <w:top w:val="single" w:sz="4" w:space="0" w:color="auto"/>
              <w:left w:val="single" w:sz="4" w:space="0" w:color="auto"/>
              <w:bottom w:val="nil"/>
              <w:right w:val="nil"/>
            </w:tcBorders>
            <w:shd w:val="clear" w:color="auto" w:fill="auto"/>
            <w:vAlign w:val="center"/>
          </w:tcPr>
          <w:p w:rsidR="00E87022" w:rsidRPr="00E87022" w:rsidRDefault="00E87022" w:rsidP="002F29AF">
            <w:pPr>
              <w:jc w:val="center"/>
              <w:rPr>
                <w:rFonts w:cs="Arial"/>
                <w:b/>
                <w:color w:val="000000"/>
              </w:rPr>
            </w:pPr>
            <w:r w:rsidRPr="00E87022">
              <w:rPr>
                <w:rFonts w:cs="Arial"/>
                <w:b/>
                <w:color w:val="000000"/>
                <w:highlight w:val="darkGray"/>
              </w:rPr>
              <w:t>85,3</w:t>
            </w:r>
          </w:p>
        </w:tc>
        <w:tc>
          <w:tcPr>
            <w:tcW w:w="923" w:type="dxa"/>
            <w:tcBorders>
              <w:top w:val="single" w:sz="4" w:space="0" w:color="auto"/>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19,8</w:t>
            </w:r>
          </w:p>
        </w:tc>
        <w:tc>
          <w:tcPr>
            <w:tcW w:w="923" w:type="dxa"/>
            <w:vMerge w:val="restart"/>
            <w:tcBorders>
              <w:top w:val="single" w:sz="4" w:space="0" w:color="auto"/>
              <w:left w:val="single" w:sz="4" w:space="0" w:color="auto"/>
              <w:bottom w:val="nil"/>
              <w:right w:val="nil"/>
            </w:tcBorders>
            <w:shd w:val="clear" w:color="auto" w:fill="auto"/>
            <w:vAlign w:val="center"/>
          </w:tcPr>
          <w:p w:rsidR="00E87022" w:rsidRPr="00E87022" w:rsidRDefault="00E87022" w:rsidP="002F29AF">
            <w:pPr>
              <w:jc w:val="center"/>
              <w:rPr>
                <w:rFonts w:cs="Arial"/>
                <w:b/>
                <w:color w:val="000000"/>
              </w:rPr>
            </w:pPr>
            <w:r w:rsidRPr="00E87022">
              <w:rPr>
                <w:rFonts w:cs="Arial"/>
                <w:b/>
                <w:color w:val="000000"/>
                <w:highlight w:val="darkGray"/>
              </w:rPr>
              <w:t>85,6</w:t>
            </w:r>
          </w:p>
        </w:tc>
        <w:tc>
          <w:tcPr>
            <w:tcW w:w="923" w:type="dxa"/>
            <w:tcBorders>
              <w:top w:val="single" w:sz="4" w:space="0" w:color="auto"/>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17,5</w:t>
            </w:r>
          </w:p>
        </w:tc>
        <w:tc>
          <w:tcPr>
            <w:tcW w:w="767" w:type="dxa"/>
            <w:vMerge w:val="restart"/>
            <w:tcBorders>
              <w:top w:val="single" w:sz="4" w:space="0" w:color="auto"/>
              <w:left w:val="single" w:sz="4" w:space="0" w:color="auto"/>
              <w:bottom w:val="nil"/>
              <w:right w:val="nil"/>
            </w:tcBorders>
            <w:shd w:val="clear" w:color="auto" w:fill="auto"/>
            <w:vAlign w:val="center"/>
          </w:tcPr>
          <w:p w:rsidR="00E87022" w:rsidRPr="00E87022" w:rsidRDefault="00E87022" w:rsidP="002F29AF">
            <w:pPr>
              <w:jc w:val="center"/>
              <w:rPr>
                <w:rFonts w:cs="Arial"/>
                <w:b/>
                <w:color w:val="000000"/>
              </w:rPr>
            </w:pPr>
            <w:r w:rsidRPr="00E87022">
              <w:rPr>
                <w:rFonts w:cs="Arial"/>
                <w:b/>
                <w:color w:val="000000"/>
                <w:highlight w:val="darkGray"/>
              </w:rPr>
              <w:t>84,8</w:t>
            </w:r>
          </w:p>
        </w:tc>
      </w:tr>
      <w:tr w:rsidR="00E87022" w:rsidRPr="00E87022" w:rsidTr="002F29AF">
        <w:tc>
          <w:tcPr>
            <w:tcW w:w="1985" w:type="dxa"/>
            <w:tcBorders>
              <w:top w:val="nil"/>
              <w:left w:val="nil"/>
              <w:bottom w:val="nil"/>
              <w:right w:val="nil"/>
            </w:tcBorders>
            <w:shd w:val="clear" w:color="auto" w:fill="auto"/>
            <w:vAlign w:val="center"/>
          </w:tcPr>
          <w:p w:rsidR="00E87022" w:rsidRPr="00E87022" w:rsidRDefault="00E87022" w:rsidP="002F29AF">
            <w:pPr>
              <w:rPr>
                <w:rFonts w:cs="Arial"/>
                <w:color w:val="000000"/>
              </w:rPr>
            </w:pPr>
            <w:r w:rsidRPr="00E87022">
              <w:rPr>
                <w:rFonts w:cs="Arial"/>
                <w:color w:val="000000"/>
              </w:rPr>
              <w:t>Habitação</w:t>
            </w:r>
          </w:p>
        </w:tc>
        <w:tc>
          <w:tcPr>
            <w:tcW w:w="924" w:type="dxa"/>
            <w:tcBorders>
              <w:top w:val="nil"/>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30,4</w:t>
            </w:r>
          </w:p>
        </w:tc>
        <w:tc>
          <w:tcPr>
            <w:tcW w:w="923" w:type="dxa"/>
            <w:vMerge/>
            <w:tcBorders>
              <w:left w:val="single" w:sz="4" w:space="0" w:color="auto"/>
              <w:bottom w:val="nil"/>
              <w:right w:val="nil"/>
            </w:tcBorders>
            <w:shd w:val="clear" w:color="auto" w:fill="auto"/>
            <w:vAlign w:val="center"/>
          </w:tcPr>
          <w:p w:rsidR="00E87022" w:rsidRPr="00E87022" w:rsidRDefault="00E87022" w:rsidP="002F29AF">
            <w:pPr>
              <w:jc w:val="right"/>
              <w:rPr>
                <w:rFonts w:cs="Arial"/>
                <w:color w:val="000000"/>
              </w:rPr>
            </w:pPr>
          </w:p>
        </w:tc>
        <w:tc>
          <w:tcPr>
            <w:tcW w:w="923" w:type="dxa"/>
            <w:tcBorders>
              <w:top w:val="nil"/>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35,5</w:t>
            </w:r>
          </w:p>
        </w:tc>
        <w:tc>
          <w:tcPr>
            <w:tcW w:w="923" w:type="dxa"/>
            <w:vMerge/>
            <w:tcBorders>
              <w:left w:val="single" w:sz="4" w:space="0" w:color="auto"/>
              <w:bottom w:val="nil"/>
              <w:right w:val="nil"/>
            </w:tcBorders>
            <w:shd w:val="clear" w:color="auto" w:fill="auto"/>
            <w:vAlign w:val="center"/>
          </w:tcPr>
          <w:p w:rsidR="00E87022" w:rsidRPr="00E87022" w:rsidRDefault="00E87022" w:rsidP="002F29AF">
            <w:pPr>
              <w:jc w:val="right"/>
              <w:rPr>
                <w:rFonts w:cs="Arial"/>
                <w:color w:val="000000"/>
              </w:rPr>
            </w:pPr>
          </w:p>
        </w:tc>
        <w:tc>
          <w:tcPr>
            <w:tcW w:w="923" w:type="dxa"/>
            <w:tcBorders>
              <w:top w:val="nil"/>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35,9</w:t>
            </w:r>
          </w:p>
        </w:tc>
        <w:tc>
          <w:tcPr>
            <w:tcW w:w="923" w:type="dxa"/>
            <w:vMerge/>
            <w:tcBorders>
              <w:left w:val="single" w:sz="4" w:space="0" w:color="auto"/>
              <w:bottom w:val="nil"/>
              <w:right w:val="nil"/>
            </w:tcBorders>
            <w:shd w:val="clear" w:color="auto" w:fill="auto"/>
            <w:vAlign w:val="center"/>
          </w:tcPr>
          <w:p w:rsidR="00E87022" w:rsidRPr="00E87022" w:rsidRDefault="00E87022" w:rsidP="002F29AF">
            <w:pPr>
              <w:jc w:val="right"/>
              <w:rPr>
                <w:rFonts w:cs="Arial"/>
                <w:color w:val="000000"/>
              </w:rPr>
            </w:pPr>
          </w:p>
        </w:tc>
        <w:tc>
          <w:tcPr>
            <w:tcW w:w="923" w:type="dxa"/>
            <w:tcBorders>
              <w:top w:val="nil"/>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36,6</w:t>
            </w:r>
          </w:p>
        </w:tc>
        <w:tc>
          <w:tcPr>
            <w:tcW w:w="767" w:type="dxa"/>
            <w:vMerge/>
            <w:tcBorders>
              <w:left w:val="single" w:sz="4" w:space="0" w:color="auto"/>
              <w:bottom w:val="nil"/>
              <w:right w:val="nil"/>
            </w:tcBorders>
            <w:shd w:val="clear" w:color="auto" w:fill="auto"/>
            <w:vAlign w:val="center"/>
          </w:tcPr>
          <w:p w:rsidR="00E87022" w:rsidRPr="00E87022" w:rsidRDefault="00E87022" w:rsidP="002F29AF">
            <w:pPr>
              <w:jc w:val="right"/>
              <w:rPr>
                <w:rFonts w:cs="Arial"/>
                <w:color w:val="000000"/>
              </w:rPr>
            </w:pPr>
          </w:p>
        </w:tc>
      </w:tr>
      <w:tr w:rsidR="00E87022" w:rsidRPr="00E87022" w:rsidTr="002F29AF">
        <w:tc>
          <w:tcPr>
            <w:tcW w:w="1985" w:type="dxa"/>
            <w:tcBorders>
              <w:top w:val="nil"/>
              <w:left w:val="nil"/>
              <w:bottom w:val="nil"/>
              <w:right w:val="nil"/>
            </w:tcBorders>
            <w:shd w:val="clear" w:color="auto" w:fill="auto"/>
            <w:vAlign w:val="center"/>
          </w:tcPr>
          <w:p w:rsidR="00E87022" w:rsidRPr="00E87022" w:rsidRDefault="00E87022" w:rsidP="002F29AF">
            <w:pPr>
              <w:rPr>
                <w:rFonts w:cs="Arial"/>
                <w:color w:val="000000"/>
              </w:rPr>
            </w:pPr>
            <w:r w:rsidRPr="00E87022">
              <w:rPr>
                <w:rFonts w:cs="Arial"/>
                <w:color w:val="000000"/>
              </w:rPr>
              <w:t>Transporte</w:t>
            </w:r>
          </w:p>
        </w:tc>
        <w:tc>
          <w:tcPr>
            <w:tcW w:w="924" w:type="dxa"/>
            <w:tcBorders>
              <w:top w:val="nil"/>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11,2</w:t>
            </w:r>
          </w:p>
        </w:tc>
        <w:tc>
          <w:tcPr>
            <w:tcW w:w="923" w:type="dxa"/>
            <w:vMerge/>
            <w:tcBorders>
              <w:left w:val="single" w:sz="4" w:space="0" w:color="auto"/>
              <w:bottom w:val="nil"/>
              <w:right w:val="nil"/>
            </w:tcBorders>
            <w:shd w:val="clear" w:color="auto" w:fill="auto"/>
            <w:vAlign w:val="center"/>
          </w:tcPr>
          <w:p w:rsidR="00E87022" w:rsidRPr="00E87022" w:rsidRDefault="00E87022" w:rsidP="002F29AF">
            <w:pPr>
              <w:jc w:val="right"/>
              <w:rPr>
                <w:rFonts w:cs="Arial"/>
                <w:color w:val="000000"/>
              </w:rPr>
            </w:pPr>
          </w:p>
        </w:tc>
        <w:tc>
          <w:tcPr>
            <w:tcW w:w="923" w:type="dxa"/>
            <w:tcBorders>
              <w:top w:val="nil"/>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18,4</w:t>
            </w:r>
          </w:p>
        </w:tc>
        <w:tc>
          <w:tcPr>
            <w:tcW w:w="923" w:type="dxa"/>
            <w:vMerge/>
            <w:tcBorders>
              <w:left w:val="single" w:sz="4" w:space="0" w:color="auto"/>
              <w:bottom w:val="nil"/>
              <w:right w:val="nil"/>
            </w:tcBorders>
            <w:shd w:val="clear" w:color="auto" w:fill="auto"/>
            <w:vAlign w:val="center"/>
          </w:tcPr>
          <w:p w:rsidR="00E87022" w:rsidRPr="00E87022" w:rsidRDefault="00E87022" w:rsidP="002F29AF">
            <w:pPr>
              <w:jc w:val="right"/>
              <w:rPr>
                <w:rFonts w:cs="Arial"/>
                <w:color w:val="000000"/>
              </w:rPr>
            </w:pPr>
          </w:p>
        </w:tc>
        <w:tc>
          <w:tcPr>
            <w:tcW w:w="923" w:type="dxa"/>
            <w:tcBorders>
              <w:top w:val="nil"/>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19,6</w:t>
            </w:r>
          </w:p>
        </w:tc>
        <w:tc>
          <w:tcPr>
            <w:tcW w:w="923" w:type="dxa"/>
            <w:vMerge/>
            <w:tcBorders>
              <w:left w:val="single" w:sz="4" w:space="0" w:color="auto"/>
              <w:bottom w:val="nil"/>
              <w:right w:val="nil"/>
            </w:tcBorders>
            <w:shd w:val="clear" w:color="auto" w:fill="auto"/>
            <w:vAlign w:val="center"/>
          </w:tcPr>
          <w:p w:rsidR="00E87022" w:rsidRPr="00E87022" w:rsidRDefault="00E87022" w:rsidP="002F29AF">
            <w:pPr>
              <w:jc w:val="right"/>
              <w:rPr>
                <w:rFonts w:cs="Arial"/>
                <w:color w:val="000000"/>
              </w:rPr>
            </w:pPr>
          </w:p>
        </w:tc>
        <w:tc>
          <w:tcPr>
            <w:tcW w:w="923" w:type="dxa"/>
            <w:tcBorders>
              <w:top w:val="nil"/>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18,1</w:t>
            </w:r>
          </w:p>
        </w:tc>
        <w:tc>
          <w:tcPr>
            <w:tcW w:w="767" w:type="dxa"/>
            <w:vMerge/>
            <w:tcBorders>
              <w:left w:val="single" w:sz="4" w:space="0" w:color="auto"/>
              <w:bottom w:val="nil"/>
              <w:right w:val="nil"/>
            </w:tcBorders>
            <w:shd w:val="clear" w:color="auto" w:fill="auto"/>
            <w:vAlign w:val="center"/>
          </w:tcPr>
          <w:p w:rsidR="00E87022" w:rsidRPr="00E87022" w:rsidRDefault="00E87022" w:rsidP="002F29AF">
            <w:pPr>
              <w:jc w:val="right"/>
              <w:rPr>
                <w:rFonts w:cs="Arial"/>
                <w:color w:val="000000"/>
              </w:rPr>
            </w:pPr>
          </w:p>
        </w:tc>
      </w:tr>
      <w:tr w:rsidR="00E87022" w:rsidRPr="00E87022" w:rsidTr="002F29AF">
        <w:tc>
          <w:tcPr>
            <w:tcW w:w="1985" w:type="dxa"/>
            <w:tcBorders>
              <w:top w:val="nil"/>
              <w:left w:val="nil"/>
              <w:bottom w:val="nil"/>
              <w:right w:val="nil"/>
            </w:tcBorders>
            <w:shd w:val="clear" w:color="auto" w:fill="auto"/>
            <w:vAlign w:val="center"/>
          </w:tcPr>
          <w:p w:rsidR="00E87022" w:rsidRPr="00E87022" w:rsidRDefault="00E87022" w:rsidP="002F29AF">
            <w:pPr>
              <w:rPr>
                <w:rFonts w:cs="Arial"/>
                <w:color w:val="000000"/>
              </w:rPr>
            </w:pPr>
            <w:r w:rsidRPr="00E87022">
              <w:rPr>
                <w:rFonts w:cs="Arial"/>
                <w:color w:val="000000"/>
              </w:rPr>
              <w:t>Assistência à saúde</w:t>
            </w:r>
          </w:p>
        </w:tc>
        <w:tc>
          <w:tcPr>
            <w:tcW w:w="924" w:type="dxa"/>
            <w:tcBorders>
              <w:top w:val="nil"/>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4,2</w:t>
            </w:r>
          </w:p>
        </w:tc>
        <w:tc>
          <w:tcPr>
            <w:tcW w:w="923" w:type="dxa"/>
            <w:vMerge/>
            <w:tcBorders>
              <w:left w:val="single" w:sz="4" w:space="0" w:color="auto"/>
              <w:bottom w:val="nil"/>
              <w:right w:val="nil"/>
            </w:tcBorders>
            <w:shd w:val="clear" w:color="auto" w:fill="auto"/>
            <w:vAlign w:val="center"/>
          </w:tcPr>
          <w:p w:rsidR="00E87022" w:rsidRPr="00E87022" w:rsidRDefault="00E87022" w:rsidP="002F29AF">
            <w:pPr>
              <w:jc w:val="right"/>
              <w:rPr>
                <w:rFonts w:cs="Arial"/>
                <w:color w:val="000000"/>
              </w:rPr>
            </w:pPr>
          </w:p>
        </w:tc>
        <w:tc>
          <w:tcPr>
            <w:tcW w:w="923" w:type="dxa"/>
            <w:tcBorders>
              <w:top w:val="nil"/>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6,5</w:t>
            </w:r>
          </w:p>
        </w:tc>
        <w:tc>
          <w:tcPr>
            <w:tcW w:w="923" w:type="dxa"/>
            <w:vMerge/>
            <w:tcBorders>
              <w:left w:val="single" w:sz="4" w:space="0" w:color="auto"/>
              <w:bottom w:val="nil"/>
              <w:right w:val="nil"/>
            </w:tcBorders>
            <w:shd w:val="clear" w:color="auto" w:fill="auto"/>
            <w:vAlign w:val="center"/>
          </w:tcPr>
          <w:p w:rsidR="00E87022" w:rsidRPr="00E87022" w:rsidRDefault="00E87022" w:rsidP="002F29AF">
            <w:pPr>
              <w:jc w:val="right"/>
              <w:rPr>
                <w:rFonts w:cs="Arial"/>
                <w:color w:val="000000"/>
              </w:rPr>
            </w:pPr>
          </w:p>
        </w:tc>
        <w:tc>
          <w:tcPr>
            <w:tcW w:w="923" w:type="dxa"/>
            <w:tcBorders>
              <w:top w:val="nil"/>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7,2</w:t>
            </w:r>
          </w:p>
        </w:tc>
        <w:tc>
          <w:tcPr>
            <w:tcW w:w="923" w:type="dxa"/>
            <w:vMerge/>
            <w:tcBorders>
              <w:left w:val="single" w:sz="4" w:space="0" w:color="auto"/>
              <w:bottom w:val="nil"/>
              <w:right w:val="nil"/>
            </w:tcBorders>
            <w:shd w:val="clear" w:color="auto" w:fill="auto"/>
            <w:vAlign w:val="center"/>
          </w:tcPr>
          <w:p w:rsidR="00E87022" w:rsidRPr="00E87022" w:rsidRDefault="00E87022" w:rsidP="002F29AF">
            <w:pPr>
              <w:jc w:val="right"/>
              <w:rPr>
                <w:rFonts w:cs="Arial"/>
                <w:color w:val="000000"/>
              </w:rPr>
            </w:pPr>
          </w:p>
        </w:tc>
        <w:tc>
          <w:tcPr>
            <w:tcW w:w="923" w:type="dxa"/>
            <w:tcBorders>
              <w:top w:val="nil"/>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8,0</w:t>
            </w:r>
          </w:p>
        </w:tc>
        <w:tc>
          <w:tcPr>
            <w:tcW w:w="767" w:type="dxa"/>
            <w:vMerge/>
            <w:tcBorders>
              <w:left w:val="single" w:sz="4" w:space="0" w:color="auto"/>
              <w:bottom w:val="nil"/>
              <w:right w:val="nil"/>
            </w:tcBorders>
            <w:shd w:val="clear" w:color="auto" w:fill="auto"/>
            <w:vAlign w:val="center"/>
          </w:tcPr>
          <w:p w:rsidR="00E87022" w:rsidRPr="00E87022" w:rsidRDefault="00E87022" w:rsidP="002F29AF">
            <w:pPr>
              <w:jc w:val="right"/>
              <w:rPr>
                <w:rFonts w:cs="Arial"/>
                <w:color w:val="000000"/>
              </w:rPr>
            </w:pPr>
          </w:p>
        </w:tc>
      </w:tr>
      <w:tr w:rsidR="00E87022" w:rsidRPr="00E87022" w:rsidTr="002F29AF">
        <w:tc>
          <w:tcPr>
            <w:tcW w:w="1985" w:type="dxa"/>
            <w:tcBorders>
              <w:top w:val="nil"/>
              <w:left w:val="nil"/>
              <w:bottom w:val="nil"/>
              <w:right w:val="nil"/>
            </w:tcBorders>
            <w:shd w:val="clear" w:color="auto" w:fill="auto"/>
            <w:vAlign w:val="center"/>
          </w:tcPr>
          <w:p w:rsidR="00E87022" w:rsidRPr="00E87022" w:rsidRDefault="00E87022" w:rsidP="002F29AF">
            <w:pPr>
              <w:rPr>
                <w:rFonts w:cs="Arial"/>
                <w:color w:val="000000"/>
              </w:rPr>
            </w:pPr>
            <w:r w:rsidRPr="00E87022">
              <w:rPr>
                <w:rFonts w:cs="Arial"/>
                <w:color w:val="000000"/>
              </w:rPr>
              <w:t>Educação</w:t>
            </w:r>
          </w:p>
        </w:tc>
        <w:tc>
          <w:tcPr>
            <w:tcW w:w="924" w:type="dxa"/>
            <w:tcBorders>
              <w:top w:val="nil"/>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2,3</w:t>
            </w:r>
          </w:p>
        </w:tc>
        <w:tc>
          <w:tcPr>
            <w:tcW w:w="923" w:type="dxa"/>
            <w:vMerge/>
            <w:tcBorders>
              <w:left w:val="single" w:sz="4" w:space="0" w:color="auto"/>
              <w:bottom w:val="nil"/>
              <w:right w:val="nil"/>
            </w:tcBorders>
            <w:shd w:val="clear" w:color="auto" w:fill="auto"/>
            <w:vAlign w:val="center"/>
          </w:tcPr>
          <w:p w:rsidR="00E87022" w:rsidRPr="00E87022" w:rsidRDefault="00E87022" w:rsidP="002F29AF">
            <w:pPr>
              <w:jc w:val="right"/>
              <w:rPr>
                <w:rFonts w:cs="Arial"/>
                <w:color w:val="000000"/>
              </w:rPr>
            </w:pPr>
          </w:p>
        </w:tc>
        <w:tc>
          <w:tcPr>
            <w:tcW w:w="923" w:type="dxa"/>
            <w:tcBorders>
              <w:top w:val="nil"/>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4,1</w:t>
            </w:r>
          </w:p>
        </w:tc>
        <w:tc>
          <w:tcPr>
            <w:tcW w:w="923" w:type="dxa"/>
            <w:vMerge/>
            <w:tcBorders>
              <w:left w:val="single" w:sz="4" w:space="0" w:color="auto"/>
              <w:bottom w:val="nil"/>
              <w:right w:val="nil"/>
            </w:tcBorders>
            <w:shd w:val="clear" w:color="auto" w:fill="auto"/>
            <w:vAlign w:val="center"/>
          </w:tcPr>
          <w:p w:rsidR="00E87022" w:rsidRPr="00E87022" w:rsidRDefault="00E87022" w:rsidP="002F29AF">
            <w:pPr>
              <w:jc w:val="right"/>
              <w:rPr>
                <w:rFonts w:cs="Arial"/>
                <w:color w:val="000000"/>
              </w:rPr>
            </w:pPr>
          </w:p>
        </w:tc>
        <w:tc>
          <w:tcPr>
            <w:tcW w:w="923" w:type="dxa"/>
            <w:tcBorders>
              <w:top w:val="nil"/>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3,0</w:t>
            </w:r>
          </w:p>
        </w:tc>
        <w:tc>
          <w:tcPr>
            <w:tcW w:w="923" w:type="dxa"/>
            <w:vMerge/>
            <w:tcBorders>
              <w:left w:val="single" w:sz="4" w:space="0" w:color="auto"/>
              <w:bottom w:val="nil"/>
              <w:right w:val="nil"/>
            </w:tcBorders>
            <w:shd w:val="clear" w:color="auto" w:fill="auto"/>
            <w:vAlign w:val="center"/>
          </w:tcPr>
          <w:p w:rsidR="00E87022" w:rsidRPr="00E87022" w:rsidRDefault="00E87022" w:rsidP="002F29AF">
            <w:pPr>
              <w:jc w:val="right"/>
              <w:rPr>
                <w:rFonts w:cs="Arial"/>
                <w:color w:val="000000"/>
              </w:rPr>
            </w:pPr>
          </w:p>
        </w:tc>
        <w:tc>
          <w:tcPr>
            <w:tcW w:w="923" w:type="dxa"/>
            <w:tcBorders>
              <w:top w:val="nil"/>
              <w:left w:val="nil"/>
              <w:bottom w:val="nil"/>
              <w:right w:val="single" w:sz="4" w:space="0" w:color="auto"/>
            </w:tcBorders>
            <w:shd w:val="clear" w:color="auto" w:fill="auto"/>
            <w:vAlign w:val="center"/>
          </w:tcPr>
          <w:p w:rsidR="00E87022" w:rsidRPr="00E87022" w:rsidRDefault="00E87022" w:rsidP="002F29AF">
            <w:pPr>
              <w:jc w:val="right"/>
              <w:rPr>
                <w:rFonts w:cs="Arial"/>
                <w:color w:val="000000"/>
              </w:rPr>
            </w:pPr>
            <w:r w:rsidRPr="00E87022">
              <w:rPr>
                <w:rFonts w:cs="Arial"/>
                <w:color w:val="000000"/>
              </w:rPr>
              <w:t>4,7</w:t>
            </w:r>
          </w:p>
        </w:tc>
        <w:tc>
          <w:tcPr>
            <w:tcW w:w="767" w:type="dxa"/>
            <w:vMerge/>
            <w:tcBorders>
              <w:left w:val="single" w:sz="4" w:space="0" w:color="auto"/>
              <w:bottom w:val="nil"/>
              <w:right w:val="nil"/>
            </w:tcBorders>
            <w:shd w:val="clear" w:color="auto" w:fill="auto"/>
            <w:vAlign w:val="center"/>
          </w:tcPr>
          <w:p w:rsidR="00E87022" w:rsidRPr="00E87022" w:rsidRDefault="00E87022" w:rsidP="002F29AF">
            <w:pPr>
              <w:jc w:val="right"/>
              <w:rPr>
                <w:rFonts w:cs="Arial"/>
                <w:color w:val="000000"/>
              </w:rPr>
            </w:pPr>
          </w:p>
        </w:tc>
      </w:tr>
      <w:tr w:rsidR="00E87022" w:rsidRPr="00E87022" w:rsidTr="002F29AF">
        <w:tc>
          <w:tcPr>
            <w:tcW w:w="1985" w:type="dxa"/>
            <w:tcBorders>
              <w:top w:val="nil"/>
              <w:left w:val="nil"/>
              <w:bottom w:val="single" w:sz="4" w:space="0" w:color="auto"/>
              <w:right w:val="nil"/>
            </w:tcBorders>
            <w:shd w:val="clear" w:color="auto" w:fill="auto"/>
            <w:vAlign w:val="center"/>
          </w:tcPr>
          <w:p w:rsidR="00E87022" w:rsidRPr="00E87022" w:rsidRDefault="00E87022" w:rsidP="002F29AF">
            <w:pPr>
              <w:rPr>
                <w:rFonts w:cs="Arial"/>
                <w:color w:val="000000"/>
              </w:rPr>
            </w:pPr>
            <w:r w:rsidRPr="00E87022">
              <w:rPr>
                <w:rFonts w:cs="Arial"/>
                <w:color w:val="000000"/>
              </w:rPr>
              <w:t>Outros</w:t>
            </w:r>
          </w:p>
        </w:tc>
        <w:tc>
          <w:tcPr>
            <w:tcW w:w="1847" w:type="dxa"/>
            <w:gridSpan w:val="2"/>
            <w:tcBorders>
              <w:top w:val="nil"/>
              <w:left w:val="nil"/>
              <w:bottom w:val="single" w:sz="4" w:space="0" w:color="auto"/>
              <w:right w:val="nil"/>
            </w:tcBorders>
            <w:shd w:val="clear" w:color="auto" w:fill="auto"/>
            <w:vAlign w:val="center"/>
          </w:tcPr>
          <w:p w:rsidR="00E87022" w:rsidRPr="00E87022" w:rsidRDefault="00E87022" w:rsidP="002F29AF">
            <w:pPr>
              <w:ind w:right="180"/>
              <w:jc w:val="right"/>
              <w:rPr>
                <w:rFonts w:cs="Arial"/>
                <w:color w:val="000000"/>
              </w:rPr>
            </w:pPr>
            <w:r w:rsidRPr="00E87022">
              <w:rPr>
                <w:rFonts w:cs="Arial"/>
                <w:color w:val="000000"/>
              </w:rPr>
              <w:t>18,0</w:t>
            </w:r>
          </w:p>
        </w:tc>
        <w:tc>
          <w:tcPr>
            <w:tcW w:w="1846" w:type="dxa"/>
            <w:gridSpan w:val="2"/>
            <w:tcBorders>
              <w:top w:val="nil"/>
              <w:left w:val="nil"/>
              <w:bottom w:val="single" w:sz="4" w:space="0" w:color="auto"/>
              <w:right w:val="nil"/>
            </w:tcBorders>
            <w:shd w:val="clear" w:color="auto" w:fill="auto"/>
            <w:vAlign w:val="center"/>
          </w:tcPr>
          <w:p w:rsidR="00E87022" w:rsidRPr="00E87022" w:rsidRDefault="00E87022" w:rsidP="002F29AF">
            <w:pPr>
              <w:ind w:right="180"/>
              <w:jc w:val="right"/>
              <w:rPr>
                <w:rFonts w:cs="Arial"/>
                <w:color w:val="000000"/>
              </w:rPr>
            </w:pPr>
            <w:r w:rsidRPr="00E87022">
              <w:rPr>
                <w:rFonts w:cs="Arial"/>
                <w:color w:val="000000"/>
              </w:rPr>
              <w:t>14,7</w:t>
            </w:r>
          </w:p>
        </w:tc>
        <w:tc>
          <w:tcPr>
            <w:tcW w:w="1846" w:type="dxa"/>
            <w:gridSpan w:val="2"/>
            <w:tcBorders>
              <w:top w:val="nil"/>
              <w:left w:val="nil"/>
              <w:bottom w:val="single" w:sz="4" w:space="0" w:color="auto"/>
              <w:right w:val="nil"/>
            </w:tcBorders>
            <w:shd w:val="clear" w:color="auto" w:fill="auto"/>
            <w:vAlign w:val="center"/>
          </w:tcPr>
          <w:p w:rsidR="00E87022" w:rsidRPr="00E87022" w:rsidRDefault="00E87022" w:rsidP="002F29AF">
            <w:pPr>
              <w:ind w:right="180"/>
              <w:jc w:val="right"/>
              <w:rPr>
                <w:rFonts w:cs="Arial"/>
                <w:color w:val="000000"/>
              </w:rPr>
            </w:pPr>
            <w:r w:rsidRPr="00E87022">
              <w:rPr>
                <w:rFonts w:cs="Arial"/>
                <w:color w:val="000000"/>
              </w:rPr>
              <w:t>14,4</w:t>
            </w:r>
          </w:p>
        </w:tc>
        <w:tc>
          <w:tcPr>
            <w:tcW w:w="1690" w:type="dxa"/>
            <w:gridSpan w:val="2"/>
            <w:tcBorders>
              <w:top w:val="nil"/>
              <w:left w:val="nil"/>
              <w:bottom w:val="single" w:sz="4" w:space="0" w:color="auto"/>
              <w:right w:val="nil"/>
            </w:tcBorders>
            <w:shd w:val="clear" w:color="auto" w:fill="auto"/>
            <w:vAlign w:val="center"/>
          </w:tcPr>
          <w:p w:rsidR="00E87022" w:rsidRPr="00E87022" w:rsidRDefault="00E87022" w:rsidP="002F29AF">
            <w:pPr>
              <w:ind w:right="180"/>
              <w:jc w:val="right"/>
              <w:rPr>
                <w:rFonts w:cs="Arial"/>
                <w:color w:val="000000"/>
              </w:rPr>
            </w:pPr>
            <w:r w:rsidRPr="00E87022">
              <w:rPr>
                <w:rFonts w:cs="Arial"/>
                <w:color w:val="000000"/>
              </w:rPr>
              <w:t>15,2</w:t>
            </w:r>
          </w:p>
        </w:tc>
      </w:tr>
    </w:tbl>
    <w:p w:rsidR="00E87022" w:rsidRPr="00E87022" w:rsidRDefault="00E87022" w:rsidP="00E87022">
      <w:pPr>
        <w:rPr>
          <w:rFonts w:cs="Arial"/>
          <w:color w:val="000000"/>
        </w:rPr>
      </w:pPr>
      <w:r w:rsidRPr="00E87022">
        <w:rPr>
          <w:rFonts w:cs="Arial"/>
          <w:b/>
          <w:color w:val="000000"/>
        </w:rPr>
        <w:t>Fonte</w:t>
      </w:r>
      <w:r w:rsidRPr="00E87022">
        <w:rPr>
          <w:rFonts w:cs="Arial"/>
          <w:color w:val="000000"/>
        </w:rPr>
        <w:t>: adaptado pelo autor de IBGE (2019, p. 47)</w:t>
      </w:r>
    </w:p>
    <w:p w:rsidR="00E87022" w:rsidRPr="00E87022" w:rsidRDefault="00E87022" w:rsidP="00E87022">
      <w:pPr>
        <w:pStyle w:val="Sinespaciado"/>
        <w:ind w:firstLine="0"/>
        <w:rPr>
          <w:rFonts w:cs="Arial"/>
          <w:sz w:val="18"/>
        </w:rPr>
      </w:pPr>
      <w:r w:rsidRPr="00E87022">
        <w:rPr>
          <w:rFonts w:cs="Arial"/>
          <w:color w:val="000000"/>
          <w:sz w:val="18"/>
        </w:rPr>
        <w:t>(1) Exclusive a área rural das Regiões Norte e Centro-Oeste.</w:t>
      </w:r>
    </w:p>
    <w:p w:rsidR="00E87022" w:rsidRPr="00E87022" w:rsidRDefault="00E87022" w:rsidP="00635A7C">
      <w:pPr>
        <w:pStyle w:val="Sinespaciado"/>
        <w:rPr>
          <w:rFonts w:cs="Arial"/>
          <w:sz w:val="20"/>
        </w:rPr>
      </w:pPr>
    </w:p>
    <w:p w:rsidR="00FE47DF" w:rsidRDefault="00FE47DF" w:rsidP="00FE47DF">
      <w:pPr>
        <w:pStyle w:val="Sinespaciado"/>
      </w:pPr>
      <w:r>
        <w:t xml:space="preserve">Inicialmente, na análise da Tabela </w:t>
      </w:r>
      <w:r w:rsidR="00FA06BD">
        <w:t>3</w:t>
      </w:r>
      <w:r>
        <w:t>, o percentual total do grupo das cinco despesas de consumo analisadas demonstra certa homogeneidade nos índices desde o ENDEF até a última POF, variando de 82,0% a 85,6%.</w:t>
      </w:r>
    </w:p>
    <w:p w:rsidR="00FE47DF" w:rsidRDefault="00FE47DF" w:rsidP="00FE47DF">
      <w:pPr>
        <w:pStyle w:val="Sinespaciado"/>
      </w:pPr>
      <w:r>
        <w:t>Já o consumo de alimentação sofreu alterações expressivas no histórico considerado, apresentando um decréscimo acentuado na evolução do tempo: saindo de 33,9% em 1974-1975 para 17,5% em 2017-2018, uma redução de quase metade do índice inicial. Isto mostra um peso menor da alimentação no bolso das famílias e mais dinheiro sendo gasto com as outras despesas.</w:t>
      </w:r>
    </w:p>
    <w:p w:rsidR="00FE47DF" w:rsidRDefault="00FE47DF" w:rsidP="00FE47DF">
      <w:pPr>
        <w:pStyle w:val="Sinespaciado"/>
      </w:pPr>
      <w:r>
        <w:t>Na despesa de consumo com habitação, há um acréscimo de 5.1 p.p. do ENDEF para a POF 2002-2003 (30,4% para 35,5%), mas uma quase estabilidade entre as POFs, percebendo-se um leve crescimento entre elas (saindo dos 35,5% em 2002-2003 e finalizando com 36,6% em 2017-2018).</w:t>
      </w:r>
    </w:p>
    <w:p w:rsidR="00FE47DF" w:rsidRDefault="00FE47DF" w:rsidP="00FE47DF">
      <w:pPr>
        <w:pStyle w:val="Sinespaciado"/>
      </w:pPr>
      <w:r>
        <w:t xml:space="preserve">Quanto às despesas de consumo com transporte, ocorreu o semelhante à habitação, só que com um percentual de aumento inicial bem maior: do ENDEF para a POF 2002-2003 acréscimo inicial de 7,2 p.p. (de 11,2% para 18,4%) e, depois, </w:t>
      </w:r>
      <w:r>
        <w:lastRenderedPageBreak/>
        <w:t>certa estabilidade entre as POF. No entanto, a POF 2008-2009 apresentou o maior índice entre elas 19,6%.</w:t>
      </w:r>
    </w:p>
    <w:p w:rsidR="00FE47DF" w:rsidRDefault="00FE47DF" w:rsidP="00FE47DF">
      <w:pPr>
        <w:pStyle w:val="Sinespaciado"/>
      </w:pPr>
      <w:r>
        <w:t>Em relação à assistência à saúde, percebe-se a crescente importância e o peso deste item no consumo das famílias: seu primeiro índice na ENDEF 1974-1975 foi 4,2%, evoluindo para 6,5% na POF 2002-2003, 7,2% na POF 2008-2009 e finalizando com, praticamente, o dobro do índice inicial 8,0% na POF 2017-2018. Essa evolução mostra que cuidar da saúde está cada vez mais caro e que, possivelmente, os serviços públicos de assistência à saúde da população não alcançam atender bem a todos.</w:t>
      </w:r>
    </w:p>
    <w:p w:rsidR="00FE47DF" w:rsidRDefault="00FE47DF" w:rsidP="00FE47DF">
      <w:pPr>
        <w:pStyle w:val="Sinespaciado"/>
      </w:pPr>
      <w:r>
        <w:t>Outro ponto sensível para a população, educação, mostrou que seu consumo cresceu alternando-se na evolução da história. Inicialmente, houve um aumento considerável do ENDEF 1974-1975 para a POF 2002-2003 (2,3% para 4,1%), passando para 3,0% na POF 2008-2009 e finalizando com 4,7% na POF 2017-2018, mais que o dobro do índice inicial. Esses índices sinalizam os crescentes custos da educação para as famílias brasileiras.</w:t>
      </w:r>
    </w:p>
    <w:p w:rsidR="00E87022" w:rsidRDefault="00FE47DF" w:rsidP="00FE47DF">
      <w:pPr>
        <w:pStyle w:val="Sinespaciado"/>
      </w:pPr>
      <w:r>
        <w:t>Concluindo essa análise do consumo de 1974 a 2018, cabe mencionar Bauman (2008, p. 37) dizendo que “qualquer modalidade de consumo considerada típica de um período específico da história humana pode ser apresentada sem muito esforço como uma versão ligeiramente modificada de modalidades anteriores”. Entendem-se, assim, as variações de consumo na história e as adaptações das pessoas a esse consumo que sempre existirá.</w:t>
      </w:r>
    </w:p>
    <w:p w:rsidR="00A1462B" w:rsidRPr="003A55FD" w:rsidRDefault="00A1462B" w:rsidP="00A1462B">
      <w:pPr>
        <w:pStyle w:val="Sinespaciado"/>
        <w:rPr>
          <w:b/>
        </w:rPr>
      </w:pPr>
    </w:p>
    <w:p w:rsidR="00A1462B" w:rsidRPr="00DF3767" w:rsidRDefault="004209E8" w:rsidP="00DF3767">
      <w:pPr>
        <w:pStyle w:val="Seo"/>
        <w:rPr>
          <w:b w:val="0"/>
        </w:rPr>
      </w:pPr>
      <w:r>
        <w:rPr>
          <w:rStyle w:val="SeoChar"/>
          <w:b/>
        </w:rPr>
        <w:t>CONSIDERAÇÕES FINAIS</w:t>
      </w:r>
    </w:p>
    <w:p w:rsidR="009B057C" w:rsidRDefault="009B057C" w:rsidP="009B057C">
      <w:pPr>
        <w:pStyle w:val="Sinespaciado"/>
      </w:pPr>
    </w:p>
    <w:p w:rsidR="00106C6C" w:rsidRDefault="002F29AF" w:rsidP="00FE47DF">
      <w:pPr>
        <w:pStyle w:val="Sinespaciado"/>
      </w:pPr>
      <w:r>
        <w:t>A</w:t>
      </w:r>
      <w:r w:rsidR="00FE47DF">
        <w:t xml:space="preserve"> POF 2017-2018 </w:t>
      </w:r>
      <w:r>
        <w:t xml:space="preserve">apresentou-se como </w:t>
      </w:r>
      <w:r w:rsidR="00FE47DF">
        <w:t>uma pesquisa de amplo espectro realizada no Brasil</w:t>
      </w:r>
      <w:r>
        <w:t>, na qual se verificou</w:t>
      </w:r>
      <w:r w:rsidR="009E1CAE">
        <w:t>, principalmente,</w:t>
      </w:r>
      <w:r>
        <w:t xml:space="preserve"> o peso do consumo das famílias com </w:t>
      </w:r>
      <w:r w:rsidR="00FE47DF">
        <w:t>habitação</w:t>
      </w:r>
      <w:r>
        <w:t>,</w:t>
      </w:r>
      <w:r w:rsidR="00FE47DF">
        <w:t xml:space="preserve"> transporte e alimentação.</w:t>
      </w:r>
      <w:r>
        <w:t xml:space="preserve"> Além disso, a pesquisa mostrou </w:t>
      </w:r>
      <w:r w:rsidR="009E1CAE">
        <w:t>ainda</w:t>
      </w:r>
      <w:r>
        <w:t xml:space="preserve"> as diferenças de consumo quanto aos </w:t>
      </w:r>
      <w:r w:rsidR="00FE47DF">
        <w:t>ambientes urbano e rural</w:t>
      </w:r>
      <w:r>
        <w:t>, às regionalidades do país e às diferentes f</w:t>
      </w:r>
      <w:r w:rsidR="00106C6C">
        <w:t>aixas de rendimentos salariais.</w:t>
      </w:r>
    </w:p>
    <w:p w:rsidR="00A1462B" w:rsidRDefault="00106C6C" w:rsidP="00FE47DF">
      <w:pPr>
        <w:pStyle w:val="Sinespaciado"/>
      </w:pPr>
      <w:r>
        <w:t xml:space="preserve">Contudo, todos esses resultados precisam ser analisados sob a ótica </w:t>
      </w:r>
      <w:r w:rsidR="00FE47DF">
        <w:t>da influência da pós-modernidade no ordenamento diário das relações interpessoais, das pessoas com as fina</w:t>
      </w:r>
      <w:r>
        <w:t xml:space="preserve">nças e na administração pública, para que esse árduo e </w:t>
      </w:r>
      <w:r w:rsidR="00687EA9">
        <w:t>vasto</w:t>
      </w:r>
      <w:r>
        <w:t xml:space="preserve"> trabalho possa ser </w:t>
      </w:r>
      <w:r w:rsidR="00C6252B">
        <w:t>melhor</w:t>
      </w:r>
      <w:r w:rsidR="00687EA9">
        <w:t xml:space="preserve"> </w:t>
      </w:r>
      <w:r>
        <w:t xml:space="preserve">compreendido e </w:t>
      </w:r>
      <w:r w:rsidR="00687EA9">
        <w:t xml:space="preserve">utilizado na condução </w:t>
      </w:r>
      <w:r w:rsidR="00C6252B">
        <w:t xml:space="preserve">de </w:t>
      </w:r>
      <w:r>
        <w:t xml:space="preserve">políticas </w:t>
      </w:r>
      <w:r w:rsidR="0020680B">
        <w:t>públicas mais eficientes e eficazes.</w:t>
      </w:r>
    </w:p>
    <w:p w:rsidR="00686B79" w:rsidRPr="00B74F39" w:rsidRDefault="00686B79" w:rsidP="00686B79">
      <w:pPr>
        <w:pStyle w:val="FPCTextonormal"/>
        <w:spacing w:before="0" w:after="0"/>
        <w:rPr>
          <w:rFonts w:cs="Arial"/>
          <w:sz w:val="24"/>
        </w:rPr>
      </w:pPr>
    </w:p>
    <w:p w:rsidR="00686B79" w:rsidRDefault="00686B79" w:rsidP="00686B79">
      <w:pPr>
        <w:rPr>
          <w:b/>
          <w:sz w:val="24"/>
          <w:szCs w:val="24"/>
        </w:rPr>
      </w:pPr>
      <w:r>
        <w:rPr>
          <w:b/>
          <w:sz w:val="24"/>
          <w:szCs w:val="24"/>
        </w:rPr>
        <w:t>REFERÊNCIAS</w:t>
      </w:r>
    </w:p>
    <w:p w:rsidR="00D03991" w:rsidRPr="00B74F39" w:rsidRDefault="00D03991" w:rsidP="001E0666">
      <w:pPr>
        <w:autoSpaceDE/>
        <w:autoSpaceDN/>
        <w:spacing w:after="120"/>
        <w:jc w:val="left"/>
        <w:rPr>
          <w:sz w:val="24"/>
        </w:rPr>
      </w:pPr>
    </w:p>
    <w:bookmarkEnd w:id="1"/>
    <w:p w:rsidR="00FE47DF" w:rsidRPr="004209E8" w:rsidRDefault="00FE47DF" w:rsidP="00FE47DF">
      <w:pPr>
        <w:autoSpaceDE/>
        <w:autoSpaceDN/>
        <w:spacing w:after="120"/>
        <w:jc w:val="left"/>
      </w:pPr>
      <w:r w:rsidRPr="004209E8">
        <w:t>BARDHI, Fleura; ECKHARDT, Giana M.</w:t>
      </w:r>
      <w:r w:rsidR="004209E8" w:rsidRPr="004209E8">
        <w:t>.</w:t>
      </w:r>
      <w:r w:rsidRPr="004209E8">
        <w:t xml:space="preserve"> </w:t>
      </w:r>
      <w:r w:rsidRPr="004209E8">
        <w:rPr>
          <w:lang w:val="en-US"/>
        </w:rPr>
        <w:t xml:space="preserve">Liquid Consumption. </w:t>
      </w:r>
      <w:r w:rsidR="00FA65C5" w:rsidRPr="00B22ECB">
        <w:rPr>
          <w:lang w:val="en-US"/>
        </w:rPr>
        <w:t xml:space="preserve">In: </w:t>
      </w:r>
      <w:r w:rsidRPr="00B22ECB">
        <w:rPr>
          <w:i/>
          <w:lang w:val="en-US"/>
        </w:rPr>
        <w:t>Journal of Consumer Research</w:t>
      </w:r>
      <w:r w:rsidRPr="00B22ECB">
        <w:rPr>
          <w:lang w:val="en-US"/>
        </w:rPr>
        <w:t>, v. 44, 2017</w:t>
      </w:r>
      <w:r w:rsidR="00B22ECB" w:rsidRPr="00B22ECB">
        <w:rPr>
          <w:lang w:val="en-US"/>
        </w:rPr>
        <w:t>, p. 582-597</w:t>
      </w:r>
      <w:r w:rsidRPr="00B22ECB">
        <w:rPr>
          <w:lang w:val="en-US"/>
        </w:rPr>
        <w:t>.</w:t>
      </w:r>
      <w:r w:rsidR="00B22ECB" w:rsidRPr="00B22ECB">
        <w:rPr>
          <w:lang w:val="en-US"/>
        </w:rPr>
        <w:t xml:space="preserve"> </w:t>
      </w:r>
      <w:r w:rsidRPr="004209E8">
        <w:t>DOI 10.1093/jcr/ucx050.</w:t>
      </w:r>
    </w:p>
    <w:p w:rsidR="00FE47DF" w:rsidRPr="004209E8" w:rsidRDefault="00FE47DF" w:rsidP="00FE47DF">
      <w:pPr>
        <w:autoSpaceDE/>
        <w:autoSpaceDN/>
        <w:spacing w:after="120"/>
        <w:jc w:val="left"/>
        <w:rPr>
          <w:lang w:val="en-US"/>
        </w:rPr>
      </w:pPr>
      <w:r>
        <w:t xml:space="preserve">BAUMAN, Zygmunt. </w:t>
      </w:r>
      <w:r w:rsidRPr="00FA65C5">
        <w:rPr>
          <w:i/>
        </w:rPr>
        <w:t>Vida para consumo</w:t>
      </w:r>
      <w:r>
        <w:t xml:space="preserve">: a transformação das pessoas em mercadorias. </w:t>
      </w:r>
      <w:r w:rsidRPr="004209E8">
        <w:rPr>
          <w:lang w:val="en-US"/>
        </w:rPr>
        <w:t>Tradução: Carlos Alberto Medeiros. Rio de Janeiro: Jorge Zahar, 2008.</w:t>
      </w:r>
    </w:p>
    <w:p w:rsidR="00FE47DF" w:rsidRPr="00FA65C5" w:rsidRDefault="00FE47DF" w:rsidP="00FE47DF">
      <w:pPr>
        <w:autoSpaceDE/>
        <w:autoSpaceDN/>
        <w:spacing w:after="120"/>
        <w:jc w:val="left"/>
        <w:rPr>
          <w:lang w:val="en-US"/>
        </w:rPr>
      </w:pPr>
      <w:r w:rsidRPr="003A1E40">
        <w:rPr>
          <w:lang w:val="en-US"/>
        </w:rPr>
        <w:t xml:space="preserve">BORLIZZI, Andrea; DELGROSSIB, Mauro Eduardo; CAFIEROA, Carlo. </w:t>
      </w:r>
      <w:r w:rsidRPr="00FE47DF">
        <w:rPr>
          <w:lang w:val="en-US"/>
        </w:rPr>
        <w:t xml:space="preserve">National food security assessment through the analysis of food consumption data from Household Consumption and </w:t>
      </w:r>
      <w:r w:rsidRPr="00FE47DF">
        <w:rPr>
          <w:lang w:val="en-US"/>
        </w:rPr>
        <w:lastRenderedPageBreak/>
        <w:t>Expenditure Surveys: the case of Brazil’s Pesquisa de Orçamento</w:t>
      </w:r>
      <w:r w:rsidR="004209E8">
        <w:rPr>
          <w:lang w:val="en-US"/>
        </w:rPr>
        <w:t>s</w:t>
      </w:r>
      <w:r w:rsidRPr="00FE47DF">
        <w:rPr>
          <w:lang w:val="en-US"/>
        </w:rPr>
        <w:t xml:space="preserve"> Familiares 2008/09. </w:t>
      </w:r>
      <w:r w:rsidR="00FA65C5">
        <w:rPr>
          <w:lang w:val="en-US"/>
        </w:rPr>
        <w:t xml:space="preserve">In: </w:t>
      </w:r>
      <w:r w:rsidRPr="00FA65C5">
        <w:rPr>
          <w:i/>
          <w:lang w:val="en-US"/>
        </w:rPr>
        <w:t>Food Policy</w:t>
      </w:r>
      <w:r w:rsidRPr="00FA65C5">
        <w:rPr>
          <w:lang w:val="en-US"/>
        </w:rPr>
        <w:t>, 2017</w:t>
      </w:r>
      <w:r w:rsidR="00821A9C">
        <w:rPr>
          <w:lang w:val="en-US"/>
        </w:rPr>
        <w:t>,</w:t>
      </w:r>
      <w:r w:rsidR="00821A9C" w:rsidRPr="00821A9C">
        <w:rPr>
          <w:lang w:val="en-US"/>
        </w:rPr>
        <w:t xml:space="preserve"> </w:t>
      </w:r>
      <w:r w:rsidR="00821A9C" w:rsidRPr="00B22ECB">
        <w:rPr>
          <w:lang w:val="en-US"/>
        </w:rPr>
        <w:t xml:space="preserve">p. </w:t>
      </w:r>
      <w:r w:rsidR="00821A9C">
        <w:rPr>
          <w:lang w:val="en-US"/>
        </w:rPr>
        <w:t xml:space="preserve">20-26. </w:t>
      </w:r>
      <w:r w:rsidRPr="00FA65C5">
        <w:rPr>
          <w:lang w:val="en-US"/>
        </w:rPr>
        <w:t xml:space="preserve">DOI: </w:t>
      </w:r>
      <w:bookmarkStart w:id="2" w:name="_GoBack"/>
      <w:bookmarkEnd w:id="2"/>
      <w:r w:rsidRPr="00FA65C5">
        <w:rPr>
          <w:lang w:val="en-US"/>
        </w:rPr>
        <w:t>http://dx.doi.org/10.1016/j.foodpol.2017.08.009</w:t>
      </w:r>
      <w:r w:rsidR="00821A9C">
        <w:rPr>
          <w:lang w:val="en-US"/>
        </w:rPr>
        <w:t>.</w:t>
      </w:r>
    </w:p>
    <w:p w:rsidR="00FE47DF" w:rsidRDefault="00FE47DF" w:rsidP="00FE47DF">
      <w:pPr>
        <w:autoSpaceDE/>
        <w:autoSpaceDN/>
        <w:spacing w:after="120"/>
        <w:jc w:val="left"/>
      </w:pPr>
      <w:r>
        <w:t xml:space="preserve">CRESWELL, J. W. </w:t>
      </w:r>
      <w:r w:rsidRPr="00FA65C5">
        <w:rPr>
          <w:i/>
        </w:rPr>
        <w:t>Projeto de Pesquisa</w:t>
      </w:r>
      <w:r>
        <w:t>: métodos qualitativo, quantitativo e misto. Tradução: Luciana de Oliveira da Rocha. 2. ed.. Porto Alegre: Artmed, 2007</w:t>
      </w:r>
      <w:r w:rsidR="00E05068">
        <w:t>, 247 p..</w:t>
      </w:r>
    </w:p>
    <w:p w:rsidR="00FE47DF" w:rsidRDefault="00FE47DF" w:rsidP="00FE47DF">
      <w:pPr>
        <w:autoSpaceDE/>
        <w:autoSpaceDN/>
        <w:spacing w:after="120"/>
        <w:jc w:val="left"/>
      </w:pPr>
      <w:r>
        <w:t xml:space="preserve">INSTITUTO BRASILEIRO DE GEOGRAFIA E ESTATÍSTICA (IBGE). </w:t>
      </w:r>
      <w:r w:rsidRPr="00FA65C5">
        <w:rPr>
          <w:i/>
        </w:rPr>
        <w:t>Pesquisa de orçamentos familiares 2017-2018</w:t>
      </w:r>
      <w:r>
        <w:t>: primeiros resultados / IBGE, Coordenação de Trabalho e Rendimento. Rio de Janeiro: IBGE, 2019. 69 p. Disponível em: https://biblioteca.ibge.gov.br/index.php/biblioteca-catalogo?view=detalhes&amp;id=2101670. Acesso em: 15 fev. 2020.</w:t>
      </w:r>
    </w:p>
    <w:p w:rsidR="00FE47DF" w:rsidRPr="00FE47DF" w:rsidRDefault="00FE47DF" w:rsidP="00FE47DF">
      <w:pPr>
        <w:autoSpaceDE/>
        <w:autoSpaceDN/>
        <w:spacing w:after="120"/>
        <w:jc w:val="left"/>
        <w:rPr>
          <w:lang w:val="en-US"/>
        </w:rPr>
      </w:pPr>
      <w:r>
        <w:t xml:space="preserve">PÁDUA, Elisabete M. M. de. </w:t>
      </w:r>
      <w:r w:rsidRPr="00FA65C5">
        <w:rPr>
          <w:i/>
        </w:rPr>
        <w:t>O trabalho monográfico como iniciação à pesquisa científica</w:t>
      </w:r>
      <w:r>
        <w:t xml:space="preserve">. In: CARVALHO, Maria Cecília M. de. (org.). Construindo o saber: metodologia científica, fundamentos e técnicas. </w:t>
      </w:r>
      <w:r w:rsidRPr="00FE47DF">
        <w:rPr>
          <w:lang w:val="en-US"/>
        </w:rPr>
        <w:t>20. ed. Campinas: Papirus, 2009. p. 147-169.</w:t>
      </w:r>
    </w:p>
    <w:p w:rsidR="00FE47DF" w:rsidRPr="00FE47DF" w:rsidRDefault="00FE47DF" w:rsidP="00FE47DF">
      <w:pPr>
        <w:autoSpaceDE/>
        <w:autoSpaceDN/>
        <w:spacing w:after="120"/>
        <w:jc w:val="left"/>
        <w:rPr>
          <w:lang w:val="en-US"/>
        </w:rPr>
      </w:pPr>
      <w:r w:rsidRPr="00FE47DF">
        <w:rPr>
          <w:lang w:val="en-US"/>
        </w:rPr>
        <w:t xml:space="preserve">PATERSON, Mark. </w:t>
      </w:r>
      <w:r w:rsidRPr="00FA65C5">
        <w:rPr>
          <w:i/>
          <w:lang w:val="en-US"/>
        </w:rPr>
        <w:t>Consumption and everyday life</w:t>
      </w:r>
      <w:r w:rsidRPr="00FE47DF">
        <w:rPr>
          <w:lang w:val="en-US"/>
        </w:rPr>
        <w:t>. London: Routledge, 2006. 252 p.</w:t>
      </w:r>
    </w:p>
    <w:p w:rsidR="00FE47DF" w:rsidRPr="003A1E40" w:rsidRDefault="00FE47DF" w:rsidP="00FE47DF">
      <w:pPr>
        <w:autoSpaceDE/>
        <w:autoSpaceDN/>
        <w:spacing w:after="120"/>
        <w:jc w:val="left"/>
        <w:rPr>
          <w:lang w:val="en-US"/>
        </w:rPr>
      </w:pPr>
      <w:r w:rsidRPr="00FE47DF">
        <w:rPr>
          <w:lang w:val="en-US"/>
        </w:rPr>
        <w:t xml:space="preserve">QUOQUAB, Farzana; MOHAMMAD, Jihad. Sustainable Consumption: sacrificing for the future. </w:t>
      </w:r>
      <w:r w:rsidR="00FA65C5">
        <w:rPr>
          <w:lang w:val="en-US"/>
        </w:rPr>
        <w:t xml:space="preserve">In: </w:t>
      </w:r>
      <w:r w:rsidRPr="003A1E40">
        <w:rPr>
          <w:i/>
          <w:lang w:val="en-US"/>
        </w:rPr>
        <w:t>Procedia – Social and Behavioral Sciences</w:t>
      </w:r>
      <w:r w:rsidRPr="003A1E40">
        <w:rPr>
          <w:lang w:val="en-US"/>
        </w:rPr>
        <w:t>, n. 224, 2016. p. 599-604.</w:t>
      </w:r>
    </w:p>
    <w:p w:rsidR="00FE47DF" w:rsidRDefault="00FE47DF" w:rsidP="00FE47DF">
      <w:pPr>
        <w:autoSpaceDE/>
        <w:autoSpaceDN/>
        <w:spacing w:after="120"/>
        <w:jc w:val="left"/>
      </w:pPr>
      <w:r w:rsidRPr="004209E8">
        <w:t xml:space="preserve">SANTOS, Milton. </w:t>
      </w:r>
      <w:r w:rsidRPr="00FA65C5">
        <w:rPr>
          <w:i/>
        </w:rPr>
        <w:t>Por uma outra globalização</w:t>
      </w:r>
      <w:r>
        <w:t>: do pensamento único à consciência universal. 10. ed.. Rio de Janeiro: Record, 2003. 85 p.</w:t>
      </w:r>
    </w:p>
    <w:p w:rsidR="00FE47DF" w:rsidRDefault="00FE47DF" w:rsidP="00FE47DF">
      <w:pPr>
        <w:autoSpaceDE/>
        <w:autoSpaceDN/>
        <w:spacing w:after="120"/>
        <w:jc w:val="left"/>
      </w:pPr>
      <w:r>
        <w:t xml:space="preserve">SILVA, E. L.; MENEZES, E. M. </w:t>
      </w:r>
      <w:r w:rsidRPr="00FA65C5">
        <w:rPr>
          <w:i/>
        </w:rPr>
        <w:t>Metodologia da pesquisa e elaboração de dissertação</w:t>
      </w:r>
      <w:r>
        <w:t>. 4. ed.. Florianópolis: UFSC, 2005</w:t>
      </w:r>
      <w:r w:rsidR="00BC283F">
        <w:t>, 138 p..</w:t>
      </w:r>
    </w:p>
    <w:p w:rsidR="00FE47DF" w:rsidRDefault="00FE47DF" w:rsidP="00FE47DF">
      <w:pPr>
        <w:autoSpaceDE/>
        <w:autoSpaceDN/>
        <w:spacing w:after="120"/>
        <w:jc w:val="left"/>
      </w:pPr>
      <w:r>
        <w:t xml:space="preserve">SILVA, Frederico Barbosa da; ARAÚJO, Herton Ellery; SOUZA, André Luis. </w:t>
      </w:r>
      <w:r w:rsidRPr="00FA65C5">
        <w:rPr>
          <w:i/>
        </w:rPr>
        <w:t>O consumo cultural das famílias brasileiras</w:t>
      </w:r>
      <w:r>
        <w:t>. In: SILVEIRA, Fernando Gaiger et al. (org.). Gasto e consumo das famílias brasileiras contemporâneas. Brasília: Ipea, 2007. v. 2, 552 p. Disponível em: https://www.ipea.gov.br/portal/images/stories/PDFs/livros/Livro_completo2.pdf. Acesso em: 15 fev. 2020.</w:t>
      </w:r>
    </w:p>
    <w:p w:rsidR="00D03991" w:rsidRPr="00AF1A6E" w:rsidRDefault="00FE47DF" w:rsidP="00FE47DF">
      <w:pPr>
        <w:autoSpaceDE/>
        <w:autoSpaceDN/>
        <w:spacing w:after="120"/>
        <w:jc w:val="left"/>
        <w:rPr>
          <w:lang w:val="en-US"/>
        </w:rPr>
      </w:pPr>
      <w:r>
        <w:t xml:space="preserve">TORRES, Ana. Pós-modernidade e consumo: desafios ao neo-marketing. </w:t>
      </w:r>
      <w:r w:rsidR="00FA65C5" w:rsidRPr="00AF1A6E">
        <w:rPr>
          <w:lang w:val="en-US"/>
        </w:rPr>
        <w:t xml:space="preserve">In: </w:t>
      </w:r>
      <w:r w:rsidRPr="00AF1A6E">
        <w:rPr>
          <w:i/>
          <w:lang w:val="en-US"/>
        </w:rPr>
        <w:t>European Journal of Applied Business Management</w:t>
      </w:r>
      <w:r w:rsidRPr="00AF1A6E">
        <w:rPr>
          <w:lang w:val="en-US"/>
        </w:rPr>
        <w:t xml:space="preserve">, </w:t>
      </w:r>
      <w:r w:rsidR="00AF1A6E" w:rsidRPr="00AF1A6E">
        <w:rPr>
          <w:lang w:val="en-US"/>
        </w:rPr>
        <w:t xml:space="preserve">v. 2, n. </w:t>
      </w:r>
      <w:r w:rsidR="00AF1A6E">
        <w:rPr>
          <w:lang w:val="en-US"/>
        </w:rPr>
        <w:t xml:space="preserve">1, </w:t>
      </w:r>
      <w:r w:rsidRPr="00AF1A6E">
        <w:rPr>
          <w:lang w:val="en-US"/>
        </w:rPr>
        <w:t>201</w:t>
      </w:r>
      <w:r w:rsidR="00AF1A6E">
        <w:rPr>
          <w:lang w:val="en-US"/>
        </w:rPr>
        <w:t xml:space="preserve">6, </w:t>
      </w:r>
      <w:r w:rsidRPr="00AF1A6E">
        <w:rPr>
          <w:lang w:val="en-US"/>
        </w:rPr>
        <w:t>17 p.</w:t>
      </w:r>
    </w:p>
    <w:sectPr w:rsidR="00D03991" w:rsidRPr="00AF1A6E" w:rsidSect="002C426D">
      <w:headerReference w:type="default" r:id="rId8"/>
      <w:footerReference w:type="even" r:id="rId9"/>
      <w:footerReference w:type="default" r:id="rId10"/>
      <w:headerReference w:type="first" r:id="rId11"/>
      <w:footerReference w:type="first" r:id="rId12"/>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116" w:rsidRDefault="00710116">
      <w:r>
        <w:separator/>
      </w:r>
    </w:p>
  </w:endnote>
  <w:endnote w:type="continuationSeparator" w:id="0">
    <w:p w:rsidR="00710116" w:rsidRDefault="0071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AF" w:rsidRDefault="002F29AF">
    <w:pPr>
      <w:pStyle w:val="Piedepgina"/>
      <w:jc w:val="right"/>
    </w:pPr>
    <w:r>
      <w:fldChar w:fldCharType="begin"/>
    </w:r>
    <w:r>
      <w:instrText>PAGE   \* MERGEFORMAT</w:instrText>
    </w:r>
    <w:r>
      <w:fldChar w:fldCharType="separate"/>
    </w:r>
    <w:r>
      <w:rPr>
        <w:noProof/>
      </w:rPr>
      <w:t>2</w:t>
    </w:r>
    <w:r>
      <w:rPr>
        <w:noProof/>
      </w:rPr>
      <w:fldChar w:fldCharType="end"/>
    </w:r>
  </w:p>
  <w:p w:rsidR="002F29AF" w:rsidRDefault="002F29A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AF" w:rsidRPr="00BC7195" w:rsidRDefault="002F29AF">
    <w:pPr>
      <w:pStyle w:val="Piedepgina"/>
    </w:pPr>
    <w:r>
      <w:rPr>
        <w:noProof/>
      </w:rPr>
      <w:drawing>
        <wp:anchor distT="0" distB="0" distL="114300" distR="114300" simplePos="0" relativeHeight="251668480" behindDoc="0" locked="0" layoutInCell="1" allowOverlap="1" wp14:anchorId="02B0F0C9" wp14:editId="59120737">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3ABABAA" wp14:editId="0BE56BB5">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7B61B526" wp14:editId="6E6F6E0F">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9AF" w:rsidRPr="001E0AF0" w:rsidRDefault="002F29AF" w:rsidP="002C426D">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2C426D" w:rsidRPr="001E0AF0" w:rsidRDefault="002C426D" w:rsidP="002C426D">
                    <w:pPr>
                      <w:rPr>
                        <w:b/>
                      </w:rPr>
                    </w:pPr>
                    <w:r>
                      <w:rPr>
                        <w:b/>
                      </w:rPr>
                      <w:t>Apoio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3DE2E02" wp14:editId="3D97E69B">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9AF" w:rsidRPr="001E0AF0" w:rsidRDefault="002F29AF">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2C426D" w:rsidRPr="001E0AF0" w:rsidRDefault="002C426D">
                    <w:pPr>
                      <w:rPr>
                        <w:b/>
                      </w:rPr>
                    </w:pPr>
                    <w:r w:rsidRPr="001E0AF0">
                      <w:rPr>
                        <w:b/>
                      </w:rPr>
                      <w:t>Realização</w:t>
                    </w:r>
                  </w:p>
                </w:txbxContent>
              </v:textbox>
            </v:shape>
          </w:pict>
        </mc:Fallback>
      </mc:AlternateContent>
    </w:r>
  </w:p>
  <w:p w:rsidR="002F29AF" w:rsidRDefault="002F29AF">
    <w:pPr>
      <w:pStyle w:val="Piedepgina"/>
    </w:pPr>
    <w:r>
      <w:rPr>
        <w:noProof/>
      </w:rPr>
      <w:drawing>
        <wp:anchor distT="0" distB="0" distL="114300" distR="114300" simplePos="0" relativeHeight="251669504" behindDoc="0" locked="0" layoutInCell="1" allowOverlap="1" wp14:anchorId="0776A706" wp14:editId="6DF23511">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AF" w:rsidRDefault="002F29AF" w:rsidP="002C426D">
    <w:pPr>
      <w:pStyle w:val="Piedepgina"/>
      <w:jc w:val="center"/>
    </w:pPr>
    <w:r>
      <w:t xml:space="preserve">II CONINTER – Congresso Internacional Interdisciplinar em Sociais e Humanidades </w:t>
    </w:r>
  </w:p>
  <w:p w:rsidR="002F29AF" w:rsidRDefault="002F29AF" w:rsidP="002C426D">
    <w:pPr>
      <w:pStyle w:val="Piedepgina"/>
      <w:jc w:val="center"/>
    </w:pPr>
    <w:r>
      <w:t>Belo Horizonte, de 8 a 11 de outubro de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116" w:rsidRDefault="00710116">
      <w:r>
        <w:separator/>
      </w:r>
    </w:p>
  </w:footnote>
  <w:footnote w:type="continuationSeparator" w:id="0">
    <w:p w:rsidR="00710116" w:rsidRDefault="00710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AF" w:rsidRDefault="002F29AF" w:rsidP="000C3153">
    <w:pPr>
      <w:pStyle w:val="Encabezado"/>
      <w:jc w:val="right"/>
    </w:pPr>
    <w:r>
      <w:rPr>
        <w:noProof/>
      </w:rPr>
      <w:drawing>
        <wp:inline distT="0" distB="0" distL="0" distR="0" wp14:anchorId="7F719E67" wp14:editId="44D6E235">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AF" w:rsidRDefault="002F29AF">
    <w:pPr>
      <w:pStyle w:val="Encabezado"/>
      <w:jc w:val="right"/>
    </w:pPr>
    <w:r>
      <w:rPr>
        <w:noProof/>
      </w:rPr>
      <w:drawing>
        <wp:anchor distT="0" distB="0" distL="114300" distR="114300" simplePos="0" relativeHeight="251660288" behindDoc="0" locked="0" layoutInCell="1" allowOverlap="1" wp14:anchorId="7FEACD99" wp14:editId="6DDE7385">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2F29AF" w:rsidRPr="00447739" w:rsidRDefault="002F29AF" w:rsidP="002C426D">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219533F"/>
    <w:multiLevelType w:val="multilevel"/>
    <w:tmpl w:val="E0023060"/>
    <w:lvl w:ilvl="0">
      <w:start w:val="3"/>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nsid w:val="5828379C"/>
    <w:multiLevelType w:val="multilevel"/>
    <w:tmpl w:val="504832C8"/>
    <w:lvl w:ilvl="0">
      <w:start w:val="3"/>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nsid w:val="6D604037"/>
    <w:multiLevelType w:val="multilevel"/>
    <w:tmpl w:val="5C08F39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79"/>
    <w:rsid w:val="0003030D"/>
    <w:rsid w:val="000858CA"/>
    <w:rsid w:val="00094FA9"/>
    <w:rsid w:val="000C3153"/>
    <w:rsid w:val="000E0DE7"/>
    <w:rsid w:val="000E6DA7"/>
    <w:rsid w:val="00106C6C"/>
    <w:rsid w:val="00123B99"/>
    <w:rsid w:val="00137055"/>
    <w:rsid w:val="00172E98"/>
    <w:rsid w:val="00195511"/>
    <w:rsid w:val="001E0666"/>
    <w:rsid w:val="001E428C"/>
    <w:rsid w:val="001E79CC"/>
    <w:rsid w:val="001F059A"/>
    <w:rsid w:val="0020648D"/>
    <w:rsid w:val="0020680B"/>
    <w:rsid w:val="00260E22"/>
    <w:rsid w:val="0027375B"/>
    <w:rsid w:val="00274764"/>
    <w:rsid w:val="00292221"/>
    <w:rsid w:val="002A0354"/>
    <w:rsid w:val="002C426D"/>
    <w:rsid w:val="002F29AF"/>
    <w:rsid w:val="002F639E"/>
    <w:rsid w:val="00321EB6"/>
    <w:rsid w:val="0035318C"/>
    <w:rsid w:val="003A1E40"/>
    <w:rsid w:val="003A2582"/>
    <w:rsid w:val="003A55FD"/>
    <w:rsid w:val="003B0693"/>
    <w:rsid w:val="003B5245"/>
    <w:rsid w:val="003C4336"/>
    <w:rsid w:val="003E140B"/>
    <w:rsid w:val="004209E8"/>
    <w:rsid w:val="004465BD"/>
    <w:rsid w:val="00464505"/>
    <w:rsid w:val="004D1C01"/>
    <w:rsid w:val="004F3602"/>
    <w:rsid w:val="00525953"/>
    <w:rsid w:val="00527878"/>
    <w:rsid w:val="005409DD"/>
    <w:rsid w:val="00565168"/>
    <w:rsid w:val="00586709"/>
    <w:rsid w:val="00596B11"/>
    <w:rsid w:val="005E7664"/>
    <w:rsid w:val="005F5263"/>
    <w:rsid w:val="0060457C"/>
    <w:rsid w:val="006204FF"/>
    <w:rsid w:val="00635A7C"/>
    <w:rsid w:val="00683D0C"/>
    <w:rsid w:val="0068594A"/>
    <w:rsid w:val="00686B79"/>
    <w:rsid w:val="00687EA9"/>
    <w:rsid w:val="006A14B7"/>
    <w:rsid w:val="006F2D8D"/>
    <w:rsid w:val="006F6A84"/>
    <w:rsid w:val="00710116"/>
    <w:rsid w:val="0071066D"/>
    <w:rsid w:val="007435AB"/>
    <w:rsid w:val="00750685"/>
    <w:rsid w:val="00752988"/>
    <w:rsid w:val="007624B3"/>
    <w:rsid w:val="007D1B51"/>
    <w:rsid w:val="00802913"/>
    <w:rsid w:val="0082067A"/>
    <w:rsid w:val="00821A9C"/>
    <w:rsid w:val="00822E3B"/>
    <w:rsid w:val="00837773"/>
    <w:rsid w:val="00862A6B"/>
    <w:rsid w:val="00892469"/>
    <w:rsid w:val="00896E3D"/>
    <w:rsid w:val="008B241D"/>
    <w:rsid w:val="008B353E"/>
    <w:rsid w:val="00910E55"/>
    <w:rsid w:val="00934EB1"/>
    <w:rsid w:val="009B057C"/>
    <w:rsid w:val="009C4554"/>
    <w:rsid w:val="009D271C"/>
    <w:rsid w:val="009E0BF1"/>
    <w:rsid w:val="009E1CAE"/>
    <w:rsid w:val="00A1462B"/>
    <w:rsid w:val="00A16292"/>
    <w:rsid w:val="00AA1FF1"/>
    <w:rsid w:val="00AA3599"/>
    <w:rsid w:val="00AB1213"/>
    <w:rsid w:val="00AD2110"/>
    <w:rsid w:val="00AF1A6E"/>
    <w:rsid w:val="00AF63AD"/>
    <w:rsid w:val="00B00B8C"/>
    <w:rsid w:val="00B06445"/>
    <w:rsid w:val="00B07545"/>
    <w:rsid w:val="00B22ECB"/>
    <w:rsid w:val="00B44325"/>
    <w:rsid w:val="00B5371D"/>
    <w:rsid w:val="00B74F39"/>
    <w:rsid w:val="00BB6D23"/>
    <w:rsid w:val="00BC283F"/>
    <w:rsid w:val="00BD5CE6"/>
    <w:rsid w:val="00C13EAD"/>
    <w:rsid w:val="00C33259"/>
    <w:rsid w:val="00C40EF8"/>
    <w:rsid w:val="00C541EE"/>
    <w:rsid w:val="00C6252B"/>
    <w:rsid w:val="00C62CEE"/>
    <w:rsid w:val="00C66310"/>
    <w:rsid w:val="00CA62F5"/>
    <w:rsid w:val="00CE0D74"/>
    <w:rsid w:val="00D03991"/>
    <w:rsid w:val="00D1386A"/>
    <w:rsid w:val="00D544B4"/>
    <w:rsid w:val="00DC264E"/>
    <w:rsid w:val="00DF3767"/>
    <w:rsid w:val="00E05068"/>
    <w:rsid w:val="00E218E7"/>
    <w:rsid w:val="00E2704E"/>
    <w:rsid w:val="00E47475"/>
    <w:rsid w:val="00E535CB"/>
    <w:rsid w:val="00E83112"/>
    <w:rsid w:val="00E87022"/>
    <w:rsid w:val="00EA74D8"/>
    <w:rsid w:val="00ED0FB6"/>
    <w:rsid w:val="00F55FDE"/>
    <w:rsid w:val="00F66BD5"/>
    <w:rsid w:val="00F824E1"/>
    <w:rsid w:val="00FA06BD"/>
    <w:rsid w:val="00FA65C5"/>
    <w:rsid w:val="00FB1717"/>
    <w:rsid w:val="00FE47DF"/>
    <w:rsid w:val="00FF71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86B79"/>
    <w:pPr>
      <w:tabs>
        <w:tab w:val="center" w:pos="4419"/>
        <w:tab w:val="right" w:pos="8838"/>
      </w:tabs>
    </w:pPr>
  </w:style>
  <w:style w:type="character" w:customStyle="1" w:styleId="EncabezadoCar">
    <w:name w:val="Encabezado Car"/>
    <w:basedOn w:val="Fuentedeprrafopredeter"/>
    <w:link w:val="Encabezado"/>
    <w:uiPriority w:val="99"/>
    <w:rsid w:val="00686B79"/>
    <w:rPr>
      <w:rFonts w:ascii="Arial" w:eastAsia="MS Mincho" w:hAnsi="Arial" w:cs="Times New Roman"/>
      <w:sz w:val="20"/>
      <w:szCs w:val="20"/>
      <w:lang w:eastAsia="pt-BR"/>
    </w:rPr>
  </w:style>
  <w:style w:type="paragraph" w:styleId="Piedepgina">
    <w:name w:val="footer"/>
    <w:basedOn w:val="Normal"/>
    <w:link w:val="PiedepginaCar"/>
    <w:uiPriority w:val="99"/>
    <w:rsid w:val="00686B79"/>
    <w:pPr>
      <w:tabs>
        <w:tab w:val="center" w:pos="4419"/>
        <w:tab w:val="right" w:pos="8838"/>
      </w:tabs>
    </w:pPr>
  </w:style>
  <w:style w:type="character" w:customStyle="1" w:styleId="PiedepginaCar">
    <w:name w:val="Pie de página Car"/>
    <w:basedOn w:val="Fuentedeprrafopredeter"/>
    <w:link w:val="Piedepgina"/>
    <w:uiPriority w:val="99"/>
    <w:rsid w:val="00686B79"/>
    <w:rPr>
      <w:rFonts w:ascii="Arial" w:eastAsia="MS Mincho" w:hAnsi="Arial" w:cs="Times New Roman"/>
      <w:sz w:val="20"/>
      <w:szCs w:val="20"/>
      <w:lang w:eastAsia="pt-BR"/>
    </w:rPr>
  </w:style>
  <w:style w:type="character" w:styleId="Textoennegrita">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ipervnculo">
    <w:name w:val="Hyperlink"/>
    <w:basedOn w:val="Fuentedeprrafopredeter"/>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ar"/>
    <w:qFormat/>
    <w:rsid w:val="00686B79"/>
    <w:pPr>
      <w:spacing w:line="360" w:lineRule="auto"/>
      <w:jc w:val="center"/>
      <w:outlineLvl w:val="0"/>
    </w:pPr>
    <w:rPr>
      <w:rFonts w:eastAsia="Times New Roman"/>
      <w:b/>
      <w:bCs/>
      <w:caps/>
      <w:kern w:val="28"/>
      <w:sz w:val="28"/>
      <w:szCs w:val="32"/>
    </w:rPr>
  </w:style>
  <w:style w:type="character" w:customStyle="1" w:styleId="TtuloCar">
    <w:name w:val="Título Car"/>
    <w:basedOn w:val="Fuentedeprrafopredeter"/>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ar"/>
    <w:qFormat/>
    <w:rsid w:val="00686B79"/>
    <w:pPr>
      <w:ind w:left="2268"/>
    </w:pPr>
    <w:rPr>
      <w:rFonts w:eastAsia="Times New Roman"/>
      <w:szCs w:val="24"/>
    </w:rPr>
  </w:style>
  <w:style w:type="character" w:customStyle="1" w:styleId="SubttuloCar">
    <w:name w:val="Subtítulo Car"/>
    <w:aliases w:val="Citação Direta Car"/>
    <w:basedOn w:val="Fuentedeprrafopredeter"/>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inespaciad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globo">
    <w:name w:val="Balloon Text"/>
    <w:basedOn w:val="Normal"/>
    <w:link w:val="TextodegloboCar"/>
    <w:uiPriority w:val="99"/>
    <w:semiHidden/>
    <w:unhideWhenUsed/>
    <w:rsid w:val="000C3153"/>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153"/>
    <w:rPr>
      <w:rFonts w:ascii="Tahoma" w:eastAsia="MS Mincho" w:hAnsi="Tahoma" w:cs="Tahoma"/>
      <w:sz w:val="16"/>
      <w:szCs w:val="16"/>
      <w:lang w:eastAsia="pt-BR"/>
    </w:rPr>
  </w:style>
  <w:style w:type="paragraph" w:styleId="Prrafodelista">
    <w:name w:val="List Paragraph"/>
    <w:basedOn w:val="Normal"/>
    <w:uiPriority w:val="34"/>
    <w:qFormat/>
    <w:rsid w:val="00752988"/>
    <w:pPr>
      <w:ind w:left="720"/>
      <w:contextualSpacing/>
    </w:pPr>
  </w:style>
  <w:style w:type="character" w:customStyle="1" w:styleId="tlid-translation">
    <w:name w:val="tlid-translation"/>
    <w:basedOn w:val="Fuentedeprrafopredeter"/>
    <w:rsid w:val="002C426D"/>
  </w:style>
  <w:style w:type="character" w:customStyle="1" w:styleId="alt-edited">
    <w:name w:val="alt-edited"/>
    <w:basedOn w:val="Fuentedeprrafopredeter"/>
    <w:rsid w:val="002C426D"/>
  </w:style>
  <w:style w:type="paragraph" w:styleId="TDC5">
    <w:name w:val="toc 5"/>
    <w:basedOn w:val="Normal"/>
    <w:next w:val="Normal"/>
    <w:autoRedefine/>
    <w:semiHidden/>
    <w:rsid w:val="00F66BD5"/>
    <w:pPr>
      <w:autoSpaceDE/>
      <w:autoSpaceDN/>
      <w:spacing w:line="360" w:lineRule="auto"/>
      <w:ind w:left="880"/>
    </w:pPr>
    <w:rPr>
      <w:rFonts w:eastAsia="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86B79"/>
    <w:pPr>
      <w:tabs>
        <w:tab w:val="center" w:pos="4419"/>
        <w:tab w:val="right" w:pos="8838"/>
      </w:tabs>
    </w:pPr>
  </w:style>
  <w:style w:type="character" w:customStyle="1" w:styleId="EncabezadoCar">
    <w:name w:val="Encabezado Car"/>
    <w:basedOn w:val="Fuentedeprrafopredeter"/>
    <w:link w:val="Encabezado"/>
    <w:uiPriority w:val="99"/>
    <w:rsid w:val="00686B79"/>
    <w:rPr>
      <w:rFonts w:ascii="Arial" w:eastAsia="MS Mincho" w:hAnsi="Arial" w:cs="Times New Roman"/>
      <w:sz w:val="20"/>
      <w:szCs w:val="20"/>
      <w:lang w:eastAsia="pt-BR"/>
    </w:rPr>
  </w:style>
  <w:style w:type="paragraph" w:styleId="Piedepgina">
    <w:name w:val="footer"/>
    <w:basedOn w:val="Normal"/>
    <w:link w:val="PiedepginaCar"/>
    <w:uiPriority w:val="99"/>
    <w:rsid w:val="00686B79"/>
    <w:pPr>
      <w:tabs>
        <w:tab w:val="center" w:pos="4419"/>
        <w:tab w:val="right" w:pos="8838"/>
      </w:tabs>
    </w:pPr>
  </w:style>
  <w:style w:type="character" w:customStyle="1" w:styleId="PiedepginaCar">
    <w:name w:val="Pie de página Car"/>
    <w:basedOn w:val="Fuentedeprrafopredeter"/>
    <w:link w:val="Piedepgina"/>
    <w:uiPriority w:val="99"/>
    <w:rsid w:val="00686B79"/>
    <w:rPr>
      <w:rFonts w:ascii="Arial" w:eastAsia="MS Mincho" w:hAnsi="Arial" w:cs="Times New Roman"/>
      <w:sz w:val="20"/>
      <w:szCs w:val="20"/>
      <w:lang w:eastAsia="pt-BR"/>
    </w:rPr>
  </w:style>
  <w:style w:type="character" w:styleId="Textoennegrita">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ipervnculo">
    <w:name w:val="Hyperlink"/>
    <w:basedOn w:val="Fuentedeprrafopredeter"/>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ar"/>
    <w:qFormat/>
    <w:rsid w:val="00686B79"/>
    <w:pPr>
      <w:spacing w:line="360" w:lineRule="auto"/>
      <w:jc w:val="center"/>
      <w:outlineLvl w:val="0"/>
    </w:pPr>
    <w:rPr>
      <w:rFonts w:eastAsia="Times New Roman"/>
      <w:b/>
      <w:bCs/>
      <w:caps/>
      <w:kern w:val="28"/>
      <w:sz w:val="28"/>
      <w:szCs w:val="32"/>
    </w:rPr>
  </w:style>
  <w:style w:type="character" w:customStyle="1" w:styleId="TtuloCar">
    <w:name w:val="Título Car"/>
    <w:basedOn w:val="Fuentedeprrafopredeter"/>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ar"/>
    <w:qFormat/>
    <w:rsid w:val="00686B79"/>
    <w:pPr>
      <w:ind w:left="2268"/>
    </w:pPr>
    <w:rPr>
      <w:rFonts w:eastAsia="Times New Roman"/>
      <w:szCs w:val="24"/>
    </w:rPr>
  </w:style>
  <w:style w:type="character" w:customStyle="1" w:styleId="SubttuloCar">
    <w:name w:val="Subtítulo Car"/>
    <w:aliases w:val="Citação Direta Car"/>
    <w:basedOn w:val="Fuentedeprrafopredeter"/>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inespaciad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globo">
    <w:name w:val="Balloon Text"/>
    <w:basedOn w:val="Normal"/>
    <w:link w:val="TextodegloboCar"/>
    <w:uiPriority w:val="99"/>
    <w:semiHidden/>
    <w:unhideWhenUsed/>
    <w:rsid w:val="000C3153"/>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153"/>
    <w:rPr>
      <w:rFonts w:ascii="Tahoma" w:eastAsia="MS Mincho" w:hAnsi="Tahoma" w:cs="Tahoma"/>
      <w:sz w:val="16"/>
      <w:szCs w:val="16"/>
      <w:lang w:eastAsia="pt-BR"/>
    </w:rPr>
  </w:style>
  <w:style w:type="paragraph" w:styleId="Prrafodelista">
    <w:name w:val="List Paragraph"/>
    <w:basedOn w:val="Normal"/>
    <w:uiPriority w:val="34"/>
    <w:qFormat/>
    <w:rsid w:val="00752988"/>
    <w:pPr>
      <w:ind w:left="720"/>
      <w:contextualSpacing/>
    </w:pPr>
  </w:style>
  <w:style w:type="character" w:customStyle="1" w:styleId="tlid-translation">
    <w:name w:val="tlid-translation"/>
    <w:basedOn w:val="Fuentedeprrafopredeter"/>
    <w:rsid w:val="002C426D"/>
  </w:style>
  <w:style w:type="character" w:customStyle="1" w:styleId="alt-edited">
    <w:name w:val="alt-edited"/>
    <w:basedOn w:val="Fuentedeprrafopredeter"/>
    <w:rsid w:val="002C426D"/>
  </w:style>
  <w:style w:type="paragraph" w:styleId="TDC5">
    <w:name w:val="toc 5"/>
    <w:basedOn w:val="Normal"/>
    <w:next w:val="Normal"/>
    <w:autoRedefine/>
    <w:semiHidden/>
    <w:rsid w:val="00F66BD5"/>
    <w:pPr>
      <w:autoSpaceDE/>
      <w:autoSpaceDN/>
      <w:spacing w:line="360" w:lineRule="auto"/>
      <w:ind w:left="880"/>
    </w:pPr>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5531">
      <w:bodyDiv w:val="1"/>
      <w:marLeft w:val="0"/>
      <w:marRight w:val="0"/>
      <w:marTop w:val="0"/>
      <w:marBottom w:val="0"/>
      <w:divBdr>
        <w:top w:val="none" w:sz="0" w:space="0" w:color="auto"/>
        <w:left w:val="none" w:sz="0" w:space="0" w:color="auto"/>
        <w:bottom w:val="none" w:sz="0" w:space="0" w:color="auto"/>
        <w:right w:val="none" w:sz="0" w:space="0" w:color="auto"/>
      </w:divBdr>
      <w:divsChild>
        <w:div w:id="1849446041">
          <w:marLeft w:val="0"/>
          <w:marRight w:val="0"/>
          <w:marTop w:val="0"/>
          <w:marBottom w:val="0"/>
          <w:divBdr>
            <w:top w:val="none" w:sz="0" w:space="0" w:color="auto"/>
            <w:left w:val="none" w:sz="0" w:space="0" w:color="auto"/>
            <w:bottom w:val="none" w:sz="0" w:space="0" w:color="auto"/>
            <w:right w:val="none" w:sz="0" w:space="0" w:color="auto"/>
          </w:divBdr>
          <w:divsChild>
            <w:div w:id="2029484343">
              <w:marLeft w:val="0"/>
              <w:marRight w:val="0"/>
              <w:marTop w:val="0"/>
              <w:marBottom w:val="0"/>
              <w:divBdr>
                <w:top w:val="none" w:sz="0" w:space="0" w:color="auto"/>
                <w:left w:val="none" w:sz="0" w:space="0" w:color="auto"/>
                <w:bottom w:val="none" w:sz="0" w:space="0" w:color="auto"/>
                <w:right w:val="none" w:sz="0" w:space="0" w:color="auto"/>
              </w:divBdr>
              <w:divsChild>
                <w:div w:id="731999386">
                  <w:marLeft w:val="0"/>
                  <w:marRight w:val="0"/>
                  <w:marTop w:val="0"/>
                  <w:marBottom w:val="0"/>
                  <w:divBdr>
                    <w:top w:val="none" w:sz="0" w:space="0" w:color="auto"/>
                    <w:left w:val="none" w:sz="0" w:space="0" w:color="auto"/>
                    <w:bottom w:val="none" w:sz="0" w:space="0" w:color="auto"/>
                    <w:right w:val="none" w:sz="0" w:space="0" w:color="auto"/>
                  </w:divBdr>
                  <w:divsChild>
                    <w:div w:id="10527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02">
          <w:marLeft w:val="0"/>
          <w:marRight w:val="0"/>
          <w:marTop w:val="0"/>
          <w:marBottom w:val="0"/>
          <w:divBdr>
            <w:top w:val="none" w:sz="0" w:space="0" w:color="auto"/>
            <w:left w:val="none" w:sz="0" w:space="0" w:color="auto"/>
            <w:bottom w:val="none" w:sz="0" w:space="0" w:color="auto"/>
            <w:right w:val="none" w:sz="0" w:space="0" w:color="auto"/>
          </w:divBdr>
          <w:divsChild>
            <w:div w:id="1355694875">
              <w:marLeft w:val="0"/>
              <w:marRight w:val="0"/>
              <w:marTop w:val="0"/>
              <w:marBottom w:val="0"/>
              <w:divBdr>
                <w:top w:val="none" w:sz="0" w:space="0" w:color="auto"/>
                <w:left w:val="none" w:sz="0" w:space="0" w:color="auto"/>
                <w:bottom w:val="none" w:sz="0" w:space="0" w:color="auto"/>
                <w:right w:val="none" w:sz="0" w:space="0" w:color="auto"/>
              </w:divBdr>
            </w:div>
          </w:divsChild>
        </w:div>
        <w:div w:id="1648197544">
          <w:marLeft w:val="0"/>
          <w:marRight w:val="0"/>
          <w:marTop w:val="0"/>
          <w:marBottom w:val="0"/>
          <w:divBdr>
            <w:top w:val="none" w:sz="0" w:space="0" w:color="auto"/>
            <w:left w:val="none" w:sz="0" w:space="0" w:color="auto"/>
            <w:bottom w:val="none" w:sz="0" w:space="0" w:color="auto"/>
            <w:right w:val="none" w:sz="0" w:space="0" w:color="auto"/>
          </w:divBdr>
        </w:div>
      </w:divsChild>
    </w:div>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4240</Words>
  <Characters>22898</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2020-10-16T18:12:00Z</dcterms:created>
  <dcterms:modified xsi:type="dcterms:W3CDTF">2020-10-19T00:40:00Z</dcterms:modified>
</cp:coreProperties>
</file>