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C150DEC" w14:textId="77777777" w:rsidR="00172BE7" w:rsidRDefault="00A52B4A">
      <w:pPr>
        <w:spacing w:after="0" w:line="240" w:lineRule="auto"/>
        <w:jc w:val="center"/>
        <w:rPr>
          <w:rFonts w:ascii="Arial" w:eastAsia="Arial" w:hAnsi="Arial" w:cs="Arial"/>
          <w:b/>
          <w:color w:val="002F3C"/>
          <w:sz w:val="28"/>
          <w:szCs w:val="28"/>
        </w:rPr>
      </w:pPr>
      <w:r>
        <w:rPr>
          <w:rFonts w:ascii="Arial" w:eastAsia="Arial" w:hAnsi="Arial" w:cs="Arial"/>
          <w:b/>
          <w:color w:val="002F3C"/>
          <w:sz w:val="28"/>
          <w:szCs w:val="28"/>
        </w:rPr>
        <w:t>Jogos e brincadeiras: A arte de brincar na Amazônia</w:t>
      </w:r>
    </w:p>
    <w:p w14:paraId="1EC3D5AE" w14:textId="77777777" w:rsidR="00172BE7" w:rsidRDefault="00172BE7">
      <w:pPr>
        <w:spacing w:after="0" w:line="240" w:lineRule="auto"/>
        <w:jc w:val="center"/>
        <w:rPr>
          <w:rFonts w:ascii="Arial" w:eastAsia="Arial" w:hAnsi="Arial" w:cs="Arial"/>
          <w:b/>
          <w:color w:val="002F3C"/>
          <w:sz w:val="20"/>
          <w:szCs w:val="20"/>
        </w:rPr>
      </w:pPr>
    </w:p>
    <w:p w14:paraId="59E925E1" w14:textId="77777777" w:rsidR="00172BE7" w:rsidRDefault="00A52B4A">
      <w:pPr>
        <w:spacing w:after="0" w:line="240" w:lineRule="auto"/>
        <w:ind w:left="2880"/>
        <w:jc w:val="right"/>
        <w:rPr>
          <w:rFonts w:ascii="Arial" w:eastAsia="Arial" w:hAnsi="Arial" w:cs="Arial"/>
          <w:b/>
          <w:color w:val="002F3C"/>
          <w:sz w:val="20"/>
          <w:szCs w:val="20"/>
        </w:rPr>
      </w:pPr>
      <w:r>
        <w:rPr>
          <w:rFonts w:ascii="Arial" w:eastAsia="Arial" w:hAnsi="Arial" w:cs="Arial"/>
          <w:b/>
          <w:color w:val="002F3C"/>
          <w:sz w:val="20"/>
          <w:szCs w:val="20"/>
        </w:rPr>
        <w:t xml:space="preserve">Maria Sônia Souza de Oliveira – UFAM – Doutora – email: </w:t>
      </w:r>
      <w:hyperlink r:id="rId6">
        <w:r>
          <w:rPr>
            <w:rFonts w:ascii="Arial" w:eastAsia="Arial" w:hAnsi="Arial" w:cs="Arial"/>
            <w:b/>
            <w:color w:val="0000FF"/>
            <w:sz w:val="20"/>
            <w:szCs w:val="20"/>
            <w:u w:val="single"/>
          </w:rPr>
          <w:t>mariasonia@ufam.edu.br</w:t>
        </w:r>
      </w:hyperlink>
    </w:p>
    <w:p w14:paraId="605F03BD" w14:textId="77777777" w:rsidR="00172BE7" w:rsidRDefault="00A52B4A">
      <w:pPr>
        <w:spacing w:after="0" w:line="240" w:lineRule="auto"/>
        <w:ind w:left="2880"/>
        <w:jc w:val="right"/>
        <w:rPr>
          <w:rFonts w:ascii="Arial" w:eastAsia="Arial" w:hAnsi="Arial" w:cs="Arial"/>
          <w:b/>
          <w:color w:val="002F3C"/>
          <w:sz w:val="20"/>
          <w:szCs w:val="20"/>
        </w:rPr>
      </w:pPr>
      <w:r>
        <w:rPr>
          <w:rFonts w:ascii="Arial" w:eastAsia="Arial" w:hAnsi="Arial" w:cs="Arial"/>
          <w:b/>
          <w:color w:val="002F3C"/>
          <w:sz w:val="20"/>
          <w:szCs w:val="20"/>
        </w:rPr>
        <w:t>Agnes Vitória Carioca de Oliveira – UFAM – email:</w:t>
      </w:r>
      <w:r>
        <w:t xml:space="preserve"> </w:t>
      </w:r>
      <w:hyperlink r:id="rId7">
        <w:r>
          <w:rPr>
            <w:rFonts w:ascii="Arial" w:eastAsia="Arial" w:hAnsi="Arial" w:cs="Arial"/>
            <w:b/>
            <w:color w:val="0000FF"/>
            <w:sz w:val="20"/>
            <w:szCs w:val="20"/>
            <w:u w:val="single"/>
          </w:rPr>
          <w:t>agnes.oliveira@ufam.edu.br</w:t>
        </w:r>
      </w:hyperlink>
    </w:p>
    <w:p w14:paraId="381F4779" w14:textId="77777777" w:rsidR="00172BE7" w:rsidRDefault="00A52B4A">
      <w:pPr>
        <w:spacing w:after="0" w:line="240" w:lineRule="auto"/>
        <w:ind w:left="2160"/>
        <w:jc w:val="right"/>
        <w:rPr>
          <w:rFonts w:ascii="Arial" w:eastAsia="Arial" w:hAnsi="Arial" w:cs="Arial"/>
          <w:b/>
          <w:color w:val="002F3C"/>
          <w:sz w:val="20"/>
          <w:szCs w:val="20"/>
        </w:rPr>
      </w:pPr>
      <w:r>
        <w:rPr>
          <w:rFonts w:ascii="Arial" w:eastAsia="Arial" w:hAnsi="Arial" w:cs="Arial"/>
          <w:b/>
          <w:color w:val="002F3C"/>
          <w:sz w:val="20"/>
          <w:szCs w:val="20"/>
        </w:rPr>
        <w:t xml:space="preserve">Ana Clara Souza Batista Cardozo – UFAM – email: </w:t>
      </w:r>
      <w:hyperlink r:id="rId8">
        <w:r>
          <w:rPr>
            <w:rFonts w:ascii="Arial" w:eastAsia="Arial" w:hAnsi="Arial" w:cs="Arial"/>
            <w:b/>
            <w:color w:val="0000FF"/>
            <w:sz w:val="20"/>
            <w:szCs w:val="20"/>
            <w:u w:val="single"/>
          </w:rPr>
          <w:t>ana.cardozo@ufam.edu.br</w:t>
        </w:r>
      </w:hyperlink>
    </w:p>
    <w:p w14:paraId="2305B052" w14:textId="77777777" w:rsidR="00172BE7" w:rsidRDefault="00A52B4A">
      <w:pPr>
        <w:spacing w:after="0" w:line="240" w:lineRule="auto"/>
        <w:ind w:left="2160"/>
        <w:jc w:val="right"/>
      </w:pPr>
      <w:r>
        <w:rPr>
          <w:rFonts w:ascii="Arial" w:eastAsia="Arial" w:hAnsi="Arial" w:cs="Arial"/>
          <w:b/>
          <w:color w:val="002F3C"/>
          <w:sz w:val="20"/>
          <w:szCs w:val="20"/>
        </w:rPr>
        <w:t>Emmeny Victoria das Chagas Uchoa – UFAM – email:</w:t>
      </w:r>
      <w:r>
        <w:t xml:space="preserve"> </w:t>
      </w:r>
    </w:p>
    <w:p w14:paraId="2C49F895" w14:textId="77777777" w:rsidR="00172BE7" w:rsidRDefault="00A52B4A">
      <w:pPr>
        <w:spacing w:after="0" w:line="240" w:lineRule="auto"/>
        <w:ind w:left="2160"/>
        <w:jc w:val="right"/>
        <w:rPr>
          <w:rFonts w:ascii="Arial" w:eastAsia="Arial" w:hAnsi="Arial" w:cs="Arial"/>
          <w:b/>
          <w:color w:val="002F3C"/>
          <w:sz w:val="20"/>
          <w:szCs w:val="20"/>
        </w:rPr>
      </w:pPr>
      <w:hyperlink r:id="rId9">
        <w:r>
          <w:rPr>
            <w:rFonts w:ascii="Arial" w:eastAsia="Arial" w:hAnsi="Arial" w:cs="Arial"/>
            <w:b/>
            <w:color w:val="0000FF"/>
            <w:sz w:val="20"/>
            <w:szCs w:val="20"/>
            <w:u w:val="single"/>
          </w:rPr>
          <w:t>emmeny.uchoa@ufam.edu.br</w:t>
        </w:r>
      </w:hyperlink>
    </w:p>
    <w:p w14:paraId="2CD227D9" w14:textId="77777777" w:rsidR="00172BE7" w:rsidRDefault="00A52B4A">
      <w:pPr>
        <w:spacing w:after="0" w:line="240" w:lineRule="auto"/>
        <w:ind w:left="2160"/>
        <w:jc w:val="right"/>
        <w:rPr>
          <w:rFonts w:ascii="Arial" w:eastAsia="Arial" w:hAnsi="Arial" w:cs="Arial"/>
          <w:b/>
          <w:color w:val="002F3C"/>
          <w:sz w:val="20"/>
          <w:szCs w:val="20"/>
        </w:rPr>
      </w:pPr>
      <w:r>
        <w:rPr>
          <w:rFonts w:ascii="Arial" w:eastAsia="Arial" w:hAnsi="Arial" w:cs="Arial"/>
          <w:b/>
          <w:color w:val="002F3C"/>
          <w:sz w:val="20"/>
          <w:szCs w:val="20"/>
        </w:rPr>
        <w:t xml:space="preserve">João Otávio Mendes Albuquerque – UFAM – email: </w:t>
      </w:r>
      <w:hyperlink r:id="rId10">
        <w:r>
          <w:rPr>
            <w:rFonts w:ascii="Arial" w:eastAsia="Arial" w:hAnsi="Arial" w:cs="Arial"/>
            <w:b/>
            <w:color w:val="0000FF"/>
            <w:sz w:val="20"/>
            <w:szCs w:val="20"/>
            <w:u w:val="single"/>
          </w:rPr>
          <w:t>otavio.albuqerque@ufam.edu.br</w:t>
        </w:r>
      </w:hyperlink>
    </w:p>
    <w:p w14:paraId="154F80C2" w14:textId="77777777" w:rsidR="00172BE7" w:rsidRDefault="00172BE7">
      <w:pPr>
        <w:spacing w:after="0" w:line="240" w:lineRule="auto"/>
        <w:ind w:left="2160"/>
        <w:jc w:val="right"/>
        <w:rPr>
          <w:rFonts w:ascii="Arial" w:eastAsia="Arial" w:hAnsi="Arial" w:cs="Arial"/>
          <w:b/>
          <w:color w:val="002F3C"/>
          <w:sz w:val="20"/>
          <w:szCs w:val="20"/>
        </w:rPr>
      </w:pPr>
    </w:p>
    <w:p w14:paraId="260B4C8C" w14:textId="77777777" w:rsidR="00172BE7" w:rsidRDefault="00172BE7">
      <w:pPr>
        <w:spacing w:after="0" w:line="240" w:lineRule="auto"/>
        <w:rPr>
          <w:rFonts w:ascii="Arial" w:eastAsia="Arial" w:hAnsi="Arial" w:cs="Arial"/>
          <w:b/>
          <w:color w:val="002F3C"/>
          <w:sz w:val="20"/>
          <w:szCs w:val="20"/>
        </w:rPr>
      </w:pPr>
    </w:p>
    <w:p w14:paraId="1A8467EF" w14:textId="77777777" w:rsidR="00172BE7" w:rsidRDefault="00A52B4A">
      <w:pPr>
        <w:spacing w:after="0" w:line="240" w:lineRule="auto"/>
        <w:rPr>
          <w:rFonts w:ascii="Arial" w:eastAsia="Arial" w:hAnsi="Arial" w:cs="Arial"/>
          <w:b/>
          <w:color w:val="002F3C"/>
          <w:sz w:val="20"/>
          <w:szCs w:val="20"/>
        </w:rPr>
      </w:pPr>
      <w:r>
        <w:rPr>
          <w:rFonts w:ascii="Arial" w:eastAsia="Arial" w:hAnsi="Arial" w:cs="Arial"/>
          <w:b/>
          <w:color w:val="002F3C"/>
          <w:sz w:val="20"/>
          <w:szCs w:val="20"/>
        </w:rPr>
        <w:t>Eixo 01 - Inovação e Educação: pesquisas sobre as tecnologias em contextos amazônicos: explorar metodologias; processos educativos inovadores; experiências, práticas; tecnologias em espaços educacionais amazônicos.</w:t>
      </w:r>
    </w:p>
    <w:p w14:paraId="649403D4" w14:textId="77777777" w:rsidR="00172BE7" w:rsidRDefault="00172BE7">
      <w:pPr>
        <w:spacing w:after="0" w:line="240" w:lineRule="auto"/>
        <w:rPr>
          <w:rFonts w:ascii="Arial" w:eastAsia="Arial" w:hAnsi="Arial" w:cs="Arial"/>
          <w:b/>
          <w:color w:val="002F3C"/>
          <w:sz w:val="20"/>
          <w:szCs w:val="20"/>
        </w:rPr>
      </w:pPr>
    </w:p>
    <w:p w14:paraId="1D63CB36" w14:textId="77777777" w:rsidR="00172BE7" w:rsidRDefault="00A52B4A">
      <w:pPr>
        <w:spacing w:line="276" w:lineRule="auto"/>
        <w:jc w:val="both"/>
        <w:rPr>
          <w:rFonts w:ascii="Arial" w:eastAsia="Arial" w:hAnsi="Arial" w:cs="Arial"/>
          <w:color w:val="0C343D"/>
        </w:rPr>
      </w:pPr>
      <w:r>
        <w:rPr>
          <w:rFonts w:ascii="Arial" w:eastAsia="Arial" w:hAnsi="Arial" w:cs="Arial"/>
          <w:color w:val="0C343D"/>
        </w:rPr>
        <w:t>Brincar na Amazônia: Uma Jornada Lúdica e Pedagógica no CONAD</w:t>
      </w:r>
    </w:p>
    <w:p w14:paraId="18779F60" w14:textId="77777777" w:rsidR="00172BE7" w:rsidRDefault="00A52B4A">
      <w:pPr>
        <w:spacing w:line="276" w:lineRule="auto"/>
        <w:jc w:val="both"/>
        <w:rPr>
          <w:rFonts w:ascii="Arial" w:eastAsia="Arial" w:hAnsi="Arial" w:cs="Arial"/>
          <w:color w:val="0C343D"/>
        </w:rPr>
      </w:pPr>
      <w:r>
        <w:rPr>
          <w:rFonts w:ascii="Arial" w:eastAsia="Arial" w:hAnsi="Arial" w:cs="Arial"/>
          <w:color w:val="0C343D"/>
        </w:rPr>
        <w:t>O 68º Congresso Nacional de Diretores de Entidades de Ensino - CONAD, sediado na Universidade Federal do Amazonas (UFAM), transformou-se em um vibrante palco para a educação como um ato de descoberta e troca mútua. As atividades lúdicas, orquestradas pelas professoras da Brinquedoteca da Faculdade de Educação, focadas no tema “Jogos e brincadeiras: A arte de brincar na Amazônia”, demonstraram a riqueza da interação entre educadores e a infância. Esta experiência, que superou a mera diversão, consolidou-se como um poderoso campo de aprendizado, impulsionando reflexões sobre os desafios e a beleza da profissão docente, com ênfase no desenvolvimento infantil.</w:t>
      </w:r>
    </w:p>
    <w:p w14:paraId="4029E7AA" w14:textId="77777777" w:rsidR="00172BE7" w:rsidRDefault="00A52B4A">
      <w:pPr>
        <w:spacing w:line="276" w:lineRule="auto"/>
        <w:jc w:val="both"/>
        <w:rPr>
          <w:rFonts w:ascii="Arial" w:eastAsia="Arial" w:hAnsi="Arial" w:cs="Arial"/>
          <w:color w:val="0C343D"/>
        </w:rPr>
      </w:pPr>
      <w:r>
        <w:rPr>
          <w:rFonts w:ascii="Arial" w:eastAsia="Arial" w:hAnsi="Arial" w:cs="Arial"/>
          <w:color w:val="0C343D"/>
        </w:rPr>
        <w:t>O cerne do projeto esteve na naturalidade e flexibilidade. Uma rotina cuidadosamente planejada serviu de alicerce para atividades que respeitaram as idades e interesses individuais das crianças, promovendo seu engajamento e reforçando a importância de valorizar o tempo e o ritmo de cada uma. A vivência solidificou a compreensão de que o brincar é mais do que lazer; é um pilar essencial para o desenvolvimento cognitivo, social e emocional infantil.</w:t>
      </w:r>
    </w:p>
    <w:p w14:paraId="22A92AAB" w14:textId="77777777" w:rsidR="00172BE7" w:rsidRDefault="00A52B4A">
      <w:pPr>
        <w:spacing w:line="276" w:lineRule="auto"/>
        <w:jc w:val="both"/>
        <w:rPr>
          <w:rFonts w:ascii="Arial" w:eastAsia="Arial" w:hAnsi="Arial" w:cs="Arial"/>
          <w:color w:val="0C343D"/>
        </w:rPr>
      </w:pPr>
      <w:r>
        <w:rPr>
          <w:rFonts w:ascii="Arial" w:eastAsia="Arial" w:hAnsi="Arial" w:cs="Arial"/>
          <w:color w:val="0C343D"/>
        </w:rPr>
        <w:t>A Teoria Sociointeracionista em Ação</w:t>
      </w:r>
    </w:p>
    <w:p w14:paraId="4ED6A7A7" w14:textId="77777777" w:rsidR="00172BE7" w:rsidRDefault="00A52B4A">
      <w:pPr>
        <w:spacing w:line="276" w:lineRule="auto"/>
        <w:jc w:val="both"/>
        <w:rPr>
          <w:rFonts w:ascii="Arial" w:eastAsia="Arial" w:hAnsi="Arial" w:cs="Arial"/>
          <w:color w:val="0C343D"/>
        </w:rPr>
      </w:pPr>
      <w:r>
        <w:rPr>
          <w:rFonts w:ascii="Arial" w:eastAsia="Arial" w:hAnsi="Arial" w:cs="Arial"/>
          <w:color w:val="0C343D"/>
        </w:rPr>
        <w:t>A experiência no CONAD ofereceu uma materialização da teoria sociointeracionista de Lev Vygotsky. A visão do autor de que "o brincar não é apenas uma forma de diversão, mas um campo fértil para o desenvolvimento cognitivo e social da criança" foi plenamente validada. Vygotsky (1987) descreve o brincar como um ato criativo, onde imaginação, fantasia e realidade se entrelaçam, gerando novas possibilidades de interpretação, expressão e ação, além de fomentar relações sociais significativas.</w:t>
      </w:r>
    </w:p>
    <w:p w14:paraId="1BEAA117" w14:textId="77777777" w:rsidR="00172BE7" w:rsidRDefault="00A52B4A">
      <w:pPr>
        <w:spacing w:line="276" w:lineRule="auto"/>
        <w:jc w:val="both"/>
        <w:rPr>
          <w:rFonts w:ascii="Arial" w:eastAsia="Arial" w:hAnsi="Arial" w:cs="Arial"/>
          <w:color w:val="0C343D"/>
        </w:rPr>
      </w:pPr>
      <w:r>
        <w:rPr>
          <w:rFonts w:ascii="Arial" w:eastAsia="Arial" w:hAnsi="Arial" w:cs="Arial"/>
          <w:color w:val="0C343D"/>
        </w:rPr>
        <w:t>Por meio de jogos e brincadeiras, as crianças internalizam símbolos culturais, que atuam como mediadores na zona de desenvolvimento proximal (ZDP). Este conceito vygotskiano, que define o espaço entre o que a criança pode realizar sozinha e o que alcança com o apoio de um "outro mais capaz" – seja um adulto ou um colega mais experiente –, foi central para a atuação dos estudantes de pedagogia. Seguindo Vygotsky (1998), que afirma: "O que a criança pode fazer em colaboração hoje, ela será capaz de fazer sozinha amanhã”, os futuros pedagogos atuaram como facilitadores, oferecendo suporte e orientação para a expansão das capacidades infantis.</w:t>
      </w:r>
    </w:p>
    <w:p w14:paraId="1332A6A8" w14:textId="77777777" w:rsidR="00172BE7" w:rsidRDefault="00A52B4A">
      <w:pPr>
        <w:spacing w:line="276" w:lineRule="auto"/>
        <w:jc w:val="both"/>
        <w:rPr>
          <w:rFonts w:ascii="Arial" w:eastAsia="Arial" w:hAnsi="Arial" w:cs="Arial"/>
          <w:color w:val="0C343D"/>
        </w:rPr>
      </w:pPr>
      <w:r>
        <w:rPr>
          <w:rFonts w:ascii="Arial" w:eastAsia="Arial" w:hAnsi="Arial" w:cs="Arial"/>
          <w:color w:val="0C343D"/>
        </w:rPr>
        <w:t>A Brinquedoteca como Espaço de Formação e Descoberta</w:t>
      </w:r>
    </w:p>
    <w:p w14:paraId="19303075" w14:textId="77777777" w:rsidR="00172BE7" w:rsidRDefault="00A52B4A">
      <w:pPr>
        <w:spacing w:line="276" w:lineRule="auto"/>
        <w:jc w:val="both"/>
        <w:rPr>
          <w:rFonts w:ascii="Arial" w:eastAsia="Arial" w:hAnsi="Arial" w:cs="Arial"/>
          <w:color w:val="0C343D"/>
        </w:rPr>
      </w:pPr>
      <w:r>
        <w:rPr>
          <w:rFonts w:ascii="Arial" w:eastAsia="Arial" w:hAnsi="Arial" w:cs="Arial"/>
          <w:color w:val="0C343D"/>
        </w:rPr>
        <w:t>O projeto da Brinquedoteca, inserido na formação lúdica de estudantes de Pedagogia, destacou-se como um ambiente de aprendizado privilegiado. Kishimoto (2011) aponta que o brinquedo oferece à criança um substituto para objetos reais, permitindo sua manipulação e exploração. No CONAD, a interação com as crianças viabilizou atividades diversas, como contação de histórias, musicalização, produções artísticas e passeios culturais, que estimularam a interação, a troca, a imaginação e a criatividade.</w:t>
      </w:r>
    </w:p>
    <w:p w14:paraId="68BFBF89" w14:textId="77777777" w:rsidR="00172BE7" w:rsidRDefault="00A52B4A">
      <w:pPr>
        <w:spacing w:line="276" w:lineRule="auto"/>
        <w:jc w:val="both"/>
        <w:rPr>
          <w:rFonts w:ascii="Arial" w:eastAsia="Arial" w:hAnsi="Arial" w:cs="Arial"/>
          <w:color w:val="0C343D"/>
        </w:rPr>
      </w:pPr>
      <w:r>
        <w:rPr>
          <w:rFonts w:ascii="Arial" w:eastAsia="Arial" w:hAnsi="Arial" w:cs="Arial"/>
          <w:color w:val="0C343D"/>
        </w:rPr>
        <w:t>A atuação dos estudantes de pedagogia, pautada por um roteiro flexível, exemplificou o papel do "outro mais capaz". Na oficina de frotagem, por exemplo, eles auxiliaram as crianças a descobrir e explorar as texturas das folhas amazônicas, incentivando a criação de obras de arte. Essa atividade transcendeu o aspecto artístico, tornando-se um momento de descoberta da rica flora local.</w:t>
      </w:r>
    </w:p>
    <w:p w14:paraId="1F23CC1B" w14:textId="77777777" w:rsidR="00172BE7" w:rsidRDefault="00A52B4A">
      <w:pPr>
        <w:spacing w:line="276" w:lineRule="auto"/>
        <w:jc w:val="both"/>
        <w:rPr>
          <w:rFonts w:ascii="Arial" w:eastAsia="Arial" w:hAnsi="Arial" w:cs="Arial"/>
          <w:color w:val="0C343D"/>
        </w:rPr>
      </w:pPr>
      <w:r>
        <w:rPr>
          <w:rFonts w:ascii="Arial" w:eastAsia="Arial" w:hAnsi="Arial" w:cs="Arial"/>
          <w:color w:val="0C343D"/>
        </w:rPr>
        <w:t>Imersão Cultural e Valorização da Amazônia</w:t>
      </w:r>
    </w:p>
    <w:p w14:paraId="3B59D969" w14:textId="77777777" w:rsidR="00172BE7" w:rsidRDefault="00A52B4A">
      <w:pPr>
        <w:spacing w:line="276" w:lineRule="auto"/>
        <w:jc w:val="both"/>
        <w:rPr>
          <w:rFonts w:ascii="Arial" w:eastAsia="Arial" w:hAnsi="Arial" w:cs="Arial"/>
          <w:color w:val="0C343D"/>
        </w:rPr>
      </w:pPr>
      <w:r>
        <w:rPr>
          <w:rFonts w:ascii="Arial" w:eastAsia="Arial" w:hAnsi="Arial" w:cs="Arial"/>
          <w:color w:val="0C343D"/>
        </w:rPr>
        <w:t>Integrando a teoria de Vygotsky sobre o desenvolvimento cultural, o projeto abraçou a temática amazônica em suas múltiplas facetas. Lendas regionais, oficinas de pintura e passeios pelo campus da UFAM, incluindo uma visita ao Instituto Nacional de Pesquisas da Amazônia (INPA), proporcionaram uma imersão na biodiversidade e cultura amazônicas. A visita ao INPA foi particularmente marcante, abrindo uma janela para a imensidão da floresta e despertando encantamento, curiosidade e senso de responsabilidade ambiental nas crianças.</w:t>
      </w:r>
    </w:p>
    <w:p w14:paraId="00F6746E" w14:textId="77777777" w:rsidR="00172BE7" w:rsidRDefault="00A52B4A">
      <w:pPr>
        <w:spacing w:line="276" w:lineRule="auto"/>
        <w:jc w:val="both"/>
        <w:rPr>
          <w:rFonts w:ascii="Arial" w:eastAsia="Arial" w:hAnsi="Arial" w:cs="Arial"/>
          <w:color w:val="0C343D"/>
        </w:rPr>
      </w:pPr>
      <w:r>
        <w:rPr>
          <w:rFonts w:ascii="Arial" w:eastAsia="Arial" w:hAnsi="Arial" w:cs="Arial"/>
          <w:color w:val="0C343D"/>
        </w:rPr>
        <w:t>A experiência também incluiu o contato com outras culturas, através da exibição do filme "Kirikú e a Feiticeira", de origem africana. A obra proporcionou debates sobre coragem, sabedoria e respeito às diferenças, evidenciando o poder das narrativas em conectar e expandir a visão de mundo.</w:t>
      </w:r>
    </w:p>
    <w:p w14:paraId="09DD46ED" w14:textId="77777777" w:rsidR="00172BE7" w:rsidRDefault="00A52B4A">
      <w:pPr>
        <w:spacing w:line="276" w:lineRule="auto"/>
        <w:jc w:val="both"/>
        <w:rPr>
          <w:rFonts w:ascii="Arial" w:eastAsia="Arial" w:hAnsi="Arial" w:cs="Arial"/>
          <w:color w:val="0C343D"/>
        </w:rPr>
      </w:pPr>
      <w:r>
        <w:rPr>
          <w:rFonts w:ascii="Arial" w:eastAsia="Arial" w:hAnsi="Arial" w:cs="Arial"/>
          <w:color w:val="0C343D"/>
        </w:rPr>
        <w:t>Conclusão: Um Chamado à Transformação</w:t>
      </w:r>
    </w:p>
    <w:p w14:paraId="08F6B6F6" w14:textId="77777777" w:rsidR="00172BE7" w:rsidRDefault="00A52B4A">
      <w:pPr>
        <w:spacing w:line="276" w:lineRule="auto"/>
        <w:jc w:val="both"/>
        <w:rPr>
          <w:rFonts w:ascii="Arial" w:eastAsia="Arial" w:hAnsi="Arial" w:cs="Arial"/>
          <w:color w:val="0C343D"/>
        </w:rPr>
      </w:pPr>
      <w:r>
        <w:rPr>
          <w:rFonts w:ascii="Arial" w:eastAsia="Arial" w:hAnsi="Arial" w:cs="Arial"/>
          <w:color w:val="0C343D"/>
        </w:rPr>
        <w:t>A experiência da Brinquedoteca no CONAD foi profundamente enriquecedora, reforçando o brincar como linguagem universal da infância e ferramenta de inclusão e desenvolvimento. Para os estudantes, representou uma oportunidade ímpar de alinhar teoria e prática, preparando-os com uma abordagem afetiva e criativa para os desafios profissionais. A flexibilidade e a ludicidade mostraram-se recursos didáticos indispensáveis.</w:t>
      </w:r>
    </w:p>
    <w:p w14:paraId="7BD5B792" w14:textId="77777777" w:rsidR="00172BE7" w:rsidRDefault="00A52B4A">
      <w:pPr>
        <w:spacing w:line="276" w:lineRule="auto"/>
        <w:jc w:val="both"/>
        <w:rPr>
          <w:rFonts w:ascii="Arial" w:eastAsia="Arial" w:hAnsi="Arial" w:cs="Arial"/>
          <w:b/>
          <w:color w:val="0C343D"/>
        </w:rPr>
      </w:pPr>
      <w:r>
        <w:rPr>
          <w:rFonts w:ascii="Arial" w:eastAsia="Arial" w:hAnsi="Arial" w:cs="Arial"/>
          <w:color w:val="0C343D"/>
        </w:rPr>
        <w:t>Mais que uma vivência acadêmica, este projeto foi um convite à transformação. Ele sublinhou o papel da educação como uma ponte que conecta culturas e constrói futuros mais humanos. Ao educar com amor, respeito e abertura, semeamos nas crianças não apenas conhecimento, mas esperança. Os jogos e brincadeiras na Amazônia, como demonstrado em Manaus, são expressões culturais vibrantes que fortalecem identidades e promovem vínculos</w:t>
      </w:r>
      <w:r>
        <w:rPr>
          <w:rFonts w:ascii="Arial" w:eastAsia="Arial" w:hAnsi="Arial" w:cs="Arial"/>
          <w:b/>
          <w:color w:val="0C343D"/>
        </w:rPr>
        <w:t>.</w:t>
      </w:r>
    </w:p>
    <w:p w14:paraId="4517B5A5" w14:textId="77777777" w:rsidR="0019588C" w:rsidRDefault="0019588C">
      <w:pPr>
        <w:spacing w:line="276" w:lineRule="auto"/>
        <w:jc w:val="both"/>
        <w:rPr>
          <w:rFonts w:ascii="Arial" w:eastAsia="Arial" w:hAnsi="Arial" w:cs="Arial"/>
          <w:b/>
          <w:color w:val="0C343D"/>
        </w:rPr>
      </w:pPr>
    </w:p>
    <w:p w14:paraId="57C743FB" w14:textId="4E87D1F7" w:rsidR="0019588C" w:rsidRPr="0019588C" w:rsidRDefault="00C32433">
      <w:pPr>
        <w:spacing w:line="276" w:lineRule="auto"/>
        <w:jc w:val="both"/>
        <w:rPr>
          <w:rFonts w:ascii="Arial" w:eastAsia="Arial" w:hAnsi="Arial" w:cs="Arial"/>
          <w:bCs/>
          <w:color w:val="0C343D"/>
        </w:rPr>
      </w:pPr>
      <w:r>
        <w:rPr>
          <w:rFonts w:ascii="Arial" w:eastAsia="Arial" w:hAnsi="Arial" w:cs="Arial"/>
          <w:bCs/>
          <w:color w:val="0C343D"/>
        </w:rPr>
        <w:t xml:space="preserve">Palavras-chave: </w:t>
      </w:r>
      <w:r w:rsidRPr="00C32433">
        <w:rPr>
          <w:rFonts w:ascii="Arial" w:eastAsia="Arial" w:hAnsi="Arial" w:cs="Arial"/>
          <w:bCs/>
          <w:color w:val="0C343D"/>
        </w:rPr>
        <w:t>Jogos e brincadeiras, Amaz</w:t>
      </w:r>
      <w:r w:rsidRPr="00C32433">
        <w:rPr>
          <w:rFonts w:ascii="Arial" w:eastAsia="Arial" w:hAnsi="Arial" w:cs="Arial" w:hint="eastAsia"/>
          <w:bCs/>
          <w:color w:val="0C343D"/>
        </w:rPr>
        <w:t>ô</w:t>
      </w:r>
      <w:r w:rsidRPr="00C32433">
        <w:rPr>
          <w:rFonts w:ascii="Arial" w:eastAsia="Arial" w:hAnsi="Arial" w:cs="Arial"/>
          <w:bCs/>
          <w:color w:val="0C343D"/>
        </w:rPr>
        <w:t>nia, Educa</w:t>
      </w:r>
      <w:r w:rsidRPr="00C32433">
        <w:rPr>
          <w:rFonts w:ascii="Arial" w:eastAsia="Arial" w:hAnsi="Arial" w:cs="Arial" w:hint="eastAsia"/>
          <w:bCs/>
          <w:color w:val="0C343D"/>
        </w:rPr>
        <w:t>çã</w:t>
      </w:r>
      <w:r w:rsidRPr="00C32433">
        <w:rPr>
          <w:rFonts w:ascii="Arial" w:eastAsia="Arial" w:hAnsi="Arial" w:cs="Arial"/>
          <w:bCs/>
          <w:color w:val="0C343D"/>
        </w:rPr>
        <w:t>o, Desenvolvimento infantil.</w:t>
      </w:r>
    </w:p>
    <w:p w14:paraId="50F04713" w14:textId="77777777" w:rsidR="00172BE7" w:rsidRDefault="00172BE7">
      <w:pPr>
        <w:spacing w:line="276" w:lineRule="auto"/>
        <w:jc w:val="both"/>
        <w:rPr>
          <w:rFonts w:ascii="Arial" w:eastAsia="Arial" w:hAnsi="Arial" w:cs="Arial"/>
          <w:b/>
          <w:color w:val="0071E2"/>
        </w:rPr>
      </w:pPr>
    </w:p>
    <w:p w14:paraId="2CE37CB2" w14:textId="77777777" w:rsidR="00172BE7" w:rsidRDefault="00A52B4A">
      <w:pPr>
        <w:spacing w:line="276" w:lineRule="auto"/>
        <w:jc w:val="both"/>
        <w:rPr>
          <w:rFonts w:ascii="Arial" w:eastAsia="Arial" w:hAnsi="Arial" w:cs="Arial"/>
          <w:color w:val="0C343D"/>
        </w:rPr>
      </w:pPr>
      <w:r>
        <w:rPr>
          <w:rFonts w:ascii="Arial" w:eastAsia="Arial" w:hAnsi="Arial" w:cs="Arial"/>
          <w:color w:val="0C343D"/>
        </w:rPr>
        <w:t>Referências Bibliográficas:</w:t>
      </w:r>
    </w:p>
    <w:p w14:paraId="2E337582" w14:textId="77777777" w:rsidR="00172BE7" w:rsidRDefault="00A52B4A">
      <w:pPr>
        <w:spacing w:line="276" w:lineRule="auto"/>
        <w:jc w:val="both"/>
        <w:rPr>
          <w:rFonts w:ascii="Arial" w:eastAsia="Arial" w:hAnsi="Arial" w:cs="Arial"/>
          <w:color w:val="0C343D"/>
        </w:rPr>
      </w:pPr>
      <w:r>
        <w:rPr>
          <w:rFonts w:ascii="Arial" w:eastAsia="Arial" w:hAnsi="Arial" w:cs="Arial"/>
          <w:color w:val="0C343D"/>
        </w:rPr>
        <w:t>KISHIMOTO, T. O brincar e suas teorias. São Paulo: Pioneira, 2011.</w:t>
      </w:r>
    </w:p>
    <w:p w14:paraId="072FC297" w14:textId="77777777" w:rsidR="00172BE7" w:rsidRDefault="00A52B4A">
      <w:pPr>
        <w:spacing w:line="276" w:lineRule="auto"/>
        <w:jc w:val="both"/>
        <w:rPr>
          <w:rFonts w:ascii="Arial" w:eastAsia="Arial" w:hAnsi="Arial" w:cs="Arial"/>
          <w:color w:val="0C343D"/>
        </w:rPr>
      </w:pPr>
      <w:r>
        <w:rPr>
          <w:rFonts w:ascii="Arial" w:eastAsia="Arial" w:hAnsi="Arial" w:cs="Arial"/>
          <w:color w:val="0C343D"/>
        </w:rPr>
        <w:t>OMO. In: KISHIMOTO, T. O brincar e suas teorias. São Paulo: Pioneira, 1998. p. 112.</w:t>
      </w:r>
    </w:p>
    <w:p w14:paraId="4E48BD79" w14:textId="77777777" w:rsidR="00172BE7" w:rsidRDefault="00A52B4A">
      <w:pPr>
        <w:spacing w:line="276" w:lineRule="auto"/>
        <w:jc w:val="both"/>
        <w:rPr>
          <w:rFonts w:ascii="Arial" w:eastAsia="Arial" w:hAnsi="Arial" w:cs="Arial"/>
          <w:color w:val="0C343D"/>
        </w:rPr>
      </w:pPr>
      <w:r>
        <w:rPr>
          <w:rFonts w:ascii="Arial" w:eastAsia="Arial" w:hAnsi="Arial" w:cs="Arial"/>
          <w:color w:val="0C343D"/>
        </w:rPr>
        <w:t>VYGOTSKY, L. S. A formação social da mente: O desenvolvimento dos processos psicológicos superiores. São Paulo: Martins Fontes, 1987.</w:t>
      </w:r>
    </w:p>
    <w:p w14:paraId="5799A1A6" w14:textId="77777777" w:rsidR="00172BE7" w:rsidRDefault="00A52B4A">
      <w:pPr>
        <w:spacing w:line="276" w:lineRule="auto"/>
        <w:jc w:val="both"/>
        <w:rPr>
          <w:rFonts w:ascii="Arial" w:eastAsia="Arial" w:hAnsi="Arial" w:cs="Arial"/>
          <w:color w:val="0C343D"/>
        </w:rPr>
      </w:pPr>
      <w:r>
        <w:rPr>
          <w:rFonts w:ascii="Arial" w:eastAsia="Arial" w:hAnsi="Arial" w:cs="Arial"/>
          <w:color w:val="0C343D"/>
        </w:rPr>
        <w:t>VYGOTSKY, L. S. A formação social da mente: O desenvolvimento dos processos psicológicos superiores. São Paulo: Martins Fontes, 1998.</w:t>
      </w:r>
    </w:p>
    <w:p w14:paraId="3BDB3D37" w14:textId="77777777" w:rsidR="00172BE7" w:rsidRDefault="00A52B4A">
      <w:pPr>
        <w:spacing w:line="360" w:lineRule="auto"/>
        <w:jc w:val="both"/>
        <w:rPr>
          <w:rFonts w:ascii="Arial" w:eastAsia="Arial" w:hAnsi="Arial" w:cs="Arial"/>
          <w:color w:val="0C343D"/>
        </w:rPr>
      </w:pPr>
      <w:bookmarkStart w:id="0" w:name="_1vwwhz9cml30" w:colFirst="0" w:colLast="0"/>
      <w:bookmarkEnd w:id="0"/>
      <w:r>
        <w:rPr>
          <w:rFonts w:ascii="Arial" w:eastAsia="Arial" w:hAnsi="Arial" w:cs="Arial"/>
          <w:color w:val="0C343D"/>
        </w:rPr>
        <w:t>NEGRINE, AIRTON. Simbolismo e jogo / Airton Negrine. Petrópolis, RJ : Vozes, 2014. - (Coleção Clássicos do Jogo)</w:t>
      </w:r>
    </w:p>
    <w:p w14:paraId="64C82DA3" w14:textId="77777777" w:rsidR="00172BE7" w:rsidRDefault="00172BE7">
      <w:pPr>
        <w:spacing w:line="360" w:lineRule="auto"/>
        <w:jc w:val="both"/>
        <w:rPr>
          <w:rFonts w:ascii="Arial" w:eastAsia="Arial" w:hAnsi="Arial" w:cs="Arial"/>
          <w:color w:val="002F3C"/>
        </w:rPr>
      </w:pPr>
    </w:p>
    <w:sectPr w:rsidR="00172B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52" w:right="1134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E87E3" w14:textId="77777777" w:rsidR="00A52B4A" w:rsidRDefault="00A52B4A">
      <w:pPr>
        <w:spacing w:after="0" w:line="240" w:lineRule="auto"/>
      </w:pPr>
      <w:r>
        <w:separator/>
      </w:r>
    </w:p>
  </w:endnote>
  <w:endnote w:type="continuationSeparator" w:id="0">
    <w:p w14:paraId="5A9734A5" w14:textId="77777777" w:rsidR="00A52B4A" w:rsidRDefault="00A52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039F3" w14:textId="77777777" w:rsidR="00BC011D" w:rsidRDefault="00BC011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4472D" w14:textId="77777777" w:rsidR="00172BE7" w:rsidRDefault="00A52B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3F7E418" wp14:editId="67F64A74">
          <wp:simplePos x="0" y="0"/>
          <wp:positionH relativeFrom="column">
            <wp:posOffset>-1082666</wp:posOffset>
          </wp:positionH>
          <wp:positionV relativeFrom="paragraph">
            <wp:posOffset>-3945676</wp:posOffset>
          </wp:positionV>
          <wp:extent cx="7557831" cy="515033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51820"/>
                  <a:stretch>
                    <a:fillRect/>
                  </a:stretch>
                </pic:blipFill>
                <pic:spPr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97B7FD0" w14:textId="77777777" w:rsidR="00172BE7" w:rsidRDefault="00172B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31E308C8" w14:textId="77777777" w:rsidR="00172BE7" w:rsidRDefault="00172B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DD4BFAA" w14:textId="77777777" w:rsidR="00172BE7" w:rsidRDefault="00172B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A1FBC" w14:textId="77777777" w:rsidR="00BC011D" w:rsidRDefault="00BC011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05BDF" w14:textId="77777777" w:rsidR="00A52B4A" w:rsidRDefault="00A52B4A">
      <w:pPr>
        <w:spacing w:after="0" w:line="240" w:lineRule="auto"/>
      </w:pPr>
      <w:r>
        <w:separator/>
      </w:r>
    </w:p>
  </w:footnote>
  <w:footnote w:type="continuationSeparator" w:id="0">
    <w:p w14:paraId="231C9122" w14:textId="77777777" w:rsidR="00A52B4A" w:rsidRDefault="00A52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45319" w14:textId="77777777" w:rsidR="00BC011D" w:rsidRDefault="00BC011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DDEF9" w14:textId="77777777" w:rsidR="00172BE7" w:rsidRDefault="00A52B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CBB966A" wp14:editId="03863927">
          <wp:simplePos x="0" y="0"/>
          <wp:positionH relativeFrom="column">
            <wp:posOffset>-1105323</wp:posOffset>
          </wp:positionH>
          <wp:positionV relativeFrom="paragraph">
            <wp:posOffset>-440043</wp:posOffset>
          </wp:positionV>
          <wp:extent cx="7626753" cy="5603132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69" t="1" r="-168" b="48051"/>
                  <a:stretch>
                    <a:fillRect/>
                  </a:stretch>
                </pic:blipFill>
                <pic:spPr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A7F99E6" w14:textId="77777777" w:rsidR="00172BE7" w:rsidRDefault="00172B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C3FE32B" w14:textId="77777777" w:rsidR="00172BE7" w:rsidRDefault="00172B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6481E" w14:textId="77777777" w:rsidR="00BC011D" w:rsidRDefault="00BC011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displayBackgroundShape/>
  <w:revisionView w:inkAnnotation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BE7"/>
    <w:rsid w:val="00172BE7"/>
    <w:rsid w:val="0019588C"/>
    <w:rsid w:val="004C43EE"/>
    <w:rsid w:val="00A352A3"/>
    <w:rsid w:val="00A52B4A"/>
    <w:rsid w:val="00BC011D"/>
    <w:rsid w:val="00C32433"/>
    <w:rsid w:val="00EF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027486"/>
  <w15:docId w15:val="{3D3A401D-072A-FA4E-99F8-552E96AE4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BC01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011D"/>
  </w:style>
  <w:style w:type="paragraph" w:styleId="Rodap">
    <w:name w:val="footer"/>
    <w:basedOn w:val="Normal"/>
    <w:link w:val="RodapChar"/>
    <w:uiPriority w:val="99"/>
    <w:unhideWhenUsed/>
    <w:rsid w:val="00BC01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0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.cardozo@ufam.edu.br" TargetMode="External" /><Relationship Id="rId13" Type="http://schemas.openxmlformats.org/officeDocument/2006/relationships/footer" Target="footer1.xml" /><Relationship Id="rId1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yperlink" Target="mailto:agnes.oliveira@ufam.edu.br" TargetMode="External" /><Relationship Id="rId12" Type="http://schemas.openxmlformats.org/officeDocument/2006/relationships/header" Target="header2.xml" /><Relationship Id="rId17" Type="http://schemas.openxmlformats.org/officeDocument/2006/relationships/fontTable" Target="fontTable.xml" /><Relationship Id="rId2" Type="http://schemas.openxmlformats.org/officeDocument/2006/relationships/settings" Target="settings.xml" /><Relationship Id="rId16" Type="http://schemas.openxmlformats.org/officeDocument/2006/relationships/footer" Target="footer3.xml" /><Relationship Id="rId1" Type="http://schemas.openxmlformats.org/officeDocument/2006/relationships/styles" Target="styles.xml" /><Relationship Id="rId6" Type="http://schemas.openxmlformats.org/officeDocument/2006/relationships/hyperlink" Target="mailto:mariasonia@ufam.edu.br" TargetMode="External" /><Relationship Id="rId11" Type="http://schemas.openxmlformats.org/officeDocument/2006/relationships/header" Target="header1.xml" /><Relationship Id="rId5" Type="http://schemas.openxmlformats.org/officeDocument/2006/relationships/endnotes" Target="endnotes.xml" /><Relationship Id="rId15" Type="http://schemas.openxmlformats.org/officeDocument/2006/relationships/header" Target="header3.xml" /><Relationship Id="rId10" Type="http://schemas.openxmlformats.org/officeDocument/2006/relationships/hyperlink" Target="mailto:otavio.albuqerque@ufam.edu.br" TargetMode="External" /><Relationship Id="rId4" Type="http://schemas.openxmlformats.org/officeDocument/2006/relationships/footnotes" Target="footnotes.xml" /><Relationship Id="rId9" Type="http://schemas.openxmlformats.org/officeDocument/2006/relationships/hyperlink" Target="mailto:emmeny.uchoa@ufam.edu.br" TargetMode="External" /><Relationship Id="rId14" Type="http://schemas.openxmlformats.org/officeDocument/2006/relationships/footer" Target="footer2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1031</Words>
  <Characters>5573</Characters>
  <Application>Microsoft Office Word</Application>
  <DocSecurity>0</DocSecurity>
  <Lines>46</Lines>
  <Paragraphs>13</Paragraphs>
  <ScaleCrop>false</ScaleCrop>
  <Company/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 Clara</cp:lastModifiedBy>
  <cp:revision>2</cp:revision>
  <dcterms:created xsi:type="dcterms:W3CDTF">2025-09-10T00:59:00Z</dcterms:created>
  <dcterms:modified xsi:type="dcterms:W3CDTF">2025-09-10T00:59:00Z</dcterms:modified>
</cp:coreProperties>
</file>