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BC457" w14:textId="6F6FD240" w:rsidR="00E3782C" w:rsidRPr="00AD22F1" w:rsidRDefault="00E3782C" w:rsidP="00CC6C02">
      <w:pPr>
        <w:pStyle w:val="Ttulo"/>
        <w:ind w:left="0"/>
      </w:pPr>
      <w:r w:rsidRPr="00AD22F1">
        <w:t>T</w:t>
      </w:r>
      <w:r w:rsidR="00C94084">
        <w:t>RANSFORMAÇÕES NO USO E OCUPAÇÃO D</w:t>
      </w:r>
      <w:r w:rsidR="00223C1D">
        <w:t>A</w:t>
      </w:r>
      <w:r w:rsidR="00C94084">
        <w:t xml:space="preserve"> </w:t>
      </w:r>
      <w:r w:rsidR="00223C1D">
        <w:t>TERRA</w:t>
      </w:r>
      <w:r w:rsidR="00C94084">
        <w:t xml:space="preserve"> EM BARRETOS/SP: UMA ANÁLISE GEOESPACIAL MULTITEMPORAL (2005-2024)</w:t>
      </w:r>
    </w:p>
    <w:p w14:paraId="58281A71" w14:textId="1BC07825"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583F8A">
        <w:rPr>
          <w:sz w:val="24"/>
          <w:szCs w:val="24"/>
        </w:rPr>
        <w:t>Laura Mauro Feitoza Fogatti</w:t>
      </w:r>
      <w:r w:rsidRPr="005F70B0">
        <w:rPr>
          <w:sz w:val="24"/>
          <w:szCs w:val="24"/>
        </w:rPr>
        <w:t>,</w:t>
      </w:r>
      <w:r w:rsidRPr="005F70B0">
        <w:rPr>
          <w:spacing w:val="-2"/>
          <w:sz w:val="24"/>
          <w:szCs w:val="24"/>
        </w:rPr>
        <w:t xml:space="preserve"> </w:t>
      </w:r>
      <w:r w:rsidRPr="005F70B0">
        <w:rPr>
          <w:sz w:val="24"/>
          <w:szCs w:val="24"/>
          <w:vertAlign w:val="superscript"/>
        </w:rPr>
        <w:t>2</w:t>
      </w:r>
      <w:r w:rsidR="00583F8A">
        <w:rPr>
          <w:sz w:val="24"/>
          <w:szCs w:val="24"/>
        </w:rPr>
        <w:t>Eduardo da Silva Martins</w:t>
      </w:r>
      <w:r w:rsidRPr="005F70B0">
        <w:rPr>
          <w:sz w:val="24"/>
          <w:szCs w:val="24"/>
        </w:rPr>
        <w:t>,</w:t>
      </w:r>
      <w:r w:rsidRPr="005F70B0">
        <w:rPr>
          <w:spacing w:val="-3"/>
          <w:sz w:val="24"/>
          <w:szCs w:val="24"/>
        </w:rPr>
        <w:t xml:space="preserve"> </w:t>
      </w:r>
      <w:r w:rsidRPr="005F70B0">
        <w:rPr>
          <w:sz w:val="24"/>
          <w:szCs w:val="24"/>
          <w:vertAlign w:val="superscript"/>
        </w:rPr>
        <w:t>3</w:t>
      </w:r>
      <w:r w:rsidR="00583F8A">
        <w:rPr>
          <w:sz w:val="24"/>
          <w:szCs w:val="24"/>
        </w:rPr>
        <w:t xml:space="preserve">André Serotini, </w:t>
      </w:r>
      <w:r w:rsidR="00583F8A">
        <w:rPr>
          <w:sz w:val="24"/>
          <w:szCs w:val="24"/>
          <w:vertAlign w:val="superscript"/>
        </w:rPr>
        <w:t>4</w:t>
      </w:r>
      <w:r w:rsidR="00583F8A">
        <w:rPr>
          <w:sz w:val="24"/>
          <w:szCs w:val="24"/>
        </w:rPr>
        <w:t xml:space="preserve">Daniela Fernanda da Silva Fuzzo, </w:t>
      </w:r>
      <w:r w:rsidR="00583F8A">
        <w:rPr>
          <w:sz w:val="24"/>
          <w:szCs w:val="24"/>
          <w:vertAlign w:val="superscript"/>
        </w:rPr>
        <w:t>5</w:t>
      </w:r>
      <w:r w:rsidR="00583F8A">
        <w:rPr>
          <w:sz w:val="24"/>
          <w:szCs w:val="24"/>
        </w:rPr>
        <w:t>João Alberto Fisher Filho</w:t>
      </w:r>
    </w:p>
    <w:p w14:paraId="49991DD0" w14:textId="34A5C586" w:rsidR="00A870C4" w:rsidRDefault="00A870C4" w:rsidP="00A870C4">
      <w:pPr>
        <w:spacing w:line="228" w:lineRule="exact"/>
        <w:ind w:left="77" w:right="209"/>
        <w:jc w:val="center"/>
        <w:rPr>
          <w:i/>
          <w:sz w:val="24"/>
          <w:szCs w:val="24"/>
        </w:rPr>
      </w:pPr>
      <w:r w:rsidRPr="005F70B0">
        <w:rPr>
          <w:i/>
          <w:sz w:val="24"/>
          <w:szCs w:val="24"/>
          <w:vertAlign w:val="superscript"/>
        </w:rPr>
        <w:t>1</w:t>
      </w:r>
      <w:r>
        <w:rPr>
          <w:i/>
          <w:sz w:val="24"/>
          <w:szCs w:val="24"/>
        </w:rPr>
        <w:t>Mestranda do Programa de Pós-graduação em Ciências Ambientais da Universidade do Estado de Minas Gerais (UEMG)</w:t>
      </w:r>
      <w:r w:rsidRPr="005F70B0">
        <w:rPr>
          <w:i/>
          <w:sz w:val="24"/>
          <w:szCs w:val="24"/>
        </w:rPr>
        <w:t>, e-mail:</w:t>
      </w:r>
      <w:r w:rsidRPr="005F70B0">
        <w:rPr>
          <w:i/>
          <w:spacing w:val="-4"/>
          <w:sz w:val="24"/>
          <w:szCs w:val="24"/>
        </w:rPr>
        <w:t xml:space="preserve"> </w:t>
      </w:r>
      <w:r>
        <w:rPr>
          <w:i/>
          <w:sz w:val="24"/>
          <w:szCs w:val="24"/>
        </w:rPr>
        <w:t>laura.261100024@discente.uemg.br</w:t>
      </w:r>
      <w:r w:rsidRPr="005F70B0">
        <w:rPr>
          <w:i/>
          <w:sz w:val="24"/>
          <w:szCs w:val="24"/>
        </w:rPr>
        <w:t>;</w:t>
      </w:r>
      <w:r w:rsidRPr="005F70B0">
        <w:rPr>
          <w:i/>
          <w:spacing w:val="-3"/>
          <w:sz w:val="24"/>
          <w:szCs w:val="24"/>
        </w:rPr>
        <w:t xml:space="preserve"> </w:t>
      </w:r>
      <w:r w:rsidRPr="005F70B0">
        <w:rPr>
          <w:i/>
          <w:sz w:val="24"/>
          <w:szCs w:val="24"/>
          <w:vertAlign w:val="superscript"/>
        </w:rPr>
        <w:t>2</w:t>
      </w:r>
      <w:r w:rsidR="00E71A76">
        <w:rPr>
          <w:i/>
          <w:sz w:val="24"/>
          <w:szCs w:val="24"/>
          <w:vertAlign w:val="superscript"/>
        </w:rPr>
        <w:t xml:space="preserve"> a 5</w:t>
      </w:r>
      <w:r>
        <w:rPr>
          <w:i/>
          <w:sz w:val="24"/>
          <w:szCs w:val="24"/>
        </w:rPr>
        <w:t>Professor (a) da UEMG</w:t>
      </w:r>
      <w:r w:rsidRPr="005F70B0">
        <w:rPr>
          <w:i/>
          <w:sz w:val="24"/>
          <w:szCs w:val="24"/>
        </w:rPr>
        <w:t>,</w:t>
      </w:r>
      <w:r w:rsidRPr="005F70B0">
        <w:rPr>
          <w:i/>
          <w:spacing w:val="-1"/>
          <w:sz w:val="24"/>
          <w:szCs w:val="24"/>
        </w:rPr>
        <w:t xml:space="preserve"> </w:t>
      </w:r>
      <w:r w:rsidRPr="005F70B0">
        <w:rPr>
          <w:i/>
          <w:sz w:val="24"/>
          <w:szCs w:val="24"/>
        </w:rPr>
        <w:t>e-mail</w:t>
      </w:r>
      <w:r>
        <w:rPr>
          <w:i/>
          <w:sz w:val="24"/>
          <w:szCs w:val="24"/>
        </w:rPr>
        <w:t>’s</w:t>
      </w:r>
      <w:r w:rsidRPr="005F70B0">
        <w:rPr>
          <w:i/>
          <w:sz w:val="24"/>
          <w:szCs w:val="24"/>
        </w:rPr>
        <w:t>:</w:t>
      </w:r>
      <w:r w:rsidRPr="005F70B0">
        <w:rPr>
          <w:i/>
          <w:spacing w:val="-3"/>
          <w:sz w:val="24"/>
          <w:szCs w:val="24"/>
        </w:rPr>
        <w:t xml:space="preserve"> </w:t>
      </w:r>
      <w:r>
        <w:rPr>
          <w:i/>
          <w:sz w:val="24"/>
          <w:szCs w:val="24"/>
        </w:rPr>
        <w:t>eduardo.martins@uemg.br</w:t>
      </w:r>
      <w:r w:rsidRPr="005F70B0">
        <w:rPr>
          <w:i/>
          <w:sz w:val="24"/>
          <w:szCs w:val="24"/>
        </w:rPr>
        <w:t>;</w:t>
      </w:r>
      <w:r w:rsidRPr="005F70B0">
        <w:rPr>
          <w:i/>
          <w:spacing w:val="-3"/>
          <w:sz w:val="24"/>
          <w:szCs w:val="24"/>
        </w:rPr>
        <w:t xml:space="preserve"> </w:t>
      </w:r>
      <w:hyperlink r:id="rId7" w:history="1">
        <w:r w:rsidR="00373815" w:rsidRPr="00373815">
          <w:rPr>
            <w:rStyle w:val="Hyperlink"/>
            <w:i/>
            <w:color w:val="auto"/>
            <w:spacing w:val="-2"/>
            <w:sz w:val="24"/>
            <w:szCs w:val="24"/>
            <w:u w:val="none"/>
          </w:rPr>
          <w:t>andre.serotini@uemg.br</w:t>
        </w:r>
      </w:hyperlink>
      <w:r>
        <w:rPr>
          <w:i/>
          <w:spacing w:val="-2"/>
          <w:sz w:val="24"/>
          <w:szCs w:val="24"/>
        </w:rPr>
        <w:t xml:space="preserve">; </w:t>
      </w:r>
      <w:hyperlink r:id="rId8" w:history="1">
        <w:r w:rsidRPr="00A870C4">
          <w:rPr>
            <w:rStyle w:val="Hyperlink"/>
            <w:i/>
            <w:color w:val="auto"/>
            <w:sz w:val="24"/>
            <w:szCs w:val="24"/>
            <w:u w:val="none"/>
          </w:rPr>
          <w:t>daniela.fuzzo@uemg.br</w:t>
        </w:r>
      </w:hyperlink>
      <w:r>
        <w:rPr>
          <w:i/>
          <w:sz w:val="24"/>
          <w:szCs w:val="24"/>
        </w:rPr>
        <w:t xml:space="preserve">; </w:t>
      </w:r>
      <w:hyperlink r:id="rId9" w:history="1">
        <w:r w:rsidR="00E71A76" w:rsidRPr="00E71A76">
          <w:rPr>
            <w:rStyle w:val="Hyperlink"/>
            <w:iCs/>
            <w:color w:val="auto"/>
            <w:sz w:val="24"/>
            <w:szCs w:val="24"/>
            <w:u w:val="none"/>
          </w:rPr>
          <w:t>joao.fischer@uemg.br</w:t>
        </w:r>
      </w:hyperlink>
      <w:r w:rsidRPr="00E71A76">
        <w:rPr>
          <w:iCs/>
          <w:sz w:val="24"/>
          <w:szCs w:val="24"/>
        </w:rPr>
        <w:t>.</w:t>
      </w:r>
    </w:p>
    <w:p w14:paraId="5AE57471" w14:textId="77777777" w:rsidR="00E71A76" w:rsidRPr="005F70B0" w:rsidRDefault="00E71A76" w:rsidP="00A870C4">
      <w:pPr>
        <w:spacing w:line="228" w:lineRule="exact"/>
        <w:ind w:left="77" w:right="209"/>
        <w:jc w:val="center"/>
        <w:rPr>
          <w:i/>
          <w:spacing w:val="-2"/>
          <w:sz w:val="24"/>
          <w:szCs w:val="24"/>
        </w:rPr>
      </w:pPr>
    </w:p>
    <w:p w14:paraId="102948F1" w14:textId="4AF5542E" w:rsidR="00E3782C" w:rsidRDefault="00583F8A" w:rsidP="00E3782C">
      <w:pPr>
        <w:spacing w:line="228" w:lineRule="exact"/>
        <w:ind w:left="77" w:right="209"/>
        <w:jc w:val="right"/>
        <w:rPr>
          <w:b/>
          <w:bCs/>
          <w:i/>
          <w:spacing w:val="-2"/>
          <w:sz w:val="24"/>
          <w:szCs w:val="24"/>
        </w:rPr>
      </w:pPr>
      <w:r>
        <w:rPr>
          <w:b/>
          <w:bCs/>
          <w:i/>
          <w:spacing w:val="-2"/>
          <w:sz w:val="24"/>
          <w:szCs w:val="24"/>
        </w:rPr>
        <w:t>Grupo 4: Gestão Ambiental e Políticas Ambientais</w:t>
      </w:r>
    </w:p>
    <w:p w14:paraId="125F6DD1" w14:textId="0A0D1190"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583F8A">
        <w:rPr>
          <w:b/>
          <w:bCs/>
          <w:i/>
          <w:spacing w:val="-2"/>
          <w:sz w:val="24"/>
          <w:szCs w:val="24"/>
        </w:rPr>
        <w:t>: Gestão integrada na legislação de recursos naturais</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4330DA75" w:rsidR="00E3782C" w:rsidRPr="005F70B0" w:rsidRDefault="00086036" w:rsidP="00E3782C">
      <w:pPr>
        <w:ind w:right="209"/>
        <w:jc w:val="both"/>
        <w:rPr>
          <w:iCs/>
          <w:sz w:val="24"/>
          <w:szCs w:val="24"/>
        </w:rPr>
      </w:pPr>
      <w:r w:rsidRPr="00086036">
        <w:rPr>
          <w:iCs/>
          <w:sz w:val="24"/>
          <w:szCs w:val="24"/>
        </w:rPr>
        <w:t>O município de Barretos, localizado na região norte do Estado de São Paulo, apresenta uma paisagem fortemente marcada pela expansão da cana-de-açúcar nas últimas décadas, processo que altera os padrões de uso da terra na região. Este trabalho teve como objetivo analisar a dinâmica de uso e ocupação d</w:t>
      </w:r>
      <w:r w:rsidR="001F14A6">
        <w:rPr>
          <w:iCs/>
          <w:sz w:val="24"/>
          <w:szCs w:val="24"/>
        </w:rPr>
        <w:t>a</w:t>
      </w:r>
      <w:r w:rsidRPr="00086036">
        <w:rPr>
          <w:iCs/>
          <w:sz w:val="24"/>
          <w:szCs w:val="24"/>
        </w:rPr>
        <w:t xml:space="preserve"> </w:t>
      </w:r>
      <w:r w:rsidR="001F14A6">
        <w:rPr>
          <w:iCs/>
          <w:sz w:val="24"/>
          <w:szCs w:val="24"/>
        </w:rPr>
        <w:t>terra</w:t>
      </w:r>
      <w:r w:rsidRPr="00086036">
        <w:rPr>
          <w:iCs/>
          <w:sz w:val="24"/>
          <w:szCs w:val="24"/>
        </w:rPr>
        <w:t xml:space="preserve"> em Barretos/SP entre 2005 e 2024, identificando as principais transformações nas classes de cobertura vegetal e de uso antrópico. A metodologia baseou-se no processamento de dados matriciais do projeto MapBiomas (Coleção 9) para os anos de 2005, 2015 e 2024, em ambiente de Sistema de Informação Geográfica (QGIS), com elaboração de mapas temáticos e quantificação das áreas por classe. Os resultados evidenciaram crescimento superior a 100% na área ocupada por cana-de-açúcar, com substituição expressiva das pastagens, redução da área agrícola diversificada, relativa estabilidade da vegetação nativa remanescente e expansão contínua da mancha urbana. Conclui-se que o município apresenta um processo de especialização produtiva voltado à monocultura canavieira, com implicações para a gestão territorial e para a legislação ambiental incidente sobre os recursos naturais remanescentes.</w:t>
      </w:r>
    </w:p>
    <w:p w14:paraId="762F9B08" w14:textId="77777777" w:rsidR="00E3782C" w:rsidRPr="005F70B0" w:rsidRDefault="00E3782C" w:rsidP="00E3782C">
      <w:pPr>
        <w:jc w:val="both"/>
        <w:rPr>
          <w:b/>
          <w:sz w:val="24"/>
          <w:szCs w:val="24"/>
        </w:rPr>
      </w:pPr>
    </w:p>
    <w:p w14:paraId="006243D2" w14:textId="6F3BEADE" w:rsidR="009C4B75" w:rsidRPr="00C65BE3" w:rsidRDefault="00E3782C" w:rsidP="009C4B75">
      <w:pPr>
        <w:jc w:val="both"/>
        <w:rPr>
          <w:bCs/>
          <w:spacing w:val="-2"/>
          <w:sz w:val="24"/>
          <w:szCs w:val="24"/>
        </w:rPr>
      </w:pPr>
      <w:r w:rsidRPr="005F70B0">
        <w:rPr>
          <w:b/>
          <w:sz w:val="24"/>
          <w:szCs w:val="24"/>
        </w:rPr>
        <w:t>Palavras-chave:</w:t>
      </w:r>
      <w:r w:rsidRPr="005F70B0">
        <w:rPr>
          <w:b/>
          <w:spacing w:val="-2"/>
          <w:sz w:val="24"/>
          <w:szCs w:val="24"/>
        </w:rPr>
        <w:t xml:space="preserve"> </w:t>
      </w:r>
      <w:r w:rsidR="00C65BE3">
        <w:rPr>
          <w:bCs/>
          <w:spacing w:val="-2"/>
          <w:sz w:val="24"/>
          <w:szCs w:val="24"/>
        </w:rPr>
        <w:t>Geoprocessamento; LULC; MapBiomas; Sensoriamento Remoto.</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270B86" w14:textId="77777777" w:rsidR="009C4B75" w:rsidRDefault="009C4B75" w:rsidP="009C4B75">
      <w:pPr>
        <w:pStyle w:val="Corpodetexto"/>
        <w:spacing w:before="1" w:line="360" w:lineRule="auto"/>
        <w:ind w:firstLine="720"/>
        <w:jc w:val="both"/>
        <w:rPr>
          <w:sz w:val="24"/>
          <w:szCs w:val="24"/>
        </w:rPr>
      </w:pPr>
    </w:p>
    <w:p w14:paraId="03AC252C" w14:textId="3538FC86" w:rsidR="00B625A3" w:rsidRDefault="00F67F16" w:rsidP="009C4B75">
      <w:pPr>
        <w:pStyle w:val="Corpodetexto"/>
        <w:spacing w:before="1" w:line="360" w:lineRule="auto"/>
        <w:ind w:firstLine="720"/>
        <w:jc w:val="both"/>
        <w:rPr>
          <w:sz w:val="24"/>
          <w:szCs w:val="24"/>
        </w:rPr>
      </w:pPr>
      <w:r w:rsidRPr="00F67F16">
        <w:rPr>
          <w:sz w:val="24"/>
          <w:szCs w:val="24"/>
        </w:rPr>
        <w:t>O uso e a ocupação d</w:t>
      </w:r>
      <w:r w:rsidR="00C901D4">
        <w:rPr>
          <w:sz w:val="24"/>
          <w:szCs w:val="24"/>
        </w:rPr>
        <w:t>a</w:t>
      </w:r>
      <w:r w:rsidRPr="00F67F16">
        <w:rPr>
          <w:sz w:val="24"/>
          <w:szCs w:val="24"/>
        </w:rPr>
        <w:t xml:space="preserve"> </w:t>
      </w:r>
      <w:r w:rsidR="00C901D4">
        <w:rPr>
          <w:sz w:val="24"/>
          <w:szCs w:val="24"/>
        </w:rPr>
        <w:t>terra</w:t>
      </w:r>
      <w:r w:rsidRPr="00F67F16">
        <w:rPr>
          <w:sz w:val="24"/>
          <w:szCs w:val="24"/>
        </w:rPr>
        <w:t xml:space="preserve"> constituem processos dinâmicos que refletem as transformações econômicas, sociais e ambientais de um território ao longo do tempo. No Brasil, o monitoramento dessas mudanças foi substancialmente aprimorado a partir da disponibilização de séries históricas de mapeamento por sensoriamento remoto, como as produzidas pelo projeto MapBiomas, que reconstitui anualmente a cobertura e o uso da terra em todos os biomas brasileiros a partir de imagens Landsat e classificação automatizada (S</w:t>
      </w:r>
      <w:r w:rsidR="00E1139B">
        <w:rPr>
          <w:sz w:val="24"/>
          <w:szCs w:val="24"/>
        </w:rPr>
        <w:t>ouza</w:t>
      </w:r>
      <w:r w:rsidRPr="00F67F16">
        <w:rPr>
          <w:sz w:val="24"/>
          <w:szCs w:val="24"/>
        </w:rPr>
        <w:t xml:space="preserve"> J</w:t>
      </w:r>
      <w:r w:rsidR="00E1139B">
        <w:rPr>
          <w:sz w:val="24"/>
          <w:szCs w:val="24"/>
        </w:rPr>
        <w:t>r</w:t>
      </w:r>
      <w:r w:rsidRPr="00F67F16">
        <w:rPr>
          <w:sz w:val="24"/>
          <w:szCs w:val="24"/>
        </w:rPr>
        <w:t xml:space="preserve">. </w:t>
      </w:r>
      <w:r w:rsidRPr="00717247">
        <w:rPr>
          <w:i/>
          <w:iCs/>
          <w:sz w:val="24"/>
          <w:szCs w:val="24"/>
        </w:rPr>
        <w:t>et al</w:t>
      </w:r>
      <w:r w:rsidRPr="00F67F16">
        <w:rPr>
          <w:sz w:val="24"/>
          <w:szCs w:val="24"/>
        </w:rPr>
        <w:t>., 2020).</w:t>
      </w:r>
    </w:p>
    <w:p w14:paraId="22B93823" w14:textId="7071DBC5" w:rsidR="002B0686" w:rsidRDefault="00453679" w:rsidP="009C4B75">
      <w:pPr>
        <w:pStyle w:val="Corpodetexto"/>
        <w:spacing w:before="1" w:line="360" w:lineRule="auto"/>
        <w:ind w:firstLine="720"/>
        <w:jc w:val="both"/>
        <w:rPr>
          <w:sz w:val="24"/>
          <w:szCs w:val="24"/>
        </w:rPr>
      </w:pPr>
      <w:r w:rsidRPr="00453679">
        <w:rPr>
          <w:sz w:val="24"/>
          <w:szCs w:val="24"/>
        </w:rPr>
        <w:t xml:space="preserve">No interior paulista, esse processo tem sido marcado pela expansão da cultura canavieira, sobretudo a partir dos anos 2000, impulsionada pela demanda por etanol e açúcar. </w:t>
      </w:r>
      <w:r w:rsidRPr="00453679">
        <w:rPr>
          <w:sz w:val="24"/>
          <w:szCs w:val="24"/>
        </w:rPr>
        <w:lastRenderedPageBreak/>
        <w:t>Estudos indicam que essa expansão ocorreu predominantemente sobre áreas de pastagem, e não sobre remanescentes de vegetação nativa (A</w:t>
      </w:r>
      <w:r w:rsidR="009D5888">
        <w:rPr>
          <w:sz w:val="24"/>
          <w:szCs w:val="24"/>
        </w:rPr>
        <w:t>dami</w:t>
      </w:r>
      <w:r w:rsidRPr="00453679">
        <w:rPr>
          <w:sz w:val="24"/>
          <w:szCs w:val="24"/>
        </w:rPr>
        <w:t xml:space="preserve"> </w:t>
      </w:r>
      <w:r w:rsidRPr="00453679">
        <w:rPr>
          <w:i/>
          <w:iCs/>
          <w:sz w:val="24"/>
          <w:szCs w:val="24"/>
        </w:rPr>
        <w:t>et al</w:t>
      </w:r>
      <w:r w:rsidRPr="00453679">
        <w:rPr>
          <w:sz w:val="24"/>
          <w:szCs w:val="24"/>
        </w:rPr>
        <w:t>., 2012; A</w:t>
      </w:r>
      <w:r w:rsidR="009D5888">
        <w:rPr>
          <w:sz w:val="24"/>
          <w:szCs w:val="24"/>
        </w:rPr>
        <w:t>lkimim</w:t>
      </w:r>
      <w:r w:rsidRPr="00453679">
        <w:rPr>
          <w:sz w:val="24"/>
          <w:szCs w:val="24"/>
        </w:rPr>
        <w:t>; S</w:t>
      </w:r>
      <w:r w:rsidR="009D5888">
        <w:rPr>
          <w:sz w:val="24"/>
          <w:szCs w:val="24"/>
        </w:rPr>
        <w:t>parovek</w:t>
      </w:r>
      <w:r w:rsidRPr="00453679">
        <w:rPr>
          <w:sz w:val="24"/>
          <w:szCs w:val="24"/>
        </w:rPr>
        <w:t>; C</w:t>
      </w:r>
      <w:r w:rsidR="009D5888">
        <w:rPr>
          <w:sz w:val="24"/>
          <w:szCs w:val="24"/>
        </w:rPr>
        <w:t>larke</w:t>
      </w:r>
      <w:r w:rsidRPr="00453679">
        <w:rPr>
          <w:sz w:val="24"/>
          <w:szCs w:val="24"/>
        </w:rPr>
        <w:t>, 2015)</w:t>
      </w:r>
      <w:r w:rsidR="00FF0E93" w:rsidRPr="00FF0E93">
        <w:t xml:space="preserve"> </w:t>
      </w:r>
      <w:r w:rsidR="00FF0E93" w:rsidRPr="00FF0E93">
        <w:rPr>
          <w:sz w:val="24"/>
          <w:szCs w:val="24"/>
        </w:rPr>
        <w:t>, configurando um conflito pelo uso da terra frente às demais</w:t>
      </w:r>
      <w:r w:rsidR="00FF0E93">
        <w:rPr>
          <w:sz w:val="24"/>
          <w:szCs w:val="24"/>
        </w:rPr>
        <w:t xml:space="preserve"> </w:t>
      </w:r>
      <w:r w:rsidR="00FF0E93" w:rsidRPr="00FF0E93">
        <w:rPr>
          <w:sz w:val="24"/>
          <w:szCs w:val="24"/>
        </w:rPr>
        <w:t>lavouras e à pecuária que merece atenção do planejamento territorial (C</w:t>
      </w:r>
      <w:r w:rsidR="00F43318">
        <w:rPr>
          <w:sz w:val="24"/>
          <w:szCs w:val="24"/>
        </w:rPr>
        <w:t>amara</w:t>
      </w:r>
      <w:r w:rsidR="00F44568">
        <w:rPr>
          <w:sz w:val="24"/>
          <w:szCs w:val="24"/>
        </w:rPr>
        <w:t xml:space="preserve"> e </w:t>
      </w:r>
      <w:r w:rsidR="00FF0E93" w:rsidRPr="00FF0E93">
        <w:rPr>
          <w:sz w:val="24"/>
          <w:szCs w:val="24"/>
        </w:rPr>
        <w:t>C</w:t>
      </w:r>
      <w:r w:rsidR="00F43318">
        <w:rPr>
          <w:sz w:val="24"/>
          <w:szCs w:val="24"/>
        </w:rPr>
        <w:t>aldarelli</w:t>
      </w:r>
      <w:r w:rsidR="00FF0E93" w:rsidRPr="00FF0E93">
        <w:rPr>
          <w:sz w:val="24"/>
          <w:szCs w:val="24"/>
        </w:rPr>
        <w:t>, 2016).</w:t>
      </w:r>
      <w:r w:rsidR="0002311F" w:rsidRPr="0002311F">
        <w:t xml:space="preserve"> </w:t>
      </w:r>
      <w:r w:rsidR="0002311F" w:rsidRPr="0002311F">
        <w:rPr>
          <w:sz w:val="24"/>
          <w:szCs w:val="24"/>
        </w:rPr>
        <w:t>O município de Barretos, situado na região norte do Estado de São Paulo, integra esse contexto, figurando atualmente como o segundo maior produtor de cana-de-açúcar do estado</w:t>
      </w:r>
      <w:r w:rsidR="0002311F">
        <w:rPr>
          <w:sz w:val="24"/>
          <w:szCs w:val="24"/>
        </w:rPr>
        <w:t xml:space="preserve"> (Jornal de Barretos, 2024)</w:t>
      </w:r>
      <w:r w:rsidR="00025E6A">
        <w:rPr>
          <w:sz w:val="24"/>
          <w:szCs w:val="24"/>
        </w:rPr>
        <w:t>.</w:t>
      </w:r>
      <w:r w:rsidR="00025E6A" w:rsidRPr="00025E6A">
        <w:t xml:space="preserve"> </w:t>
      </w:r>
      <w:r w:rsidR="00025E6A" w:rsidRPr="00025E6A">
        <w:rPr>
          <w:sz w:val="24"/>
          <w:szCs w:val="24"/>
        </w:rPr>
        <w:t>Essa condição impõe desafios à gestão dos recursos naturais remanescentes, sobretudo quanto à manutenção das áreas de preservação permanente e de reserva legal previstas pela legislação florestal vigente (BRASIL, 2012), e à conservação dos corpos hídricos e formações florestais associadas às drenagens do município.</w:t>
      </w:r>
    </w:p>
    <w:p w14:paraId="0CDC3173" w14:textId="67615CC0" w:rsidR="008913F4" w:rsidRDefault="009152D8" w:rsidP="00DC6BD8">
      <w:pPr>
        <w:pStyle w:val="Corpodetexto"/>
        <w:spacing w:before="1" w:line="360" w:lineRule="auto"/>
        <w:ind w:firstLine="720"/>
        <w:jc w:val="both"/>
        <w:rPr>
          <w:sz w:val="24"/>
          <w:szCs w:val="24"/>
        </w:rPr>
      </w:pPr>
      <w:r w:rsidRPr="009152D8">
        <w:rPr>
          <w:sz w:val="24"/>
          <w:szCs w:val="24"/>
        </w:rPr>
        <w:t>Diante desse cenário, justifica-se compreender como as classes de uso e cobertura da terra em Barretos/SP se modificaram ao longo das últimas duas décadas, contribuindo para a gestão ambiental municipal e para políticas públicas de ordenamento territorial. Assim, o objetivo geral deste estudo foi analisar a dinâmica de uso e ocupação d</w:t>
      </w:r>
      <w:r w:rsidR="00A01E75">
        <w:rPr>
          <w:sz w:val="24"/>
          <w:szCs w:val="24"/>
        </w:rPr>
        <w:t>a terra</w:t>
      </w:r>
      <w:r w:rsidRPr="009152D8">
        <w:rPr>
          <w:sz w:val="24"/>
          <w:szCs w:val="24"/>
        </w:rPr>
        <w:t xml:space="preserve"> em Barretos/SP entre 2005, 2015 e 2024, a partir de dados do MapBiomas. Especificamente, buscou-se: (i) elaborar mapas temáticos de uso e cobertura da terra para os três anos analisados; (ii) quantificar as áreas ocupadas pelas principais classes de uso; e (iii) discutir as transformações identificadas à luz da legislação ambiental e da literatura sobre expansão canavieira em São Paulo.</w:t>
      </w:r>
    </w:p>
    <w:p w14:paraId="16FDABA8" w14:textId="77777777" w:rsidR="009C4B75" w:rsidRPr="005F70B0" w:rsidRDefault="009C4B75" w:rsidP="009C4B75">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5E1FA1FB" w14:textId="42D39979" w:rsidR="00A30ADD" w:rsidRDefault="001805FD" w:rsidP="009C4B75">
      <w:pPr>
        <w:pStyle w:val="Corpodetexto"/>
        <w:spacing w:before="1" w:line="360" w:lineRule="auto"/>
        <w:ind w:firstLine="720"/>
        <w:jc w:val="both"/>
        <w:rPr>
          <w:sz w:val="24"/>
          <w:szCs w:val="24"/>
        </w:rPr>
      </w:pPr>
      <w:r w:rsidRPr="001805FD">
        <w:rPr>
          <w:sz w:val="24"/>
          <w:szCs w:val="24"/>
        </w:rPr>
        <w:t>Trata-se de uma pesquisa de natureza quali-quantitativa, de caráter descritivo e exploratório, desenvolvida a partir de técnicas de geoprocessamento e análise documental. A área de estudo corresponde ao município de Barretos, localizado na região norte do Estado de São Paulo (Figura 1), inserido em uma paisagem predominantemente rural, com forte presença da atividade sucroenergética.</w:t>
      </w:r>
    </w:p>
    <w:p w14:paraId="647942C8" w14:textId="7B79B88E" w:rsidR="001805FD" w:rsidRDefault="00F43AA5" w:rsidP="009C4B75">
      <w:pPr>
        <w:pStyle w:val="Corpodetexto"/>
        <w:spacing w:before="1" w:line="360" w:lineRule="auto"/>
        <w:ind w:firstLine="720"/>
        <w:jc w:val="both"/>
        <w:rPr>
          <w:sz w:val="24"/>
          <w:szCs w:val="24"/>
        </w:rPr>
      </w:pPr>
      <w:r w:rsidRPr="00F43AA5">
        <w:rPr>
          <w:sz w:val="24"/>
          <w:szCs w:val="24"/>
        </w:rPr>
        <w:t>Para a análise da dinâmica de uso e ocupação d</w:t>
      </w:r>
      <w:r w:rsidR="009B450E">
        <w:rPr>
          <w:sz w:val="24"/>
          <w:szCs w:val="24"/>
        </w:rPr>
        <w:t>a terra</w:t>
      </w:r>
      <w:r w:rsidRPr="00F43AA5">
        <w:rPr>
          <w:sz w:val="24"/>
          <w:szCs w:val="24"/>
        </w:rPr>
        <w:t xml:space="preserve">, foram utilizados dados matriciais de cobertura e uso da terra do projeto MapBiomas, Coleção 9, com resolução espacial de 30 metros, referentes aos anos de 2005, 2015 e 2024 </w:t>
      </w:r>
      <w:r w:rsidR="004E3F07">
        <w:rPr>
          <w:sz w:val="24"/>
          <w:szCs w:val="24"/>
        </w:rPr>
        <w:t>(</w:t>
      </w:r>
      <w:r w:rsidRPr="00F43AA5">
        <w:rPr>
          <w:sz w:val="24"/>
          <w:szCs w:val="24"/>
        </w:rPr>
        <w:t>M</w:t>
      </w:r>
      <w:r>
        <w:rPr>
          <w:sz w:val="24"/>
          <w:szCs w:val="24"/>
        </w:rPr>
        <w:t>ap</w:t>
      </w:r>
      <w:r w:rsidRPr="00F43AA5">
        <w:rPr>
          <w:sz w:val="24"/>
          <w:szCs w:val="24"/>
        </w:rPr>
        <w:t>B</w:t>
      </w:r>
      <w:r>
        <w:rPr>
          <w:sz w:val="24"/>
          <w:szCs w:val="24"/>
        </w:rPr>
        <w:t>iomas</w:t>
      </w:r>
      <w:r w:rsidRPr="00F43AA5">
        <w:rPr>
          <w:sz w:val="24"/>
          <w:szCs w:val="24"/>
        </w:rPr>
        <w:t>, 2024). A escolha desses três anos buscou representar, respectivamente, o período anterior à consolidação da expansão canavieira na região, um momento intermediário e a situação mais recente disponível.</w:t>
      </w:r>
    </w:p>
    <w:p w14:paraId="64FB16C8" w14:textId="24CCF2A9" w:rsidR="00E3782C" w:rsidRPr="005F70B0" w:rsidRDefault="005A5B3A" w:rsidP="00FB4FE6">
      <w:pPr>
        <w:pStyle w:val="Corpodetexto"/>
        <w:spacing w:before="1" w:line="360" w:lineRule="auto"/>
        <w:ind w:firstLine="720"/>
        <w:jc w:val="both"/>
        <w:rPr>
          <w:sz w:val="24"/>
          <w:szCs w:val="24"/>
        </w:rPr>
      </w:pPr>
      <w:r w:rsidRPr="005A5B3A">
        <w:rPr>
          <w:sz w:val="24"/>
          <w:szCs w:val="24"/>
        </w:rPr>
        <w:t xml:space="preserve">O processamento dos dados foi realizado em ambiente SIG, por meio do software </w:t>
      </w:r>
      <w:r w:rsidRPr="005A5B3A">
        <w:rPr>
          <w:sz w:val="24"/>
          <w:szCs w:val="24"/>
        </w:rPr>
        <w:lastRenderedPageBreak/>
        <w:t>QGIS, no qual os limites municipais de Barretos foram sobrepostos às camadas raster do MapBiomas para cada ano, possibilitando o recorte, a reclassificação e a elaboração de mapas temáticos individualizados (Figuras 2, 3 e 4), com legenda, escala gráfica e orientação Norte. Complementarmente, os dados de área (em hectares) de cada classe foram extraídos da plataforma de estatísticas do MapBiomas para o território municipal (M</w:t>
      </w:r>
      <w:r w:rsidR="001A6EB6">
        <w:rPr>
          <w:sz w:val="24"/>
          <w:szCs w:val="24"/>
        </w:rPr>
        <w:t>ap</w:t>
      </w:r>
      <w:r w:rsidRPr="005A5B3A">
        <w:rPr>
          <w:sz w:val="24"/>
          <w:szCs w:val="24"/>
        </w:rPr>
        <w:t>B</w:t>
      </w:r>
      <w:r w:rsidR="001A6EB6">
        <w:rPr>
          <w:sz w:val="24"/>
          <w:szCs w:val="24"/>
        </w:rPr>
        <w:t>iomas</w:t>
      </w:r>
      <w:r w:rsidRPr="005A5B3A">
        <w:rPr>
          <w:sz w:val="24"/>
          <w:szCs w:val="24"/>
        </w:rPr>
        <w:t>, 2024), permitindo a construção de uma tabela comparativa entre os três anos (Tabela 1), a partir da qual se calculou a variação percentual de área ocupada por cada classe entre 2005 e 2024, discutida à luz da legislação ambiental e da literatura sobre expansão canavieira.</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58352798" w14:textId="6188A2FE" w:rsidR="00141612" w:rsidRDefault="00B73BA8" w:rsidP="009C4B75">
      <w:pPr>
        <w:pStyle w:val="Corpodetexto"/>
        <w:spacing w:before="1" w:line="360" w:lineRule="auto"/>
        <w:ind w:firstLine="720"/>
        <w:jc w:val="both"/>
        <w:rPr>
          <w:sz w:val="24"/>
          <w:szCs w:val="24"/>
        </w:rPr>
      </w:pPr>
      <w:r w:rsidRPr="00B73BA8">
        <w:rPr>
          <w:sz w:val="24"/>
          <w:szCs w:val="24"/>
        </w:rPr>
        <w:t>A Figura 1 apresenta a localização do município de Barretos no Estado de São Paulo, situado na porção norte do território paulista, próximo à divisa com o estado de Minas Gerais.</w:t>
      </w:r>
    </w:p>
    <w:p w14:paraId="5EE24A8C" w14:textId="0E650200" w:rsidR="00B73BA8" w:rsidRPr="001B4C94" w:rsidRDefault="00B73BA8" w:rsidP="00882931">
      <w:pPr>
        <w:pStyle w:val="Corpodetexto"/>
        <w:spacing w:before="1"/>
        <w:ind w:firstLine="720"/>
        <w:jc w:val="center"/>
        <w:rPr>
          <w:b/>
          <w:bCs/>
        </w:rPr>
      </w:pPr>
      <w:r w:rsidRPr="001B4C94">
        <w:rPr>
          <w:b/>
          <w:bCs/>
        </w:rPr>
        <w:t>Figura 1 – Localização de Barretos no Estado de São Paulo</w:t>
      </w:r>
    </w:p>
    <w:p w14:paraId="7A296483" w14:textId="1BCBAEAE" w:rsidR="00B73BA8" w:rsidRDefault="001B4C94" w:rsidP="00882931">
      <w:pPr>
        <w:pStyle w:val="Corpodetexto"/>
        <w:spacing w:before="1"/>
        <w:ind w:firstLine="720"/>
        <w:jc w:val="center"/>
        <w:rPr>
          <w:sz w:val="24"/>
          <w:szCs w:val="24"/>
        </w:rPr>
      </w:pPr>
      <w:r>
        <w:rPr>
          <w:noProof/>
        </w:rPr>
        <w:drawing>
          <wp:inline distT="0" distB="0" distL="0" distR="0" wp14:anchorId="34AA5AD2" wp14:editId="12F51AB8">
            <wp:extent cx="2372995" cy="1581980"/>
            <wp:effectExtent l="0" t="0" r="825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149" t="5216" r="2527" b="6810"/>
                    <a:stretch/>
                  </pic:blipFill>
                  <pic:spPr bwMode="auto">
                    <a:xfrm>
                      <a:off x="0" y="0"/>
                      <a:ext cx="2452685" cy="1635106"/>
                    </a:xfrm>
                    <a:prstGeom prst="rect">
                      <a:avLst/>
                    </a:prstGeom>
                    <a:noFill/>
                    <a:ln>
                      <a:noFill/>
                    </a:ln>
                    <a:extLst>
                      <a:ext uri="{53640926-AAD7-44D8-BBD7-CCE9431645EC}">
                        <a14:shadowObscured xmlns:a14="http://schemas.microsoft.com/office/drawing/2010/main"/>
                      </a:ext>
                    </a:extLst>
                  </pic:spPr>
                </pic:pic>
              </a:graphicData>
            </a:graphic>
          </wp:inline>
        </w:drawing>
      </w:r>
    </w:p>
    <w:p w14:paraId="64904015" w14:textId="4DB4A763" w:rsidR="001B4C94" w:rsidRDefault="001B4C94" w:rsidP="00882931">
      <w:pPr>
        <w:pStyle w:val="Corpodetexto"/>
        <w:spacing w:before="1"/>
      </w:pPr>
      <w:r>
        <w:t>Fonte:</w:t>
      </w:r>
      <w:r w:rsidRPr="001B4C94">
        <w:t xml:space="preserve"> Elaborado pel</w:t>
      </w:r>
      <w:r>
        <w:t>os</w:t>
      </w:r>
      <w:r w:rsidRPr="001B4C94">
        <w:t xml:space="preserve"> autor</w:t>
      </w:r>
      <w:r>
        <w:t>es</w:t>
      </w:r>
      <w:r w:rsidRPr="001B4C94">
        <w:t xml:space="preserve"> com base em IBGE (2025).</w:t>
      </w:r>
    </w:p>
    <w:p w14:paraId="3E6E2EB4" w14:textId="11744B6A" w:rsidR="002925EB" w:rsidRDefault="00F90FD1" w:rsidP="002925EB">
      <w:pPr>
        <w:pStyle w:val="Corpodetexto"/>
        <w:spacing w:before="1" w:line="360" w:lineRule="auto"/>
        <w:ind w:firstLine="720"/>
        <w:jc w:val="both"/>
        <w:rPr>
          <w:sz w:val="24"/>
          <w:szCs w:val="24"/>
        </w:rPr>
      </w:pPr>
      <w:r w:rsidRPr="00F90FD1">
        <w:rPr>
          <w:sz w:val="24"/>
          <w:szCs w:val="24"/>
        </w:rPr>
        <w:t>Em 2005 (Figura 2), o uso da terra em Barretos era relativamente diversificado: a cana-de-açúcar (36.973 ha) já se destacava, mas em proporção próxima ao mosaico de usos (29.856 ha) e à pastagem (29.735 ha), indicando a coexistência de diferentes atividades agropecuárias no município.</w:t>
      </w:r>
    </w:p>
    <w:p w14:paraId="38690D52" w14:textId="48C35F35" w:rsidR="002925EB" w:rsidRPr="00C94D2A" w:rsidRDefault="002925EB" w:rsidP="00882931">
      <w:pPr>
        <w:pStyle w:val="Corpodetexto"/>
        <w:spacing w:line="360" w:lineRule="auto"/>
        <w:ind w:firstLine="720"/>
        <w:jc w:val="center"/>
        <w:rPr>
          <w:b/>
          <w:bCs/>
        </w:rPr>
      </w:pPr>
      <w:r w:rsidRPr="00C94D2A">
        <w:rPr>
          <w:b/>
          <w:bCs/>
        </w:rPr>
        <w:t xml:space="preserve">Figura 2 - Uso e cobertura da terra em Barretos/SP </w:t>
      </w:r>
      <w:r w:rsidR="00EE14DD">
        <w:rPr>
          <w:b/>
          <w:bCs/>
        </w:rPr>
        <w:t>em</w:t>
      </w:r>
      <w:r w:rsidRPr="00C94D2A">
        <w:rPr>
          <w:b/>
          <w:bCs/>
        </w:rPr>
        <w:t xml:space="preserve"> 2005.</w:t>
      </w:r>
    </w:p>
    <w:p w14:paraId="3C36EC9E" w14:textId="5FACA8BE" w:rsidR="002925EB" w:rsidRDefault="002925EB" w:rsidP="00882931">
      <w:pPr>
        <w:pStyle w:val="NormalWeb"/>
        <w:spacing w:before="0" w:beforeAutospacing="0" w:after="0" w:afterAutospacing="0"/>
        <w:jc w:val="center"/>
      </w:pPr>
      <w:r>
        <w:rPr>
          <w:noProof/>
        </w:rPr>
        <w:drawing>
          <wp:inline distT="0" distB="0" distL="0" distR="0" wp14:anchorId="341C495B" wp14:editId="6A8AD544">
            <wp:extent cx="2209310" cy="1552966"/>
            <wp:effectExtent l="0" t="0" r="63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032" t="2144" r="1730" b="3182"/>
                    <a:stretch/>
                  </pic:blipFill>
                  <pic:spPr bwMode="auto">
                    <a:xfrm>
                      <a:off x="0" y="0"/>
                      <a:ext cx="2222010" cy="1561893"/>
                    </a:xfrm>
                    <a:prstGeom prst="rect">
                      <a:avLst/>
                    </a:prstGeom>
                    <a:noFill/>
                    <a:ln>
                      <a:noFill/>
                    </a:ln>
                    <a:extLst>
                      <a:ext uri="{53640926-AAD7-44D8-BBD7-CCE9431645EC}">
                        <a14:shadowObscured xmlns:a14="http://schemas.microsoft.com/office/drawing/2010/main"/>
                      </a:ext>
                    </a:extLst>
                  </pic:spPr>
                </pic:pic>
              </a:graphicData>
            </a:graphic>
          </wp:inline>
        </w:drawing>
      </w:r>
    </w:p>
    <w:p w14:paraId="6E8DA715" w14:textId="62506C93" w:rsidR="0088646A" w:rsidRPr="00F23C99" w:rsidRDefault="00F23C99" w:rsidP="00882931">
      <w:pPr>
        <w:pStyle w:val="Corpodetexto"/>
        <w:spacing w:before="1" w:line="360" w:lineRule="auto"/>
      </w:pPr>
      <w:r>
        <w:t xml:space="preserve">Fonte: </w:t>
      </w:r>
      <w:r w:rsidRPr="00F23C99">
        <w:t>Elaborado pel</w:t>
      </w:r>
      <w:r w:rsidR="003D447D">
        <w:t>os</w:t>
      </w:r>
      <w:r w:rsidRPr="00F23C99">
        <w:t xml:space="preserve"> autor</w:t>
      </w:r>
      <w:r w:rsidR="003D447D">
        <w:t>es</w:t>
      </w:r>
      <w:r w:rsidRPr="00F23C99">
        <w:t xml:space="preserve"> com base em MapBiomas (2024) e IBGE (2025).</w:t>
      </w:r>
    </w:p>
    <w:p w14:paraId="4D0EAF87" w14:textId="5DECE6CF" w:rsidR="0088646A" w:rsidRDefault="004F443F" w:rsidP="0039542D">
      <w:pPr>
        <w:pStyle w:val="Corpodetexto"/>
        <w:spacing w:before="1" w:line="360" w:lineRule="auto"/>
        <w:ind w:firstLine="720"/>
        <w:jc w:val="both"/>
        <w:rPr>
          <w:sz w:val="24"/>
          <w:szCs w:val="24"/>
        </w:rPr>
      </w:pPr>
      <w:r w:rsidRPr="004F443F">
        <w:rPr>
          <w:sz w:val="24"/>
          <w:szCs w:val="24"/>
        </w:rPr>
        <w:t xml:space="preserve">Em 2015 (Figura 3), nota-se uma reconfiguração expressiva da paisagem, com predomínio quase absoluto da cana-de-açúcar, que passou a ocupar 80.496 ha </w:t>
      </w:r>
      <w:r>
        <w:rPr>
          <w:sz w:val="24"/>
          <w:szCs w:val="24"/>
        </w:rPr>
        <w:t>(</w:t>
      </w:r>
      <w:r w:rsidRPr="004F443F">
        <w:rPr>
          <w:sz w:val="24"/>
          <w:szCs w:val="24"/>
        </w:rPr>
        <w:t xml:space="preserve">mais que o </w:t>
      </w:r>
      <w:r w:rsidRPr="004F443F">
        <w:rPr>
          <w:sz w:val="24"/>
          <w:szCs w:val="24"/>
        </w:rPr>
        <w:lastRenderedPageBreak/>
        <w:t>dobro de 2005</w:t>
      </w:r>
      <w:r>
        <w:rPr>
          <w:sz w:val="24"/>
          <w:szCs w:val="24"/>
        </w:rPr>
        <w:t>)</w:t>
      </w:r>
      <w:r w:rsidRPr="004F443F">
        <w:rPr>
          <w:sz w:val="24"/>
          <w:szCs w:val="24"/>
        </w:rPr>
        <w:t xml:space="preserve">, sobretudo em detrimento da pastagem (13.332 ha) e da soja, </w:t>
      </w:r>
      <w:r w:rsidR="0098763A">
        <w:rPr>
          <w:sz w:val="24"/>
          <w:szCs w:val="24"/>
        </w:rPr>
        <w:t>a qual</w:t>
      </w:r>
      <w:r w:rsidRPr="004F443F">
        <w:rPr>
          <w:sz w:val="24"/>
          <w:szCs w:val="24"/>
        </w:rPr>
        <w:t xml:space="preserve"> recuou de 21.469 para 7.149 ha.</w:t>
      </w:r>
    </w:p>
    <w:p w14:paraId="14D43E44" w14:textId="6A57896E" w:rsidR="00F8141D" w:rsidRPr="00F8141D" w:rsidRDefault="00F8141D" w:rsidP="00882931">
      <w:pPr>
        <w:pStyle w:val="Corpodetexto"/>
        <w:ind w:firstLine="720"/>
        <w:jc w:val="center"/>
        <w:rPr>
          <w:b/>
          <w:bCs/>
        </w:rPr>
      </w:pPr>
      <w:r w:rsidRPr="00F8141D">
        <w:rPr>
          <w:b/>
          <w:bCs/>
        </w:rPr>
        <w:t>Figura 3</w:t>
      </w:r>
      <w:r>
        <w:rPr>
          <w:b/>
          <w:bCs/>
        </w:rPr>
        <w:t xml:space="preserve"> -</w:t>
      </w:r>
      <w:r w:rsidRPr="00F8141D">
        <w:rPr>
          <w:b/>
          <w:bCs/>
        </w:rPr>
        <w:t xml:space="preserve"> Uso e cobertura da terra em Barretos/SP </w:t>
      </w:r>
      <w:r>
        <w:rPr>
          <w:b/>
          <w:bCs/>
        </w:rPr>
        <w:t>em</w:t>
      </w:r>
      <w:r w:rsidRPr="00F8141D">
        <w:rPr>
          <w:b/>
          <w:bCs/>
        </w:rPr>
        <w:t xml:space="preserve"> 2015.</w:t>
      </w:r>
    </w:p>
    <w:p w14:paraId="21564B3F" w14:textId="58FD49F4" w:rsidR="00F8141D" w:rsidRDefault="00F8141D" w:rsidP="00882931">
      <w:pPr>
        <w:pStyle w:val="NormalWeb"/>
        <w:spacing w:before="0" w:beforeAutospacing="0" w:after="0" w:afterAutospacing="0"/>
        <w:jc w:val="center"/>
      </w:pPr>
      <w:r>
        <w:rPr>
          <w:noProof/>
        </w:rPr>
        <w:drawing>
          <wp:inline distT="0" distB="0" distL="0" distR="0" wp14:anchorId="2DC95F35" wp14:editId="706A5B1E">
            <wp:extent cx="2706922" cy="1927909"/>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86" t="1169" r="1856" b="2684"/>
                    <a:stretch/>
                  </pic:blipFill>
                  <pic:spPr bwMode="auto">
                    <a:xfrm>
                      <a:off x="0" y="0"/>
                      <a:ext cx="2785551" cy="1983910"/>
                    </a:xfrm>
                    <a:prstGeom prst="rect">
                      <a:avLst/>
                    </a:prstGeom>
                    <a:noFill/>
                    <a:ln>
                      <a:noFill/>
                    </a:ln>
                    <a:extLst>
                      <a:ext uri="{53640926-AAD7-44D8-BBD7-CCE9431645EC}">
                        <a14:shadowObscured xmlns:a14="http://schemas.microsoft.com/office/drawing/2010/main"/>
                      </a:ext>
                    </a:extLst>
                  </pic:spPr>
                </pic:pic>
              </a:graphicData>
            </a:graphic>
          </wp:inline>
        </w:drawing>
      </w:r>
    </w:p>
    <w:p w14:paraId="5E731159" w14:textId="4ED26910" w:rsidR="00954FBD" w:rsidRPr="009B5330" w:rsidRDefault="009B5330" w:rsidP="00882931">
      <w:pPr>
        <w:pStyle w:val="Corpodetexto"/>
        <w:spacing w:before="1" w:line="360" w:lineRule="auto"/>
      </w:pPr>
      <w:r w:rsidRPr="009B5330">
        <w:t>Fonte: Elaborado pelos autores com base em MapBiomas (2024) e IBGE (2025).</w:t>
      </w:r>
    </w:p>
    <w:p w14:paraId="2145F68A" w14:textId="7FB9B52D" w:rsidR="00954FBD" w:rsidRDefault="007E516E" w:rsidP="0039542D">
      <w:pPr>
        <w:pStyle w:val="Corpodetexto"/>
        <w:spacing w:before="1" w:line="360" w:lineRule="auto"/>
        <w:ind w:firstLine="720"/>
        <w:jc w:val="both"/>
        <w:rPr>
          <w:sz w:val="24"/>
          <w:szCs w:val="24"/>
        </w:rPr>
      </w:pPr>
      <w:r w:rsidRPr="007E516E">
        <w:rPr>
          <w:sz w:val="24"/>
          <w:szCs w:val="24"/>
        </w:rPr>
        <w:t>Em 2024 (Figura 4), a cana-de-açúcar seguiu dominante, com discreta retração frente a 2015 (76.874 ha), enquanto a pastagem continuou em queda (8.827 ha) e a soja apresentou recuperação parcial (11.953 ha), possivelmente associada à rotação de cultivo nas áreas de reforma de canaviais.</w:t>
      </w:r>
    </w:p>
    <w:p w14:paraId="5008BDEA" w14:textId="51E34198" w:rsidR="007E516E" w:rsidRPr="00E10D8E" w:rsidRDefault="00E10D8E" w:rsidP="00444592">
      <w:pPr>
        <w:pStyle w:val="Corpodetexto"/>
        <w:ind w:firstLine="720"/>
        <w:jc w:val="center"/>
        <w:rPr>
          <w:b/>
          <w:bCs/>
        </w:rPr>
      </w:pPr>
      <w:r w:rsidRPr="00E10D8E">
        <w:rPr>
          <w:b/>
          <w:bCs/>
        </w:rPr>
        <w:t>Figura 4 - Uso e cobertura da terra em Barretos/SP em 2024.</w:t>
      </w:r>
    </w:p>
    <w:p w14:paraId="2323ADAC" w14:textId="5EA2FE02" w:rsidR="00655FC5" w:rsidRDefault="00655FC5" w:rsidP="00444592">
      <w:pPr>
        <w:pStyle w:val="NormalWeb"/>
        <w:spacing w:before="0" w:beforeAutospacing="0" w:after="0" w:afterAutospacing="0"/>
        <w:jc w:val="center"/>
      </w:pPr>
      <w:r>
        <w:rPr>
          <w:noProof/>
        </w:rPr>
        <w:drawing>
          <wp:inline distT="0" distB="0" distL="0" distR="0" wp14:anchorId="46576DFF" wp14:editId="4FAF0F27">
            <wp:extent cx="2584380" cy="1834270"/>
            <wp:effectExtent l="0" t="0" r="698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220" t="1821" r="2125" b="3170"/>
                    <a:stretch/>
                  </pic:blipFill>
                  <pic:spPr bwMode="auto">
                    <a:xfrm>
                      <a:off x="0" y="0"/>
                      <a:ext cx="2642466" cy="1875497"/>
                    </a:xfrm>
                    <a:prstGeom prst="rect">
                      <a:avLst/>
                    </a:prstGeom>
                    <a:noFill/>
                    <a:ln>
                      <a:noFill/>
                    </a:ln>
                    <a:extLst>
                      <a:ext uri="{53640926-AAD7-44D8-BBD7-CCE9431645EC}">
                        <a14:shadowObscured xmlns:a14="http://schemas.microsoft.com/office/drawing/2010/main"/>
                      </a:ext>
                    </a:extLst>
                  </pic:spPr>
                </pic:pic>
              </a:graphicData>
            </a:graphic>
          </wp:inline>
        </w:drawing>
      </w:r>
    </w:p>
    <w:p w14:paraId="66CD90F5" w14:textId="2F9A2F93" w:rsidR="007E516E" w:rsidRPr="00E10D8E" w:rsidRDefault="00E10D8E" w:rsidP="00444592">
      <w:pPr>
        <w:pStyle w:val="Corpodetexto"/>
        <w:spacing w:before="1" w:line="360" w:lineRule="auto"/>
      </w:pPr>
      <w:r w:rsidRPr="00E10D8E">
        <w:t>Fonte: Elaborado pelos autores com base em MapBiomas (2024) e IBGE (2025).</w:t>
      </w:r>
    </w:p>
    <w:p w14:paraId="458BEA61" w14:textId="069B4F4A" w:rsidR="007E516E" w:rsidRDefault="004B4D7E" w:rsidP="0039542D">
      <w:pPr>
        <w:pStyle w:val="Corpodetexto"/>
        <w:spacing w:before="1" w:line="360" w:lineRule="auto"/>
        <w:ind w:firstLine="720"/>
        <w:jc w:val="both"/>
        <w:rPr>
          <w:sz w:val="24"/>
          <w:szCs w:val="24"/>
        </w:rPr>
      </w:pPr>
      <w:r w:rsidRPr="004B4D7E">
        <w:rPr>
          <w:sz w:val="24"/>
          <w:szCs w:val="24"/>
        </w:rPr>
        <w:t>A Tabela 1 sintetiza a evolução das principais classes de uso e cobertura da terra no município entre 2005 e 2024.</w:t>
      </w:r>
    </w:p>
    <w:p w14:paraId="52F9298C" w14:textId="3BC83998" w:rsidR="00CB5D4E" w:rsidRPr="00CB5D4E" w:rsidRDefault="00CB5D4E" w:rsidP="00CB5D4E">
      <w:pPr>
        <w:pStyle w:val="Corpodetexto"/>
        <w:spacing w:before="1" w:line="360" w:lineRule="auto"/>
        <w:jc w:val="center"/>
        <w:rPr>
          <w:b/>
          <w:bCs/>
        </w:rPr>
      </w:pPr>
      <w:r w:rsidRPr="00CB5D4E">
        <w:rPr>
          <w:b/>
          <w:bCs/>
        </w:rPr>
        <w:t>Tabela 1. Área (ha) das principais classes de uso e cobertura da terra em Barretos/SP entre 2005 e 2024.</w:t>
      </w:r>
    </w:p>
    <w:tbl>
      <w:tblPr>
        <w:tblW w:w="0" w:type="auto"/>
        <w:jc w:val="center"/>
        <w:tblLook w:val="04A0" w:firstRow="1" w:lastRow="0" w:firstColumn="1" w:lastColumn="0" w:noHBand="0" w:noVBand="1"/>
      </w:tblPr>
      <w:tblGrid>
        <w:gridCol w:w="2993"/>
        <w:gridCol w:w="1279"/>
        <w:gridCol w:w="1279"/>
        <w:gridCol w:w="1279"/>
        <w:gridCol w:w="1924"/>
      </w:tblGrid>
      <w:tr w:rsidR="00040CE1" w14:paraId="3DEB24C6" w14:textId="77777777" w:rsidTr="007945F2">
        <w:trPr>
          <w:cantSplit/>
          <w:trHeight w:val="525"/>
          <w:jc w:val="center"/>
        </w:trPr>
        <w:tc>
          <w:tcPr>
            <w:tcW w:w="2993" w:type="dxa"/>
            <w:tcBorders>
              <w:top w:val="single" w:sz="4" w:space="0" w:color="000000"/>
              <w:left w:val="nil"/>
              <w:bottom w:val="single" w:sz="4" w:space="0" w:color="000000"/>
              <w:right w:val="nil"/>
            </w:tcBorders>
          </w:tcPr>
          <w:p w14:paraId="1B1E4742" w14:textId="77777777" w:rsidR="00CB5D4E" w:rsidRPr="00444592" w:rsidRDefault="00CB5D4E" w:rsidP="00444592">
            <w:pPr>
              <w:keepNext/>
              <w:spacing w:after="40"/>
              <w:jc w:val="center"/>
              <w:rPr>
                <w:sz w:val="20"/>
                <w:szCs w:val="20"/>
              </w:rPr>
            </w:pPr>
            <w:r w:rsidRPr="00444592">
              <w:rPr>
                <w:b/>
                <w:sz w:val="20"/>
                <w:szCs w:val="20"/>
              </w:rPr>
              <w:lastRenderedPageBreak/>
              <w:t>Classe</w:t>
            </w:r>
          </w:p>
        </w:tc>
        <w:tc>
          <w:tcPr>
            <w:tcW w:w="1279" w:type="dxa"/>
            <w:tcBorders>
              <w:top w:val="single" w:sz="4" w:space="0" w:color="000000"/>
              <w:left w:val="nil"/>
              <w:bottom w:val="single" w:sz="4" w:space="0" w:color="000000"/>
              <w:right w:val="nil"/>
            </w:tcBorders>
          </w:tcPr>
          <w:p w14:paraId="73A081D8" w14:textId="77777777" w:rsidR="00CB5D4E" w:rsidRPr="00444592" w:rsidRDefault="00CB5D4E" w:rsidP="00444592">
            <w:pPr>
              <w:keepNext/>
              <w:spacing w:after="40"/>
              <w:jc w:val="center"/>
              <w:rPr>
                <w:sz w:val="20"/>
                <w:szCs w:val="20"/>
              </w:rPr>
            </w:pPr>
            <w:r w:rsidRPr="00444592">
              <w:rPr>
                <w:b/>
                <w:sz w:val="20"/>
                <w:szCs w:val="20"/>
              </w:rPr>
              <w:t>2005 (ha)</w:t>
            </w:r>
          </w:p>
        </w:tc>
        <w:tc>
          <w:tcPr>
            <w:tcW w:w="1279" w:type="dxa"/>
            <w:tcBorders>
              <w:top w:val="single" w:sz="4" w:space="0" w:color="000000"/>
              <w:left w:val="nil"/>
              <w:bottom w:val="single" w:sz="4" w:space="0" w:color="000000"/>
              <w:right w:val="nil"/>
            </w:tcBorders>
          </w:tcPr>
          <w:p w14:paraId="6FA2379F" w14:textId="77777777" w:rsidR="00CB5D4E" w:rsidRPr="00444592" w:rsidRDefault="00CB5D4E" w:rsidP="00444592">
            <w:pPr>
              <w:keepNext/>
              <w:spacing w:after="40"/>
              <w:jc w:val="center"/>
              <w:rPr>
                <w:sz w:val="20"/>
                <w:szCs w:val="20"/>
              </w:rPr>
            </w:pPr>
            <w:r w:rsidRPr="00444592">
              <w:rPr>
                <w:b/>
                <w:sz w:val="20"/>
                <w:szCs w:val="20"/>
              </w:rPr>
              <w:t>2015 (ha)</w:t>
            </w:r>
          </w:p>
        </w:tc>
        <w:tc>
          <w:tcPr>
            <w:tcW w:w="1279" w:type="dxa"/>
            <w:tcBorders>
              <w:top w:val="single" w:sz="4" w:space="0" w:color="000000"/>
              <w:left w:val="nil"/>
              <w:bottom w:val="single" w:sz="4" w:space="0" w:color="000000"/>
              <w:right w:val="nil"/>
            </w:tcBorders>
          </w:tcPr>
          <w:p w14:paraId="3D3CCE37" w14:textId="77777777" w:rsidR="00CB5D4E" w:rsidRPr="00444592" w:rsidRDefault="00CB5D4E" w:rsidP="00444592">
            <w:pPr>
              <w:keepNext/>
              <w:spacing w:after="40"/>
              <w:jc w:val="center"/>
              <w:rPr>
                <w:sz w:val="20"/>
                <w:szCs w:val="20"/>
              </w:rPr>
            </w:pPr>
            <w:r w:rsidRPr="00444592">
              <w:rPr>
                <w:b/>
                <w:sz w:val="20"/>
                <w:szCs w:val="20"/>
              </w:rPr>
              <w:t>2024 (ha)</w:t>
            </w:r>
          </w:p>
        </w:tc>
        <w:tc>
          <w:tcPr>
            <w:tcW w:w="1924" w:type="dxa"/>
            <w:tcBorders>
              <w:top w:val="single" w:sz="4" w:space="0" w:color="000000"/>
              <w:left w:val="nil"/>
              <w:bottom w:val="single" w:sz="4" w:space="0" w:color="000000"/>
              <w:right w:val="nil"/>
            </w:tcBorders>
          </w:tcPr>
          <w:p w14:paraId="60BFECC5" w14:textId="77777777" w:rsidR="00CB5D4E" w:rsidRPr="00444592" w:rsidRDefault="00CB5D4E" w:rsidP="00444592">
            <w:pPr>
              <w:keepNext/>
              <w:spacing w:after="40"/>
              <w:jc w:val="center"/>
              <w:rPr>
                <w:sz w:val="20"/>
                <w:szCs w:val="20"/>
              </w:rPr>
            </w:pPr>
            <w:r w:rsidRPr="00444592">
              <w:rPr>
                <w:b/>
                <w:sz w:val="20"/>
                <w:szCs w:val="20"/>
              </w:rPr>
              <w:t>Variação</w:t>
            </w:r>
            <w:r w:rsidRPr="00444592">
              <w:rPr>
                <w:b/>
                <w:sz w:val="20"/>
                <w:szCs w:val="20"/>
              </w:rPr>
              <w:br/>
              <w:t>2005-2024</w:t>
            </w:r>
          </w:p>
        </w:tc>
      </w:tr>
      <w:tr w:rsidR="00040CE1" w14:paraId="5C4C51FB" w14:textId="77777777" w:rsidTr="007945F2">
        <w:trPr>
          <w:cantSplit/>
          <w:trHeight w:val="293"/>
          <w:jc w:val="center"/>
        </w:trPr>
        <w:tc>
          <w:tcPr>
            <w:tcW w:w="2993" w:type="dxa"/>
            <w:tcBorders>
              <w:top w:val="single" w:sz="4" w:space="0" w:color="000000"/>
              <w:left w:val="nil"/>
              <w:bottom w:val="single" w:sz="4" w:space="0" w:color="000000"/>
              <w:right w:val="nil"/>
            </w:tcBorders>
          </w:tcPr>
          <w:p w14:paraId="00EE864B" w14:textId="77777777" w:rsidR="00CB5D4E" w:rsidRPr="00444592" w:rsidRDefault="00CB5D4E" w:rsidP="00444592">
            <w:pPr>
              <w:keepNext/>
              <w:spacing w:after="40"/>
              <w:rPr>
                <w:sz w:val="20"/>
                <w:szCs w:val="20"/>
              </w:rPr>
            </w:pPr>
            <w:r w:rsidRPr="00444592">
              <w:rPr>
                <w:sz w:val="20"/>
                <w:szCs w:val="20"/>
              </w:rPr>
              <w:t>Cana</w:t>
            </w:r>
          </w:p>
        </w:tc>
        <w:tc>
          <w:tcPr>
            <w:tcW w:w="1279" w:type="dxa"/>
            <w:tcBorders>
              <w:top w:val="single" w:sz="4" w:space="0" w:color="000000"/>
              <w:left w:val="nil"/>
              <w:bottom w:val="single" w:sz="4" w:space="0" w:color="000000"/>
              <w:right w:val="nil"/>
            </w:tcBorders>
          </w:tcPr>
          <w:p w14:paraId="59A28DDD" w14:textId="77777777" w:rsidR="00CB5D4E" w:rsidRPr="00444592" w:rsidRDefault="00CB5D4E" w:rsidP="00444592">
            <w:pPr>
              <w:keepNext/>
              <w:spacing w:after="40"/>
              <w:jc w:val="center"/>
              <w:rPr>
                <w:sz w:val="20"/>
                <w:szCs w:val="20"/>
              </w:rPr>
            </w:pPr>
            <w:r w:rsidRPr="00444592">
              <w:rPr>
                <w:sz w:val="20"/>
                <w:szCs w:val="20"/>
              </w:rPr>
              <w:t>36.973</w:t>
            </w:r>
          </w:p>
        </w:tc>
        <w:tc>
          <w:tcPr>
            <w:tcW w:w="1279" w:type="dxa"/>
            <w:tcBorders>
              <w:top w:val="single" w:sz="4" w:space="0" w:color="000000"/>
              <w:left w:val="nil"/>
              <w:bottom w:val="single" w:sz="4" w:space="0" w:color="000000"/>
              <w:right w:val="nil"/>
            </w:tcBorders>
          </w:tcPr>
          <w:p w14:paraId="4C292DFA" w14:textId="77777777" w:rsidR="00CB5D4E" w:rsidRPr="00444592" w:rsidRDefault="00CB5D4E" w:rsidP="00444592">
            <w:pPr>
              <w:keepNext/>
              <w:spacing w:after="40"/>
              <w:jc w:val="center"/>
              <w:rPr>
                <w:sz w:val="20"/>
                <w:szCs w:val="20"/>
              </w:rPr>
            </w:pPr>
            <w:r w:rsidRPr="00444592">
              <w:rPr>
                <w:sz w:val="20"/>
                <w:szCs w:val="20"/>
              </w:rPr>
              <w:t>80.496</w:t>
            </w:r>
          </w:p>
        </w:tc>
        <w:tc>
          <w:tcPr>
            <w:tcW w:w="1279" w:type="dxa"/>
            <w:tcBorders>
              <w:top w:val="single" w:sz="4" w:space="0" w:color="000000"/>
              <w:left w:val="nil"/>
              <w:bottom w:val="single" w:sz="4" w:space="0" w:color="000000"/>
              <w:right w:val="nil"/>
            </w:tcBorders>
          </w:tcPr>
          <w:p w14:paraId="62D5BB31" w14:textId="77777777" w:rsidR="00CB5D4E" w:rsidRPr="00444592" w:rsidRDefault="00CB5D4E" w:rsidP="00444592">
            <w:pPr>
              <w:keepNext/>
              <w:spacing w:after="40"/>
              <w:jc w:val="center"/>
              <w:rPr>
                <w:sz w:val="20"/>
                <w:szCs w:val="20"/>
              </w:rPr>
            </w:pPr>
            <w:r w:rsidRPr="00444592">
              <w:rPr>
                <w:sz w:val="20"/>
                <w:szCs w:val="20"/>
              </w:rPr>
              <w:t>76.874</w:t>
            </w:r>
          </w:p>
        </w:tc>
        <w:tc>
          <w:tcPr>
            <w:tcW w:w="1924" w:type="dxa"/>
            <w:tcBorders>
              <w:top w:val="single" w:sz="4" w:space="0" w:color="000000"/>
              <w:left w:val="nil"/>
              <w:bottom w:val="single" w:sz="4" w:space="0" w:color="000000"/>
              <w:right w:val="nil"/>
            </w:tcBorders>
          </w:tcPr>
          <w:p w14:paraId="3C7B2BCE" w14:textId="77777777" w:rsidR="00CB5D4E" w:rsidRPr="00444592" w:rsidRDefault="00CB5D4E" w:rsidP="00444592">
            <w:pPr>
              <w:keepNext/>
              <w:spacing w:after="40"/>
              <w:jc w:val="center"/>
              <w:rPr>
                <w:sz w:val="20"/>
                <w:szCs w:val="20"/>
              </w:rPr>
            </w:pPr>
            <w:r w:rsidRPr="00444592">
              <w:rPr>
                <w:sz w:val="20"/>
                <w:szCs w:val="20"/>
              </w:rPr>
              <w:t>+107,9%</w:t>
            </w:r>
          </w:p>
        </w:tc>
      </w:tr>
      <w:tr w:rsidR="00040CE1" w14:paraId="18886C9B" w14:textId="77777777" w:rsidTr="007945F2">
        <w:trPr>
          <w:cantSplit/>
          <w:trHeight w:val="301"/>
          <w:jc w:val="center"/>
        </w:trPr>
        <w:tc>
          <w:tcPr>
            <w:tcW w:w="2993" w:type="dxa"/>
            <w:tcBorders>
              <w:top w:val="single" w:sz="4" w:space="0" w:color="000000"/>
              <w:left w:val="nil"/>
              <w:bottom w:val="single" w:sz="4" w:space="0" w:color="000000"/>
              <w:right w:val="nil"/>
            </w:tcBorders>
          </w:tcPr>
          <w:p w14:paraId="76F1E358" w14:textId="77777777" w:rsidR="00CB5D4E" w:rsidRPr="00444592" w:rsidRDefault="00CB5D4E" w:rsidP="00444592">
            <w:pPr>
              <w:keepNext/>
              <w:spacing w:after="40"/>
              <w:rPr>
                <w:sz w:val="20"/>
                <w:szCs w:val="20"/>
              </w:rPr>
            </w:pPr>
            <w:r w:rsidRPr="00444592">
              <w:rPr>
                <w:sz w:val="20"/>
                <w:szCs w:val="20"/>
              </w:rPr>
              <w:t>Pastagem</w:t>
            </w:r>
          </w:p>
        </w:tc>
        <w:tc>
          <w:tcPr>
            <w:tcW w:w="1279" w:type="dxa"/>
            <w:tcBorders>
              <w:top w:val="single" w:sz="4" w:space="0" w:color="000000"/>
              <w:left w:val="nil"/>
              <w:bottom w:val="single" w:sz="4" w:space="0" w:color="000000"/>
              <w:right w:val="nil"/>
            </w:tcBorders>
          </w:tcPr>
          <w:p w14:paraId="38ABAD04" w14:textId="77777777" w:rsidR="00CB5D4E" w:rsidRPr="00444592" w:rsidRDefault="00CB5D4E" w:rsidP="00444592">
            <w:pPr>
              <w:keepNext/>
              <w:spacing w:after="40"/>
              <w:jc w:val="center"/>
              <w:rPr>
                <w:sz w:val="20"/>
                <w:szCs w:val="20"/>
              </w:rPr>
            </w:pPr>
            <w:r w:rsidRPr="00444592">
              <w:rPr>
                <w:sz w:val="20"/>
                <w:szCs w:val="20"/>
              </w:rPr>
              <w:t>29.735</w:t>
            </w:r>
          </w:p>
        </w:tc>
        <w:tc>
          <w:tcPr>
            <w:tcW w:w="1279" w:type="dxa"/>
            <w:tcBorders>
              <w:top w:val="single" w:sz="4" w:space="0" w:color="000000"/>
              <w:left w:val="nil"/>
              <w:bottom w:val="single" w:sz="4" w:space="0" w:color="000000"/>
              <w:right w:val="nil"/>
            </w:tcBorders>
          </w:tcPr>
          <w:p w14:paraId="2D194AA5" w14:textId="77777777" w:rsidR="00CB5D4E" w:rsidRPr="00444592" w:rsidRDefault="00CB5D4E" w:rsidP="00444592">
            <w:pPr>
              <w:keepNext/>
              <w:spacing w:after="40"/>
              <w:jc w:val="center"/>
              <w:rPr>
                <w:sz w:val="20"/>
                <w:szCs w:val="20"/>
              </w:rPr>
            </w:pPr>
            <w:r w:rsidRPr="00444592">
              <w:rPr>
                <w:sz w:val="20"/>
                <w:szCs w:val="20"/>
              </w:rPr>
              <w:t>13.332</w:t>
            </w:r>
          </w:p>
        </w:tc>
        <w:tc>
          <w:tcPr>
            <w:tcW w:w="1279" w:type="dxa"/>
            <w:tcBorders>
              <w:top w:val="single" w:sz="4" w:space="0" w:color="000000"/>
              <w:left w:val="nil"/>
              <w:bottom w:val="single" w:sz="4" w:space="0" w:color="000000"/>
              <w:right w:val="nil"/>
            </w:tcBorders>
          </w:tcPr>
          <w:p w14:paraId="3E516DC3" w14:textId="77777777" w:rsidR="00CB5D4E" w:rsidRPr="00444592" w:rsidRDefault="00CB5D4E" w:rsidP="00444592">
            <w:pPr>
              <w:keepNext/>
              <w:spacing w:after="40"/>
              <w:jc w:val="center"/>
              <w:rPr>
                <w:sz w:val="20"/>
                <w:szCs w:val="20"/>
              </w:rPr>
            </w:pPr>
            <w:r w:rsidRPr="00444592">
              <w:rPr>
                <w:sz w:val="20"/>
                <w:szCs w:val="20"/>
              </w:rPr>
              <w:t>8.827</w:t>
            </w:r>
          </w:p>
        </w:tc>
        <w:tc>
          <w:tcPr>
            <w:tcW w:w="1924" w:type="dxa"/>
            <w:tcBorders>
              <w:top w:val="single" w:sz="4" w:space="0" w:color="000000"/>
              <w:left w:val="nil"/>
              <w:bottom w:val="single" w:sz="4" w:space="0" w:color="000000"/>
              <w:right w:val="nil"/>
            </w:tcBorders>
          </w:tcPr>
          <w:p w14:paraId="54ECB92A" w14:textId="77777777" w:rsidR="00CB5D4E" w:rsidRPr="00444592" w:rsidRDefault="00CB5D4E" w:rsidP="00444592">
            <w:pPr>
              <w:keepNext/>
              <w:spacing w:after="40"/>
              <w:jc w:val="center"/>
              <w:rPr>
                <w:sz w:val="20"/>
                <w:szCs w:val="20"/>
              </w:rPr>
            </w:pPr>
            <w:r w:rsidRPr="00444592">
              <w:rPr>
                <w:sz w:val="20"/>
                <w:szCs w:val="20"/>
              </w:rPr>
              <w:t>-70,3%</w:t>
            </w:r>
          </w:p>
        </w:tc>
      </w:tr>
      <w:tr w:rsidR="00040CE1" w14:paraId="56604A94" w14:textId="77777777" w:rsidTr="007945F2">
        <w:trPr>
          <w:cantSplit/>
          <w:trHeight w:val="301"/>
          <w:jc w:val="center"/>
        </w:trPr>
        <w:tc>
          <w:tcPr>
            <w:tcW w:w="2993" w:type="dxa"/>
            <w:tcBorders>
              <w:top w:val="single" w:sz="4" w:space="0" w:color="000000"/>
              <w:left w:val="nil"/>
              <w:bottom w:val="single" w:sz="4" w:space="0" w:color="000000"/>
              <w:right w:val="nil"/>
            </w:tcBorders>
          </w:tcPr>
          <w:p w14:paraId="44BB42CF" w14:textId="77777777" w:rsidR="00CB5D4E" w:rsidRPr="00444592" w:rsidRDefault="00CB5D4E" w:rsidP="00444592">
            <w:pPr>
              <w:keepNext/>
              <w:spacing w:after="40"/>
              <w:rPr>
                <w:sz w:val="20"/>
                <w:szCs w:val="20"/>
              </w:rPr>
            </w:pPr>
            <w:r w:rsidRPr="00444592">
              <w:rPr>
                <w:sz w:val="20"/>
                <w:szCs w:val="20"/>
              </w:rPr>
              <w:t>Mosaico de Usos</w:t>
            </w:r>
          </w:p>
        </w:tc>
        <w:tc>
          <w:tcPr>
            <w:tcW w:w="1279" w:type="dxa"/>
            <w:tcBorders>
              <w:top w:val="single" w:sz="4" w:space="0" w:color="000000"/>
              <w:left w:val="nil"/>
              <w:bottom w:val="single" w:sz="4" w:space="0" w:color="000000"/>
              <w:right w:val="nil"/>
            </w:tcBorders>
          </w:tcPr>
          <w:p w14:paraId="5EFEEA7F" w14:textId="77777777" w:rsidR="00CB5D4E" w:rsidRPr="00444592" w:rsidRDefault="00CB5D4E" w:rsidP="00444592">
            <w:pPr>
              <w:keepNext/>
              <w:spacing w:after="40"/>
              <w:jc w:val="center"/>
              <w:rPr>
                <w:sz w:val="20"/>
                <w:szCs w:val="20"/>
              </w:rPr>
            </w:pPr>
            <w:r w:rsidRPr="00444592">
              <w:rPr>
                <w:sz w:val="20"/>
                <w:szCs w:val="20"/>
              </w:rPr>
              <w:t>29.856</w:t>
            </w:r>
          </w:p>
        </w:tc>
        <w:tc>
          <w:tcPr>
            <w:tcW w:w="1279" w:type="dxa"/>
            <w:tcBorders>
              <w:top w:val="single" w:sz="4" w:space="0" w:color="000000"/>
              <w:left w:val="nil"/>
              <w:bottom w:val="single" w:sz="4" w:space="0" w:color="000000"/>
              <w:right w:val="nil"/>
            </w:tcBorders>
          </w:tcPr>
          <w:p w14:paraId="7476E82B" w14:textId="77777777" w:rsidR="00CB5D4E" w:rsidRPr="00444592" w:rsidRDefault="00CB5D4E" w:rsidP="00444592">
            <w:pPr>
              <w:keepNext/>
              <w:spacing w:after="40"/>
              <w:jc w:val="center"/>
              <w:rPr>
                <w:sz w:val="20"/>
                <w:szCs w:val="20"/>
              </w:rPr>
            </w:pPr>
            <w:r w:rsidRPr="00444592">
              <w:rPr>
                <w:sz w:val="20"/>
                <w:szCs w:val="20"/>
              </w:rPr>
              <w:t>19.166</w:t>
            </w:r>
          </w:p>
        </w:tc>
        <w:tc>
          <w:tcPr>
            <w:tcW w:w="1279" w:type="dxa"/>
            <w:tcBorders>
              <w:top w:val="single" w:sz="4" w:space="0" w:color="000000"/>
              <w:left w:val="nil"/>
              <w:bottom w:val="single" w:sz="4" w:space="0" w:color="000000"/>
              <w:right w:val="nil"/>
            </w:tcBorders>
          </w:tcPr>
          <w:p w14:paraId="10B5B841" w14:textId="77777777" w:rsidR="00CB5D4E" w:rsidRPr="00444592" w:rsidRDefault="00CB5D4E" w:rsidP="00444592">
            <w:pPr>
              <w:keepNext/>
              <w:spacing w:after="40"/>
              <w:jc w:val="center"/>
              <w:rPr>
                <w:sz w:val="20"/>
                <w:szCs w:val="20"/>
              </w:rPr>
            </w:pPr>
            <w:r w:rsidRPr="00444592">
              <w:rPr>
                <w:sz w:val="20"/>
                <w:szCs w:val="20"/>
              </w:rPr>
              <w:t>21.490</w:t>
            </w:r>
          </w:p>
        </w:tc>
        <w:tc>
          <w:tcPr>
            <w:tcW w:w="1924" w:type="dxa"/>
            <w:tcBorders>
              <w:top w:val="single" w:sz="4" w:space="0" w:color="000000"/>
              <w:left w:val="nil"/>
              <w:bottom w:val="single" w:sz="4" w:space="0" w:color="000000"/>
              <w:right w:val="nil"/>
            </w:tcBorders>
          </w:tcPr>
          <w:p w14:paraId="266A4831" w14:textId="77777777" w:rsidR="00CB5D4E" w:rsidRPr="00444592" w:rsidRDefault="00CB5D4E" w:rsidP="00444592">
            <w:pPr>
              <w:keepNext/>
              <w:spacing w:after="40"/>
              <w:jc w:val="center"/>
              <w:rPr>
                <w:sz w:val="20"/>
                <w:szCs w:val="20"/>
              </w:rPr>
            </w:pPr>
            <w:r w:rsidRPr="00444592">
              <w:rPr>
                <w:sz w:val="20"/>
                <w:szCs w:val="20"/>
              </w:rPr>
              <w:t>-28,0%</w:t>
            </w:r>
          </w:p>
        </w:tc>
      </w:tr>
      <w:tr w:rsidR="00040CE1" w14:paraId="02FA2A38" w14:textId="77777777" w:rsidTr="007945F2">
        <w:trPr>
          <w:cantSplit/>
          <w:trHeight w:val="293"/>
          <w:jc w:val="center"/>
        </w:trPr>
        <w:tc>
          <w:tcPr>
            <w:tcW w:w="2993" w:type="dxa"/>
            <w:tcBorders>
              <w:top w:val="single" w:sz="4" w:space="0" w:color="000000"/>
              <w:left w:val="nil"/>
              <w:bottom w:val="single" w:sz="4" w:space="0" w:color="000000"/>
              <w:right w:val="nil"/>
            </w:tcBorders>
          </w:tcPr>
          <w:p w14:paraId="4719F43F" w14:textId="77777777" w:rsidR="00CB5D4E" w:rsidRPr="00444592" w:rsidRDefault="00CB5D4E" w:rsidP="00444592">
            <w:pPr>
              <w:keepNext/>
              <w:spacing w:after="40"/>
              <w:rPr>
                <w:sz w:val="20"/>
                <w:szCs w:val="20"/>
              </w:rPr>
            </w:pPr>
            <w:r w:rsidRPr="00444592">
              <w:rPr>
                <w:sz w:val="20"/>
                <w:szCs w:val="20"/>
              </w:rPr>
              <w:t>Soja</w:t>
            </w:r>
          </w:p>
        </w:tc>
        <w:tc>
          <w:tcPr>
            <w:tcW w:w="1279" w:type="dxa"/>
            <w:tcBorders>
              <w:top w:val="single" w:sz="4" w:space="0" w:color="000000"/>
              <w:left w:val="nil"/>
              <w:bottom w:val="single" w:sz="4" w:space="0" w:color="000000"/>
              <w:right w:val="nil"/>
            </w:tcBorders>
          </w:tcPr>
          <w:p w14:paraId="49BBDE9E" w14:textId="77777777" w:rsidR="00CB5D4E" w:rsidRPr="00444592" w:rsidRDefault="00CB5D4E" w:rsidP="00444592">
            <w:pPr>
              <w:keepNext/>
              <w:spacing w:after="40"/>
              <w:jc w:val="center"/>
              <w:rPr>
                <w:sz w:val="20"/>
                <w:szCs w:val="20"/>
              </w:rPr>
            </w:pPr>
            <w:r w:rsidRPr="00444592">
              <w:rPr>
                <w:sz w:val="20"/>
                <w:szCs w:val="20"/>
              </w:rPr>
              <w:t>21.469</w:t>
            </w:r>
          </w:p>
        </w:tc>
        <w:tc>
          <w:tcPr>
            <w:tcW w:w="1279" w:type="dxa"/>
            <w:tcBorders>
              <w:top w:val="single" w:sz="4" w:space="0" w:color="000000"/>
              <w:left w:val="nil"/>
              <w:bottom w:val="single" w:sz="4" w:space="0" w:color="000000"/>
              <w:right w:val="nil"/>
            </w:tcBorders>
          </w:tcPr>
          <w:p w14:paraId="4758230C" w14:textId="77777777" w:rsidR="00CB5D4E" w:rsidRPr="00444592" w:rsidRDefault="00CB5D4E" w:rsidP="00444592">
            <w:pPr>
              <w:keepNext/>
              <w:spacing w:after="40"/>
              <w:jc w:val="center"/>
              <w:rPr>
                <w:sz w:val="20"/>
                <w:szCs w:val="20"/>
              </w:rPr>
            </w:pPr>
            <w:r w:rsidRPr="00444592">
              <w:rPr>
                <w:sz w:val="20"/>
                <w:szCs w:val="20"/>
              </w:rPr>
              <w:t>7.149</w:t>
            </w:r>
          </w:p>
        </w:tc>
        <w:tc>
          <w:tcPr>
            <w:tcW w:w="1279" w:type="dxa"/>
            <w:tcBorders>
              <w:top w:val="single" w:sz="4" w:space="0" w:color="000000"/>
              <w:left w:val="nil"/>
              <w:bottom w:val="single" w:sz="4" w:space="0" w:color="000000"/>
              <w:right w:val="nil"/>
            </w:tcBorders>
          </w:tcPr>
          <w:p w14:paraId="1B45606C" w14:textId="77777777" w:rsidR="00CB5D4E" w:rsidRPr="00444592" w:rsidRDefault="00CB5D4E" w:rsidP="00444592">
            <w:pPr>
              <w:keepNext/>
              <w:spacing w:after="40"/>
              <w:jc w:val="center"/>
              <w:rPr>
                <w:sz w:val="20"/>
                <w:szCs w:val="20"/>
              </w:rPr>
            </w:pPr>
            <w:r w:rsidRPr="00444592">
              <w:rPr>
                <w:sz w:val="20"/>
                <w:szCs w:val="20"/>
              </w:rPr>
              <w:t>11.953</w:t>
            </w:r>
          </w:p>
        </w:tc>
        <w:tc>
          <w:tcPr>
            <w:tcW w:w="1924" w:type="dxa"/>
            <w:tcBorders>
              <w:top w:val="single" w:sz="4" w:space="0" w:color="000000"/>
              <w:left w:val="nil"/>
              <w:bottom w:val="single" w:sz="4" w:space="0" w:color="000000"/>
              <w:right w:val="nil"/>
            </w:tcBorders>
          </w:tcPr>
          <w:p w14:paraId="4F90D9A3" w14:textId="77777777" w:rsidR="00CB5D4E" w:rsidRPr="00444592" w:rsidRDefault="00CB5D4E" w:rsidP="00444592">
            <w:pPr>
              <w:keepNext/>
              <w:spacing w:after="40"/>
              <w:jc w:val="center"/>
              <w:rPr>
                <w:sz w:val="20"/>
                <w:szCs w:val="20"/>
              </w:rPr>
            </w:pPr>
            <w:r w:rsidRPr="00444592">
              <w:rPr>
                <w:sz w:val="20"/>
                <w:szCs w:val="20"/>
              </w:rPr>
              <w:t>-44,3%</w:t>
            </w:r>
          </w:p>
        </w:tc>
      </w:tr>
      <w:tr w:rsidR="00040CE1" w14:paraId="3B274822" w14:textId="77777777" w:rsidTr="007945F2">
        <w:trPr>
          <w:cantSplit/>
          <w:trHeight w:val="301"/>
          <w:jc w:val="center"/>
        </w:trPr>
        <w:tc>
          <w:tcPr>
            <w:tcW w:w="2993" w:type="dxa"/>
            <w:tcBorders>
              <w:top w:val="single" w:sz="4" w:space="0" w:color="000000"/>
              <w:left w:val="nil"/>
              <w:bottom w:val="single" w:sz="4" w:space="0" w:color="000000"/>
              <w:right w:val="nil"/>
            </w:tcBorders>
          </w:tcPr>
          <w:p w14:paraId="52325E50" w14:textId="77777777" w:rsidR="00CB5D4E" w:rsidRPr="00444592" w:rsidRDefault="00CB5D4E" w:rsidP="00444592">
            <w:pPr>
              <w:keepNext/>
              <w:spacing w:after="40"/>
              <w:rPr>
                <w:sz w:val="20"/>
                <w:szCs w:val="20"/>
              </w:rPr>
            </w:pPr>
            <w:r w:rsidRPr="00444592">
              <w:rPr>
                <w:sz w:val="20"/>
                <w:szCs w:val="20"/>
              </w:rPr>
              <w:t>Formação Florestal</w:t>
            </w:r>
          </w:p>
        </w:tc>
        <w:tc>
          <w:tcPr>
            <w:tcW w:w="1279" w:type="dxa"/>
            <w:tcBorders>
              <w:top w:val="single" w:sz="4" w:space="0" w:color="000000"/>
              <w:left w:val="nil"/>
              <w:bottom w:val="single" w:sz="4" w:space="0" w:color="000000"/>
              <w:right w:val="nil"/>
            </w:tcBorders>
          </w:tcPr>
          <w:p w14:paraId="71591733" w14:textId="77777777" w:rsidR="00CB5D4E" w:rsidRPr="00444592" w:rsidRDefault="00CB5D4E" w:rsidP="00444592">
            <w:pPr>
              <w:keepNext/>
              <w:spacing w:after="40"/>
              <w:jc w:val="center"/>
              <w:rPr>
                <w:sz w:val="20"/>
                <w:szCs w:val="20"/>
              </w:rPr>
            </w:pPr>
            <w:r w:rsidRPr="00444592">
              <w:rPr>
                <w:sz w:val="20"/>
                <w:szCs w:val="20"/>
              </w:rPr>
              <w:t>16.354</w:t>
            </w:r>
          </w:p>
        </w:tc>
        <w:tc>
          <w:tcPr>
            <w:tcW w:w="1279" w:type="dxa"/>
            <w:tcBorders>
              <w:top w:val="single" w:sz="4" w:space="0" w:color="000000"/>
              <w:left w:val="nil"/>
              <w:bottom w:val="single" w:sz="4" w:space="0" w:color="000000"/>
              <w:right w:val="nil"/>
            </w:tcBorders>
          </w:tcPr>
          <w:p w14:paraId="01DC0534" w14:textId="77777777" w:rsidR="00CB5D4E" w:rsidRPr="00444592" w:rsidRDefault="00CB5D4E" w:rsidP="00444592">
            <w:pPr>
              <w:keepNext/>
              <w:spacing w:after="40"/>
              <w:jc w:val="center"/>
              <w:rPr>
                <w:sz w:val="20"/>
                <w:szCs w:val="20"/>
              </w:rPr>
            </w:pPr>
            <w:r w:rsidRPr="00444592">
              <w:rPr>
                <w:sz w:val="20"/>
                <w:szCs w:val="20"/>
              </w:rPr>
              <w:t>16.530</w:t>
            </w:r>
          </w:p>
        </w:tc>
        <w:tc>
          <w:tcPr>
            <w:tcW w:w="1279" w:type="dxa"/>
            <w:tcBorders>
              <w:top w:val="single" w:sz="4" w:space="0" w:color="000000"/>
              <w:left w:val="nil"/>
              <w:bottom w:val="single" w:sz="4" w:space="0" w:color="000000"/>
              <w:right w:val="nil"/>
            </w:tcBorders>
          </w:tcPr>
          <w:p w14:paraId="70C05129" w14:textId="77777777" w:rsidR="00CB5D4E" w:rsidRPr="00444592" w:rsidRDefault="00CB5D4E" w:rsidP="00444592">
            <w:pPr>
              <w:keepNext/>
              <w:spacing w:after="40"/>
              <w:jc w:val="center"/>
              <w:rPr>
                <w:sz w:val="20"/>
                <w:szCs w:val="20"/>
              </w:rPr>
            </w:pPr>
            <w:r w:rsidRPr="00444592">
              <w:rPr>
                <w:sz w:val="20"/>
                <w:szCs w:val="20"/>
              </w:rPr>
              <w:t>16.522</w:t>
            </w:r>
          </w:p>
        </w:tc>
        <w:tc>
          <w:tcPr>
            <w:tcW w:w="1924" w:type="dxa"/>
            <w:tcBorders>
              <w:top w:val="single" w:sz="4" w:space="0" w:color="000000"/>
              <w:left w:val="nil"/>
              <w:bottom w:val="single" w:sz="4" w:space="0" w:color="000000"/>
              <w:right w:val="nil"/>
            </w:tcBorders>
          </w:tcPr>
          <w:p w14:paraId="1CF697B9" w14:textId="77777777" w:rsidR="00CB5D4E" w:rsidRPr="00444592" w:rsidRDefault="00CB5D4E" w:rsidP="00444592">
            <w:pPr>
              <w:keepNext/>
              <w:spacing w:after="40"/>
              <w:jc w:val="center"/>
              <w:rPr>
                <w:sz w:val="20"/>
                <w:szCs w:val="20"/>
              </w:rPr>
            </w:pPr>
            <w:r w:rsidRPr="00444592">
              <w:rPr>
                <w:sz w:val="20"/>
                <w:szCs w:val="20"/>
              </w:rPr>
              <w:t>+1,0%</w:t>
            </w:r>
          </w:p>
        </w:tc>
      </w:tr>
      <w:tr w:rsidR="00040CE1" w14:paraId="749B0976" w14:textId="77777777" w:rsidTr="007945F2">
        <w:trPr>
          <w:cantSplit/>
          <w:trHeight w:val="301"/>
          <w:jc w:val="center"/>
        </w:trPr>
        <w:tc>
          <w:tcPr>
            <w:tcW w:w="2993" w:type="dxa"/>
            <w:tcBorders>
              <w:top w:val="single" w:sz="4" w:space="0" w:color="000000"/>
              <w:left w:val="nil"/>
              <w:bottom w:val="single" w:sz="4" w:space="0" w:color="000000"/>
              <w:right w:val="nil"/>
            </w:tcBorders>
          </w:tcPr>
          <w:p w14:paraId="6D071578" w14:textId="77777777" w:rsidR="00CB5D4E" w:rsidRPr="00444592" w:rsidRDefault="00CB5D4E" w:rsidP="00444592">
            <w:pPr>
              <w:keepNext/>
              <w:spacing w:after="40"/>
              <w:rPr>
                <w:sz w:val="20"/>
                <w:szCs w:val="20"/>
              </w:rPr>
            </w:pPr>
            <w:r w:rsidRPr="00444592">
              <w:rPr>
                <w:sz w:val="20"/>
                <w:szCs w:val="20"/>
              </w:rPr>
              <w:t>Citrus</w:t>
            </w:r>
          </w:p>
        </w:tc>
        <w:tc>
          <w:tcPr>
            <w:tcW w:w="1279" w:type="dxa"/>
            <w:tcBorders>
              <w:top w:val="single" w:sz="4" w:space="0" w:color="000000"/>
              <w:left w:val="nil"/>
              <w:bottom w:val="single" w:sz="4" w:space="0" w:color="000000"/>
              <w:right w:val="nil"/>
            </w:tcBorders>
          </w:tcPr>
          <w:p w14:paraId="43CF839F" w14:textId="77777777" w:rsidR="00CB5D4E" w:rsidRPr="00444592" w:rsidRDefault="00CB5D4E" w:rsidP="00444592">
            <w:pPr>
              <w:keepNext/>
              <w:spacing w:after="40"/>
              <w:jc w:val="center"/>
              <w:rPr>
                <w:sz w:val="20"/>
                <w:szCs w:val="20"/>
              </w:rPr>
            </w:pPr>
            <w:r w:rsidRPr="00444592">
              <w:rPr>
                <w:sz w:val="20"/>
                <w:szCs w:val="20"/>
              </w:rPr>
              <w:t>10.997</w:t>
            </w:r>
          </w:p>
        </w:tc>
        <w:tc>
          <w:tcPr>
            <w:tcW w:w="1279" w:type="dxa"/>
            <w:tcBorders>
              <w:top w:val="single" w:sz="4" w:space="0" w:color="000000"/>
              <w:left w:val="nil"/>
              <w:bottom w:val="single" w:sz="4" w:space="0" w:color="000000"/>
              <w:right w:val="nil"/>
            </w:tcBorders>
          </w:tcPr>
          <w:p w14:paraId="0AF93B50" w14:textId="77777777" w:rsidR="00CB5D4E" w:rsidRPr="00444592" w:rsidRDefault="00CB5D4E" w:rsidP="00444592">
            <w:pPr>
              <w:keepNext/>
              <w:spacing w:after="40"/>
              <w:jc w:val="center"/>
              <w:rPr>
                <w:sz w:val="20"/>
                <w:szCs w:val="20"/>
              </w:rPr>
            </w:pPr>
            <w:r w:rsidRPr="00444592">
              <w:rPr>
                <w:sz w:val="20"/>
                <w:szCs w:val="20"/>
              </w:rPr>
              <w:t>9.192</w:t>
            </w:r>
          </w:p>
        </w:tc>
        <w:tc>
          <w:tcPr>
            <w:tcW w:w="1279" w:type="dxa"/>
            <w:tcBorders>
              <w:top w:val="single" w:sz="4" w:space="0" w:color="000000"/>
              <w:left w:val="nil"/>
              <w:bottom w:val="single" w:sz="4" w:space="0" w:color="000000"/>
              <w:right w:val="nil"/>
            </w:tcBorders>
          </w:tcPr>
          <w:p w14:paraId="166529A8" w14:textId="77777777" w:rsidR="00CB5D4E" w:rsidRPr="00444592" w:rsidRDefault="00CB5D4E" w:rsidP="00444592">
            <w:pPr>
              <w:keepNext/>
              <w:spacing w:after="40"/>
              <w:jc w:val="center"/>
              <w:rPr>
                <w:sz w:val="20"/>
                <w:szCs w:val="20"/>
              </w:rPr>
            </w:pPr>
            <w:r w:rsidRPr="00444592">
              <w:rPr>
                <w:sz w:val="20"/>
                <w:szCs w:val="20"/>
              </w:rPr>
              <w:t>9.361</w:t>
            </w:r>
          </w:p>
        </w:tc>
        <w:tc>
          <w:tcPr>
            <w:tcW w:w="1924" w:type="dxa"/>
            <w:tcBorders>
              <w:top w:val="single" w:sz="4" w:space="0" w:color="000000"/>
              <w:left w:val="nil"/>
              <w:bottom w:val="single" w:sz="4" w:space="0" w:color="000000"/>
              <w:right w:val="nil"/>
            </w:tcBorders>
          </w:tcPr>
          <w:p w14:paraId="41FBD159" w14:textId="77777777" w:rsidR="00CB5D4E" w:rsidRPr="00444592" w:rsidRDefault="00CB5D4E" w:rsidP="00444592">
            <w:pPr>
              <w:keepNext/>
              <w:spacing w:after="40"/>
              <w:jc w:val="center"/>
              <w:rPr>
                <w:sz w:val="20"/>
                <w:szCs w:val="20"/>
              </w:rPr>
            </w:pPr>
            <w:r w:rsidRPr="00444592">
              <w:rPr>
                <w:sz w:val="20"/>
                <w:szCs w:val="20"/>
              </w:rPr>
              <w:t>-14,9%</w:t>
            </w:r>
          </w:p>
        </w:tc>
      </w:tr>
      <w:tr w:rsidR="00040CE1" w14:paraId="6624607D" w14:textId="77777777" w:rsidTr="007945F2">
        <w:trPr>
          <w:cantSplit/>
          <w:trHeight w:val="293"/>
          <w:jc w:val="center"/>
        </w:trPr>
        <w:tc>
          <w:tcPr>
            <w:tcW w:w="2993" w:type="dxa"/>
            <w:tcBorders>
              <w:top w:val="single" w:sz="4" w:space="0" w:color="000000"/>
              <w:left w:val="nil"/>
              <w:bottom w:val="single" w:sz="4" w:space="0" w:color="000000"/>
              <w:right w:val="nil"/>
            </w:tcBorders>
          </w:tcPr>
          <w:p w14:paraId="7AC6F4AA" w14:textId="77777777" w:rsidR="00CB5D4E" w:rsidRPr="00444592" w:rsidRDefault="00CB5D4E" w:rsidP="00444592">
            <w:pPr>
              <w:keepNext/>
              <w:spacing w:after="40"/>
              <w:rPr>
                <w:sz w:val="20"/>
                <w:szCs w:val="20"/>
              </w:rPr>
            </w:pPr>
            <w:r w:rsidRPr="00444592">
              <w:rPr>
                <w:sz w:val="20"/>
                <w:szCs w:val="20"/>
              </w:rPr>
              <w:t>Área Urbanizada</w:t>
            </w:r>
          </w:p>
        </w:tc>
        <w:tc>
          <w:tcPr>
            <w:tcW w:w="1279" w:type="dxa"/>
            <w:tcBorders>
              <w:top w:val="single" w:sz="4" w:space="0" w:color="000000"/>
              <w:left w:val="nil"/>
              <w:bottom w:val="single" w:sz="4" w:space="0" w:color="000000"/>
              <w:right w:val="nil"/>
            </w:tcBorders>
          </w:tcPr>
          <w:p w14:paraId="3DA52740" w14:textId="77777777" w:rsidR="00CB5D4E" w:rsidRPr="00444592" w:rsidRDefault="00CB5D4E" w:rsidP="00444592">
            <w:pPr>
              <w:keepNext/>
              <w:spacing w:after="40"/>
              <w:jc w:val="center"/>
              <w:rPr>
                <w:sz w:val="20"/>
                <w:szCs w:val="20"/>
              </w:rPr>
            </w:pPr>
            <w:r w:rsidRPr="00444592">
              <w:rPr>
                <w:sz w:val="20"/>
                <w:szCs w:val="20"/>
              </w:rPr>
              <w:t>2.246</w:t>
            </w:r>
          </w:p>
        </w:tc>
        <w:tc>
          <w:tcPr>
            <w:tcW w:w="1279" w:type="dxa"/>
            <w:tcBorders>
              <w:top w:val="single" w:sz="4" w:space="0" w:color="000000"/>
              <w:left w:val="nil"/>
              <w:bottom w:val="single" w:sz="4" w:space="0" w:color="000000"/>
              <w:right w:val="nil"/>
            </w:tcBorders>
          </w:tcPr>
          <w:p w14:paraId="03DFA815" w14:textId="77777777" w:rsidR="00CB5D4E" w:rsidRPr="00444592" w:rsidRDefault="00CB5D4E" w:rsidP="00444592">
            <w:pPr>
              <w:keepNext/>
              <w:spacing w:after="40"/>
              <w:jc w:val="center"/>
              <w:rPr>
                <w:sz w:val="20"/>
                <w:szCs w:val="20"/>
              </w:rPr>
            </w:pPr>
            <w:r w:rsidRPr="00444592">
              <w:rPr>
                <w:sz w:val="20"/>
                <w:szCs w:val="20"/>
              </w:rPr>
              <w:t>2.818</w:t>
            </w:r>
          </w:p>
        </w:tc>
        <w:tc>
          <w:tcPr>
            <w:tcW w:w="1279" w:type="dxa"/>
            <w:tcBorders>
              <w:top w:val="single" w:sz="4" w:space="0" w:color="000000"/>
              <w:left w:val="nil"/>
              <w:bottom w:val="single" w:sz="4" w:space="0" w:color="000000"/>
              <w:right w:val="nil"/>
            </w:tcBorders>
          </w:tcPr>
          <w:p w14:paraId="363FDB56" w14:textId="77777777" w:rsidR="00CB5D4E" w:rsidRPr="00444592" w:rsidRDefault="00CB5D4E" w:rsidP="00444592">
            <w:pPr>
              <w:keepNext/>
              <w:spacing w:after="40"/>
              <w:jc w:val="center"/>
              <w:rPr>
                <w:sz w:val="20"/>
                <w:szCs w:val="20"/>
              </w:rPr>
            </w:pPr>
            <w:r w:rsidRPr="00444592">
              <w:rPr>
                <w:sz w:val="20"/>
                <w:szCs w:val="20"/>
              </w:rPr>
              <w:t>3.526</w:t>
            </w:r>
          </w:p>
        </w:tc>
        <w:tc>
          <w:tcPr>
            <w:tcW w:w="1924" w:type="dxa"/>
            <w:tcBorders>
              <w:top w:val="single" w:sz="4" w:space="0" w:color="000000"/>
              <w:left w:val="nil"/>
              <w:bottom w:val="single" w:sz="4" w:space="0" w:color="000000"/>
              <w:right w:val="nil"/>
            </w:tcBorders>
          </w:tcPr>
          <w:p w14:paraId="4ACE4470" w14:textId="77777777" w:rsidR="00CB5D4E" w:rsidRPr="00444592" w:rsidRDefault="00CB5D4E" w:rsidP="00444592">
            <w:pPr>
              <w:keepNext/>
              <w:spacing w:after="40"/>
              <w:jc w:val="center"/>
              <w:rPr>
                <w:sz w:val="20"/>
                <w:szCs w:val="20"/>
              </w:rPr>
            </w:pPr>
            <w:r w:rsidRPr="00444592">
              <w:rPr>
                <w:sz w:val="20"/>
                <w:szCs w:val="20"/>
              </w:rPr>
              <w:t>+57,0%</w:t>
            </w:r>
          </w:p>
        </w:tc>
      </w:tr>
      <w:tr w:rsidR="00040CE1" w14:paraId="2597FFF9" w14:textId="77777777" w:rsidTr="007945F2">
        <w:trPr>
          <w:cantSplit/>
          <w:trHeight w:val="301"/>
          <w:jc w:val="center"/>
        </w:trPr>
        <w:tc>
          <w:tcPr>
            <w:tcW w:w="2993" w:type="dxa"/>
            <w:tcBorders>
              <w:top w:val="single" w:sz="4" w:space="0" w:color="000000"/>
              <w:left w:val="nil"/>
              <w:bottom w:val="single" w:sz="4" w:space="0" w:color="000000"/>
              <w:right w:val="nil"/>
            </w:tcBorders>
          </w:tcPr>
          <w:p w14:paraId="1C969984" w14:textId="77777777" w:rsidR="00CB5D4E" w:rsidRPr="00444592" w:rsidRDefault="00CB5D4E" w:rsidP="00444592">
            <w:pPr>
              <w:keepNext/>
              <w:spacing w:after="40"/>
              <w:rPr>
                <w:sz w:val="20"/>
                <w:szCs w:val="20"/>
              </w:rPr>
            </w:pPr>
            <w:r w:rsidRPr="00444592">
              <w:rPr>
                <w:sz w:val="20"/>
                <w:szCs w:val="20"/>
              </w:rPr>
              <w:t>Campo Alagado e Área Pantanosa</w:t>
            </w:r>
          </w:p>
        </w:tc>
        <w:tc>
          <w:tcPr>
            <w:tcW w:w="1279" w:type="dxa"/>
            <w:tcBorders>
              <w:top w:val="single" w:sz="4" w:space="0" w:color="000000"/>
              <w:left w:val="nil"/>
              <w:bottom w:val="single" w:sz="4" w:space="0" w:color="000000"/>
              <w:right w:val="nil"/>
            </w:tcBorders>
          </w:tcPr>
          <w:p w14:paraId="588C2B54" w14:textId="77777777" w:rsidR="00CB5D4E" w:rsidRPr="00444592" w:rsidRDefault="00CB5D4E" w:rsidP="00444592">
            <w:pPr>
              <w:keepNext/>
              <w:spacing w:after="40"/>
              <w:jc w:val="center"/>
              <w:rPr>
                <w:sz w:val="20"/>
                <w:szCs w:val="20"/>
              </w:rPr>
            </w:pPr>
            <w:r w:rsidRPr="00444592">
              <w:rPr>
                <w:sz w:val="20"/>
                <w:szCs w:val="20"/>
              </w:rPr>
              <w:t>4.124</w:t>
            </w:r>
          </w:p>
        </w:tc>
        <w:tc>
          <w:tcPr>
            <w:tcW w:w="1279" w:type="dxa"/>
            <w:tcBorders>
              <w:top w:val="single" w:sz="4" w:space="0" w:color="000000"/>
              <w:left w:val="nil"/>
              <w:bottom w:val="single" w:sz="4" w:space="0" w:color="000000"/>
              <w:right w:val="nil"/>
            </w:tcBorders>
          </w:tcPr>
          <w:p w14:paraId="14670F35" w14:textId="77777777" w:rsidR="00CB5D4E" w:rsidRPr="00444592" w:rsidRDefault="00CB5D4E" w:rsidP="00444592">
            <w:pPr>
              <w:keepNext/>
              <w:spacing w:after="40"/>
              <w:jc w:val="center"/>
              <w:rPr>
                <w:sz w:val="20"/>
                <w:szCs w:val="20"/>
              </w:rPr>
            </w:pPr>
            <w:r w:rsidRPr="00444592">
              <w:rPr>
                <w:sz w:val="20"/>
                <w:szCs w:val="20"/>
              </w:rPr>
              <w:t>3.936</w:t>
            </w:r>
          </w:p>
        </w:tc>
        <w:tc>
          <w:tcPr>
            <w:tcW w:w="1279" w:type="dxa"/>
            <w:tcBorders>
              <w:top w:val="single" w:sz="4" w:space="0" w:color="000000"/>
              <w:left w:val="nil"/>
              <w:bottom w:val="single" w:sz="4" w:space="0" w:color="000000"/>
              <w:right w:val="nil"/>
            </w:tcBorders>
          </w:tcPr>
          <w:p w14:paraId="50BF27FD" w14:textId="77777777" w:rsidR="00CB5D4E" w:rsidRPr="00444592" w:rsidRDefault="00CB5D4E" w:rsidP="00444592">
            <w:pPr>
              <w:keepNext/>
              <w:spacing w:after="40"/>
              <w:jc w:val="center"/>
              <w:rPr>
                <w:sz w:val="20"/>
                <w:szCs w:val="20"/>
              </w:rPr>
            </w:pPr>
            <w:r w:rsidRPr="00444592">
              <w:rPr>
                <w:sz w:val="20"/>
                <w:szCs w:val="20"/>
              </w:rPr>
              <w:t>3.773</w:t>
            </w:r>
          </w:p>
        </w:tc>
        <w:tc>
          <w:tcPr>
            <w:tcW w:w="1924" w:type="dxa"/>
            <w:tcBorders>
              <w:top w:val="single" w:sz="4" w:space="0" w:color="000000"/>
              <w:left w:val="nil"/>
              <w:bottom w:val="single" w:sz="4" w:space="0" w:color="000000"/>
              <w:right w:val="nil"/>
            </w:tcBorders>
          </w:tcPr>
          <w:p w14:paraId="506DF68B" w14:textId="77777777" w:rsidR="00CB5D4E" w:rsidRPr="00444592" w:rsidRDefault="00CB5D4E" w:rsidP="00444592">
            <w:pPr>
              <w:keepNext/>
              <w:spacing w:after="40"/>
              <w:jc w:val="center"/>
              <w:rPr>
                <w:sz w:val="20"/>
                <w:szCs w:val="20"/>
              </w:rPr>
            </w:pPr>
            <w:r w:rsidRPr="00444592">
              <w:rPr>
                <w:sz w:val="20"/>
                <w:szCs w:val="20"/>
              </w:rPr>
              <w:t>-8,5%</w:t>
            </w:r>
          </w:p>
        </w:tc>
      </w:tr>
      <w:tr w:rsidR="00040CE1" w14:paraId="7E0602F9" w14:textId="77777777" w:rsidTr="007945F2">
        <w:trPr>
          <w:cantSplit/>
          <w:trHeight w:val="62"/>
          <w:jc w:val="center"/>
        </w:trPr>
        <w:tc>
          <w:tcPr>
            <w:tcW w:w="2993" w:type="dxa"/>
            <w:tcBorders>
              <w:top w:val="single" w:sz="4" w:space="0" w:color="000000"/>
              <w:left w:val="nil"/>
              <w:bottom w:val="single" w:sz="4" w:space="0" w:color="000000"/>
              <w:right w:val="nil"/>
            </w:tcBorders>
          </w:tcPr>
          <w:p w14:paraId="5343C640" w14:textId="74E00B36" w:rsidR="00CB5D4E" w:rsidRPr="00444592" w:rsidRDefault="00CB5D4E" w:rsidP="00444592">
            <w:pPr>
              <w:spacing w:after="40"/>
              <w:rPr>
                <w:sz w:val="20"/>
                <w:szCs w:val="20"/>
              </w:rPr>
            </w:pPr>
            <w:r w:rsidRPr="00444592">
              <w:rPr>
                <w:sz w:val="20"/>
                <w:szCs w:val="20"/>
              </w:rPr>
              <w:t>Rio</w:t>
            </w:r>
            <w:r w:rsidR="00D77B41" w:rsidRPr="00444592">
              <w:rPr>
                <w:sz w:val="20"/>
                <w:szCs w:val="20"/>
              </w:rPr>
              <w:t xml:space="preserve"> </w:t>
            </w:r>
            <w:r w:rsidR="00047F3E" w:rsidRPr="00444592">
              <w:rPr>
                <w:sz w:val="20"/>
                <w:szCs w:val="20"/>
              </w:rPr>
              <w:t>e</w:t>
            </w:r>
            <w:r w:rsidRPr="00444592">
              <w:rPr>
                <w:sz w:val="20"/>
                <w:szCs w:val="20"/>
              </w:rPr>
              <w:t xml:space="preserve"> Lago</w:t>
            </w:r>
          </w:p>
        </w:tc>
        <w:tc>
          <w:tcPr>
            <w:tcW w:w="1279" w:type="dxa"/>
            <w:tcBorders>
              <w:top w:val="single" w:sz="4" w:space="0" w:color="000000"/>
              <w:left w:val="nil"/>
              <w:bottom w:val="single" w:sz="4" w:space="0" w:color="000000"/>
              <w:right w:val="nil"/>
            </w:tcBorders>
          </w:tcPr>
          <w:p w14:paraId="6A197A70" w14:textId="77777777" w:rsidR="00CB5D4E" w:rsidRPr="00444592" w:rsidRDefault="00CB5D4E" w:rsidP="00444592">
            <w:pPr>
              <w:spacing w:after="40"/>
              <w:jc w:val="center"/>
              <w:rPr>
                <w:sz w:val="20"/>
                <w:szCs w:val="20"/>
              </w:rPr>
            </w:pPr>
            <w:r w:rsidRPr="00444592">
              <w:rPr>
                <w:sz w:val="20"/>
                <w:szCs w:val="20"/>
              </w:rPr>
              <w:t>2.637</w:t>
            </w:r>
          </w:p>
        </w:tc>
        <w:tc>
          <w:tcPr>
            <w:tcW w:w="1279" w:type="dxa"/>
            <w:tcBorders>
              <w:top w:val="single" w:sz="4" w:space="0" w:color="000000"/>
              <w:left w:val="nil"/>
              <w:bottom w:val="single" w:sz="4" w:space="0" w:color="000000"/>
              <w:right w:val="nil"/>
            </w:tcBorders>
          </w:tcPr>
          <w:p w14:paraId="6E7AF7D2" w14:textId="77777777" w:rsidR="00CB5D4E" w:rsidRPr="00444592" w:rsidRDefault="00CB5D4E" w:rsidP="00444592">
            <w:pPr>
              <w:spacing w:after="40"/>
              <w:jc w:val="center"/>
              <w:rPr>
                <w:sz w:val="20"/>
                <w:szCs w:val="20"/>
              </w:rPr>
            </w:pPr>
            <w:r w:rsidRPr="00444592">
              <w:rPr>
                <w:sz w:val="20"/>
                <w:szCs w:val="20"/>
              </w:rPr>
              <w:t>2.404</w:t>
            </w:r>
          </w:p>
        </w:tc>
        <w:tc>
          <w:tcPr>
            <w:tcW w:w="1279" w:type="dxa"/>
            <w:tcBorders>
              <w:top w:val="single" w:sz="4" w:space="0" w:color="000000"/>
              <w:left w:val="nil"/>
              <w:bottom w:val="single" w:sz="4" w:space="0" w:color="000000"/>
              <w:right w:val="nil"/>
            </w:tcBorders>
          </w:tcPr>
          <w:p w14:paraId="7E822B05" w14:textId="77777777" w:rsidR="00CB5D4E" w:rsidRPr="00444592" w:rsidRDefault="00CB5D4E" w:rsidP="00444592">
            <w:pPr>
              <w:spacing w:after="40"/>
              <w:jc w:val="center"/>
              <w:rPr>
                <w:sz w:val="20"/>
                <w:szCs w:val="20"/>
              </w:rPr>
            </w:pPr>
            <w:r w:rsidRPr="00444592">
              <w:rPr>
                <w:sz w:val="20"/>
                <w:szCs w:val="20"/>
              </w:rPr>
              <w:t>2.341</w:t>
            </w:r>
          </w:p>
        </w:tc>
        <w:tc>
          <w:tcPr>
            <w:tcW w:w="1924" w:type="dxa"/>
            <w:tcBorders>
              <w:top w:val="single" w:sz="4" w:space="0" w:color="000000"/>
              <w:left w:val="nil"/>
              <w:bottom w:val="single" w:sz="4" w:space="0" w:color="000000"/>
              <w:right w:val="nil"/>
            </w:tcBorders>
          </w:tcPr>
          <w:p w14:paraId="62B96935" w14:textId="77777777" w:rsidR="00CB5D4E" w:rsidRPr="00444592" w:rsidRDefault="00CB5D4E" w:rsidP="00444592">
            <w:pPr>
              <w:spacing w:after="40"/>
              <w:jc w:val="center"/>
              <w:rPr>
                <w:sz w:val="20"/>
                <w:szCs w:val="20"/>
              </w:rPr>
            </w:pPr>
            <w:r w:rsidRPr="00444592">
              <w:rPr>
                <w:sz w:val="20"/>
                <w:szCs w:val="20"/>
              </w:rPr>
              <w:t>-11,2%</w:t>
            </w:r>
          </w:p>
        </w:tc>
      </w:tr>
    </w:tbl>
    <w:p w14:paraId="2ACD2557" w14:textId="51F8D13E" w:rsidR="00CB5D4E" w:rsidRPr="00AD5002" w:rsidRDefault="00AD5002" w:rsidP="00AD5002">
      <w:pPr>
        <w:pStyle w:val="Corpodetexto"/>
        <w:spacing w:before="1" w:line="360" w:lineRule="auto"/>
      </w:pPr>
      <w:r w:rsidRPr="00AD5002">
        <w:t>Fonte: Elaborado pel</w:t>
      </w:r>
      <w:r>
        <w:t>os</w:t>
      </w:r>
      <w:r w:rsidRPr="00AD5002">
        <w:t xml:space="preserve"> autor</w:t>
      </w:r>
      <w:r>
        <w:t>es</w:t>
      </w:r>
      <w:r w:rsidRPr="00AD5002">
        <w:t xml:space="preserve"> com base em MapBiomas (2024).</w:t>
      </w:r>
    </w:p>
    <w:p w14:paraId="6B477840" w14:textId="647F6504" w:rsidR="00243512" w:rsidRPr="008E5524" w:rsidRDefault="005F604A" w:rsidP="008E5524">
      <w:pPr>
        <w:pStyle w:val="Corpodetexto"/>
        <w:spacing w:before="1" w:line="360" w:lineRule="auto"/>
        <w:ind w:firstLine="720"/>
        <w:jc w:val="both"/>
        <w:rPr>
          <w:sz w:val="24"/>
          <w:szCs w:val="24"/>
        </w:rPr>
      </w:pPr>
      <w:r w:rsidRPr="005F604A">
        <w:rPr>
          <w:sz w:val="24"/>
          <w:szCs w:val="24"/>
        </w:rPr>
        <w:t>Os resultados corroboram o padrão observado em outros municípios paulistas, no qual a expansão da cana-de-açúcar ocorre majoritariamente sobre pastagens, e não sobre vegetação nativa (A</w:t>
      </w:r>
      <w:r>
        <w:rPr>
          <w:sz w:val="24"/>
          <w:szCs w:val="24"/>
        </w:rPr>
        <w:t>dami</w:t>
      </w:r>
      <w:r w:rsidRPr="005F604A">
        <w:rPr>
          <w:sz w:val="24"/>
          <w:szCs w:val="24"/>
        </w:rPr>
        <w:t xml:space="preserve"> </w:t>
      </w:r>
      <w:r w:rsidRPr="005F604A">
        <w:rPr>
          <w:i/>
          <w:iCs/>
          <w:sz w:val="24"/>
          <w:szCs w:val="24"/>
        </w:rPr>
        <w:t>et al</w:t>
      </w:r>
      <w:r w:rsidRPr="005F604A">
        <w:rPr>
          <w:sz w:val="24"/>
          <w:szCs w:val="24"/>
        </w:rPr>
        <w:t>., 2012; A</w:t>
      </w:r>
      <w:r w:rsidR="005556D4">
        <w:rPr>
          <w:sz w:val="24"/>
          <w:szCs w:val="24"/>
        </w:rPr>
        <w:t>lkimim</w:t>
      </w:r>
      <w:r w:rsidRPr="005F604A">
        <w:rPr>
          <w:sz w:val="24"/>
          <w:szCs w:val="24"/>
        </w:rPr>
        <w:t>; S</w:t>
      </w:r>
      <w:r w:rsidR="005556D4">
        <w:rPr>
          <w:sz w:val="24"/>
          <w:szCs w:val="24"/>
        </w:rPr>
        <w:t>parovek</w:t>
      </w:r>
      <w:r w:rsidRPr="005F604A">
        <w:rPr>
          <w:sz w:val="24"/>
          <w:szCs w:val="24"/>
        </w:rPr>
        <w:t>; C</w:t>
      </w:r>
      <w:r w:rsidR="005556D4">
        <w:rPr>
          <w:sz w:val="24"/>
          <w:szCs w:val="24"/>
        </w:rPr>
        <w:t>larke</w:t>
      </w:r>
      <w:r w:rsidRPr="005F604A">
        <w:rPr>
          <w:sz w:val="24"/>
          <w:szCs w:val="24"/>
        </w:rPr>
        <w:t>, 2015). A Formação Florestal manteve-se praticamente estável no período (16.354 ha em 2005; 16.530 ha em 2015; 16.522 ha em 2024), sugerindo relativa efetividade da proteção legal das áreas de preservação permanente e de reserva legal do Código Florestal (B</w:t>
      </w:r>
      <w:r w:rsidR="00FA11C4">
        <w:rPr>
          <w:sz w:val="24"/>
          <w:szCs w:val="24"/>
        </w:rPr>
        <w:t>rasil</w:t>
      </w:r>
      <w:r w:rsidRPr="005F604A">
        <w:rPr>
          <w:sz w:val="24"/>
          <w:szCs w:val="24"/>
        </w:rPr>
        <w:t>, 2012), sobretudo nas faixas marginais aos cursos d'água, visíveis nos mapas como corredores lineares de vegetação remanescente. A Área Urbanizada, por sua vez, cresceu continuamente, de 2.246 ha em 2005 para 3.526 ha em 2024 (+57%), reforçando a necessidade de articulação entre o planejamento urbano e a gestão dos recursos naturais remanescentes. Já Campo Alagado/Área Pantanosa e Rio</w:t>
      </w:r>
      <w:r w:rsidR="00047F3E">
        <w:rPr>
          <w:sz w:val="24"/>
          <w:szCs w:val="24"/>
        </w:rPr>
        <w:t xml:space="preserve"> e</w:t>
      </w:r>
      <w:r w:rsidRPr="005F604A">
        <w:rPr>
          <w:sz w:val="24"/>
          <w:szCs w:val="24"/>
        </w:rPr>
        <w:t xml:space="preserve"> Lago apresentaram discreta redução no período (-8,5% e -11,2%), o que indica a relevância de aprofundar o monitoramento das áreas úmidas e dos corpos hídricos municipais diante da consolidação da monocultura canavieira no entorno.</w:t>
      </w:r>
    </w:p>
    <w:p w14:paraId="021079D3" w14:textId="77777777" w:rsidR="00243512" w:rsidRPr="005F70B0" w:rsidRDefault="00243512" w:rsidP="009C4B75">
      <w:pPr>
        <w:pStyle w:val="Corpodetexto"/>
        <w:spacing w:line="360" w:lineRule="auto"/>
        <w:ind w:firstLine="720"/>
        <w:jc w:val="both"/>
        <w:rPr>
          <w:sz w:val="24"/>
          <w:szCs w:val="24"/>
        </w:rPr>
      </w:pPr>
    </w:p>
    <w:p w14:paraId="1C25DF7A" w14:textId="7E45D5B7" w:rsidR="00243512" w:rsidRPr="005F70B0" w:rsidRDefault="00243512" w:rsidP="009C4B75">
      <w:pPr>
        <w:pStyle w:val="Corpodetexto"/>
        <w:spacing w:line="360" w:lineRule="auto"/>
        <w:jc w:val="both"/>
        <w:rPr>
          <w:b/>
          <w:bCs/>
          <w:sz w:val="28"/>
          <w:szCs w:val="28"/>
        </w:rPr>
      </w:pPr>
      <w:r w:rsidRPr="005F70B0">
        <w:rPr>
          <w:b/>
          <w:bCs/>
          <w:sz w:val="28"/>
          <w:szCs w:val="28"/>
        </w:rPr>
        <w:t>Conclusão</w:t>
      </w:r>
    </w:p>
    <w:p w14:paraId="17C83AC1" w14:textId="06CF39F9" w:rsidR="0013116E" w:rsidRDefault="00277985" w:rsidP="009C4B75">
      <w:pPr>
        <w:pStyle w:val="Corpodetexto"/>
        <w:spacing w:line="360" w:lineRule="auto"/>
        <w:ind w:firstLine="720"/>
        <w:jc w:val="both"/>
        <w:rPr>
          <w:sz w:val="24"/>
          <w:szCs w:val="24"/>
        </w:rPr>
      </w:pPr>
      <w:r w:rsidRPr="00277985">
        <w:rPr>
          <w:sz w:val="24"/>
          <w:szCs w:val="24"/>
        </w:rPr>
        <w:t>A análise da dinâmica de uso e ocupação d</w:t>
      </w:r>
      <w:r w:rsidR="00840E54">
        <w:rPr>
          <w:sz w:val="24"/>
          <w:szCs w:val="24"/>
        </w:rPr>
        <w:t>a terra</w:t>
      </w:r>
      <w:r w:rsidRPr="00277985">
        <w:rPr>
          <w:sz w:val="24"/>
          <w:szCs w:val="24"/>
        </w:rPr>
        <w:t xml:space="preserve"> em Barretos/SP entre 2005 e 2024 evidenciou um intenso processo de especialização produtiva voltado à cultura canavieira, que mais do que dobrou sua área ocupada no município, substituindo principalmente áreas de pastagem e, em menor grau, de soja. A vegetação nativa remanescente, por sua vez, manteve-se relativamente estável no período, o que sugere efeito positivo, ainda que limitado, da legislação ambiental sobre a manutenção dos fragmentos florestais associados aos cursos d'água.</w:t>
      </w:r>
    </w:p>
    <w:p w14:paraId="6E7340C5" w14:textId="5FD7C99B" w:rsidR="00624629" w:rsidRDefault="003D1F58" w:rsidP="003D1F58">
      <w:pPr>
        <w:pStyle w:val="Corpodetexto"/>
        <w:spacing w:line="360" w:lineRule="auto"/>
        <w:ind w:firstLine="720"/>
        <w:jc w:val="both"/>
        <w:rPr>
          <w:sz w:val="24"/>
          <w:szCs w:val="24"/>
        </w:rPr>
      </w:pPr>
      <w:r w:rsidRPr="003D1F58">
        <w:rPr>
          <w:sz w:val="24"/>
          <w:szCs w:val="24"/>
        </w:rPr>
        <w:t xml:space="preserve">A expansão contínua da área urbanizada, somada à leve redução das áreas úmidas e dos corpos hídricos, reforça a importância de uma gestão integrada entre o planejamento </w:t>
      </w:r>
      <w:r w:rsidRPr="003D1F58">
        <w:rPr>
          <w:sz w:val="24"/>
          <w:szCs w:val="24"/>
        </w:rPr>
        <w:lastRenderedPageBreak/>
        <w:t>urbano, a legislação de recursos naturais e o monitoramento da expansão agrícola. Os resultados podem subsidiar futuras políticas públicas de ordenamento territorial em Barretos/SP, bem como estudos complementares de valoração ambiental.</w:t>
      </w:r>
    </w:p>
    <w:p w14:paraId="1459CD48" w14:textId="77777777" w:rsidR="009C4B75" w:rsidRPr="005F70B0" w:rsidRDefault="009C4B75" w:rsidP="009C4B75">
      <w:pPr>
        <w:pStyle w:val="Corpodetexto"/>
        <w:spacing w:line="360" w:lineRule="auto"/>
        <w:ind w:firstLine="720"/>
        <w:jc w:val="both"/>
        <w:rPr>
          <w:sz w:val="24"/>
          <w:szCs w:val="24"/>
        </w:rPr>
      </w:pP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731FE0DA" w14:textId="1DB6C85C" w:rsidR="005F70B0" w:rsidRDefault="00624629" w:rsidP="009C4B75">
      <w:pPr>
        <w:pStyle w:val="Corpodetexto"/>
        <w:spacing w:line="360" w:lineRule="auto"/>
        <w:jc w:val="both"/>
        <w:rPr>
          <w:sz w:val="24"/>
          <w:szCs w:val="24"/>
        </w:rPr>
      </w:pPr>
      <w:r w:rsidRPr="005F70B0">
        <w:rPr>
          <w:sz w:val="24"/>
          <w:szCs w:val="24"/>
        </w:rPr>
        <w:tab/>
      </w:r>
      <w:r w:rsidR="00B041D5" w:rsidRPr="00A462D8">
        <w:rPr>
          <w:sz w:val="24"/>
          <w:szCs w:val="24"/>
        </w:rPr>
        <w:t>O</w:t>
      </w:r>
      <w:r w:rsidR="0081558D">
        <w:rPr>
          <w:sz w:val="24"/>
          <w:szCs w:val="24"/>
        </w:rPr>
        <w:t>s autores agradecem o apoio financeiro da</w:t>
      </w:r>
      <w:r w:rsidR="00B041D5" w:rsidRPr="00A462D8">
        <w:rPr>
          <w:sz w:val="24"/>
          <w:szCs w:val="24"/>
        </w:rPr>
        <w:t xml:space="preserve"> Coordenação de Aperfeiçoamento de Pessoal de Nível Superior</w:t>
      </w:r>
      <w:r w:rsidR="0081558D">
        <w:rPr>
          <w:sz w:val="24"/>
          <w:szCs w:val="24"/>
        </w:rPr>
        <w:t xml:space="preserve"> </w:t>
      </w:r>
      <w:r w:rsidR="00B041D5" w:rsidRPr="00A462D8">
        <w:rPr>
          <w:sz w:val="24"/>
          <w:szCs w:val="24"/>
        </w:rPr>
        <w:t>(CAPES)</w:t>
      </w:r>
      <w:r w:rsidR="0034249E">
        <w:rPr>
          <w:sz w:val="24"/>
          <w:szCs w:val="24"/>
        </w:rPr>
        <w:t xml:space="preserve"> –</w:t>
      </w:r>
      <w:r w:rsidR="0081558D">
        <w:rPr>
          <w:sz w:val="24"/>
          <w:szCs w:val="24"/>
        </w:rPr>
        <w:t xml:space="preserve"> </w:t>
      </w:r>
      <w:r w:rsidR="00B041D5" w:rsidRPr="00A462D8">
        <w:rPr>
          <w:sz w:val="24"/>
          <w:szCs w:val="24"/>
        </w:rPr>
        <w:t>Cód</w:t>
      </w:r>
      <w:r w:rsidR="0034249E">
        <w:rPr>
          <w:sz w:val="24"/>
          <w:szCs w:val="24"/>
        </w:rPr>
        <w:t>igo de</w:t>
      </w:r>
      <w:r w:rsidR="0081558D">
        <w:rPr>
          <w:sz w:val="24"/>
          <w:szCs w:val="24"/>
        </w:rPr>
        <w:t xml:space="preserve"> Financ</w:t>
      </w:r>
      <w:r w:rsidR="00C665E9">
        <w:rPr>
          <w:sz w:val="24"/>
          <w:szCs w:val="24"/>
        </w:rPr>
        <w:t>iamento</w:t>
      </w:r>
      <w:r w:rsidR="0081558D">
        <w:rPr>
          <w:sz w:val="24"/>
          <w:szCs w:val="24"/>
        </w:rPr>
        <w:t>. 001</w:t>
      </w:r>
      <w:r w:rsidR="00B041D5">
        <w:rPr>
          <w:sz w:val="24"/>
          <w:szCs w:val="24"/>
        </w:rPr>
        <w:t xml:space="preserve">, bem como </w:t>
      </w:r>
      <w:r w:rsidR="0081558D">
        <w:rPr>
          <w:sz w:val="24"/>
          <w:szCs w:val="24"/>
        </w:rPr>
        <w:t xml:space="preserve">ao </w:t>
      </w:r>
      <w:r w:rsidR="00B041D5">
        <w:rPr>
          <w:sz w:val="24"/>
          <w:szCs w:val="24"/>
        </w:rPr>
        <w:t>CAPES/PROAP.</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393B61EA" w14:textId="78C4B134" w:rsidR="00C63E4A" w:rsidRDefault="00C63E4A" w:rsidP="00624629">
      <w:pPr>
        <w:pStyle w:val="Corpodetexto"/>
        <w:rPr>
          <w:sz w:val="24"/>
          <w:szCs w:val="24"/>
        </w:rPr>
      </w:pPr>
      <w:r w:rsidRPr="00C63E4A">
        <w:rPr>
          <w:sz w:val="24"/>
          <w:szCs w:val="24"/>
        </w:rPr>
        <w:t>ADAMI, M.</w:t>
      </w:r>
      <w:r w:rsidR="00F83B7A">
        <w:rPr>
          <w:sz w:val="24"/>
          <w:szCs w:val="24"/>
        </w:rPr>
        <w:t xml:space="preserve">, </w:t>
      </w:r>
      <w:r w:rsidR="00F83B7A" w:rsidRPr="00F83B7A">
        <w:rPr>
          <w:i/>
          <w:iCs/>
          <w:sz w:val="24"/>
          <w:szCs w:val="24"/>
        </w:rPr>
        <w:t>et al</w:t>
      </w:r>
      <w:r w:rsidRPr="00C63E4A">
        <w:rPr>
          <w:sz w:val="24"/>
          <w:szCs w:val="24"/>
        </w:rPr>
        <w:t xml:space="preserve">. Remote sensing time series to evaluate direct land use change of recent expanded sugarcane crop in Brazil. </w:t>
      </w:r>
      <w:r w:rsidRPr="00F83B7A">
        <w:rPr>
          <w:b/>
          <w:bCs/>
          <w:sz w:val="24"/>
          <w:szCs w:val="24"/>
        </w:rPr>
        <w:t>Sustainability</w:t>
      </w:r>
      <w:r w:rsidRPr="00C63E4A">
        <w:rPr>
          <w:sz w:val="24"/>
          <w:szCs w:val="24"/>
        </w:rPr>
        <w:t xml:space="preserve">, v. 4, n. 4, p. 574-585, 2012. Disponível em: </w:t>
      </w:r>
      <w:hyperlink r:id="rId14" w:history="1">
        <w:r w:rsidR="00F83B7A" w:rsidRPr="00176C4B">
          <w:rPr>
            <w:rStyle w:val="Hyperlink"/>
            <w:sz w:val="24"/>
            <w:szCs w:val="24"/>
          </w:rPr>
          <w:t>https://www.mdpi.com/2071-1050/4/4/574</w:t>
        </w:r>
      </w:hyperlink>
      <w:r w:rsidR="00F83B7A">
        <w:rPr>
          <w:sz w:val="24"/>
          <w:szCs w:val="24"/>
        </w:rPr>
        <w:t xml:space="preserve">. </w:t>
      </w:r>
      <w:r w:rsidRPr="00C63E4A">
        <w:rPr>
          <w:sz w:val="24"/>
          <w:szCs w:val="24"/>
        </w:rPr>
        <w:t>Acesso em: 8 jul. 2026.</w:t>
      </w:r>
    </w:p>
    <w:p w14:paraId="5FB74607" w14:textId="77777777" w:rsidR="00C63E4A" w:rsidRDefault="00C63E4A" w:rsidP="00624629">
      <w:pPr>
        <w:pStyle w:val="Corpodetexto"/>
        <w:rPr>
          <w:sz w:val="24"/>
          <w:szCs w:val="24"/>
        </w:rPr>
      </w:pPr>
    </w:p>
    <w:p w14:paraId="6E46578B" w14:textId="02875642" w:rsidR="006A6401" w:rsidRDefault="006A6401" w:rsidP="00624629">
      <w:pPr>
        <w:pStyle w:val="Corpodetexto"/>
        <w:rPr>
          <w:sz w:val="24"/>
          <w:szCs w:val="24"/>
        </w:rPr>
      </w:pPr>
      <w:r w:rsidRPr="006A6401">
        <w:rPr>
          <w:sz w:val="24"/>
          <w:szCs w:val="24"/>
        </w:rPr>
        <w:t xml:space="preserve">ALKIMIM, A.; SPAROVEK, G.; CLARKE, K. C. Converting Brazil's pastures to cropland: an alternative way to meet sugarcane demand and to spare forestlands. </w:t>
      </w:r>
      <w:r w:rsidRPr="006A6401">
        <w:rPr>
          <w:b/>
          <w:bCs/>
          <w:sz w:val="24"/>
          <w:szCs w:val="24"/>
        </w:rPr>
        <w:t>Applied Geography</w:t>
      </w:r>
      <w:r w:rsidRPr="006A6401">
        <w:rPr>
          <w:sz w:val="24"/>
          <w:szCs w:val="24"/>
        </w:rPr>
        <w:t xml:space="preserve">, v. 62, p. 75-84, 2015. Disponível em: </w:t>
      </w:r>
      <w:hyperlink r:id="rId15" w:history="1">
        <w:r w:rsidRPr="00176C4B">
          <w:rPr>
            <w:rStyle w:val="Hyperlink"/>
            <w:sz w:val="24"/>
            <w:szCs w:val="24"/>
          </w:rPr>
          <w:t>https://www.sciencedirect.com/science/article/pii/S0143622815000910</w:t>
        </w:r>
      </w:hyperlink>
      <w:r>
        <w:rPr>
          <w:sz w:val="24"/>
          <w:szCs w:val="24"/>
        </w:rPr>
        <w:t xml:space="preserve">. </w:t>
      </w:r>
      <w:r w:rsidRPr="006A6401">
        <w:rPr>
          <w:sz w:val="24"/>
          <w:szCs w:val="24"/>
        </w:rPr>
        <w:t>Acesso em: 8 jul. 2026.</w:t>
      </w:r>
    </w:p>
    <w:p w14:paraId="03CCEC50" w14:textId="77777777" w:rsidR="006A6401" w:rsidRDefault="006A6401" w:rsidP="00624629">
      <w:pPr>
        <w:pStyle w:val="Corpodetexto"/>
        <w:rPr>
          <w:sz w:val="24"/>
          <w:szCs w:val="24"/>
        </w:rPr>
      </w:pPr>
    </w:p>
    <w:p w14:paraId="19580AB2" w14:textId="715C2EA6" w:rsidR="000B1A9B" w:rsidRDefault="000B1A9B" w:rsidP="00624629">
      <w:pPr>
        <w:pStyle w:val="Corpodetexto"/>
        <w:rPr>
          <w:sz w:val="24"/>
          <w:szCs w:val="24"/>
        </w:rPr>
      </w:pPr>
      <w:r w:rsidRPr="000B1A9B">
        <w:rPr>
          <w:sz w:val="24"/>
          <w:szCs w:val="24"/>
        </w:rPr>
        <w:t xml:space="preserve">BARRETOS É O SEGUNDO MAIOR PRODUTOR DE CANA-DE-AÇÚCAR E DE BORRACHA DO ESTADO. In: </w:t>
      </w:r>
      <w:r w:rsidRPr="000B1A9B">
        <w:rPr>
          <w:b/>
          <w:bCs/>
          <w:sz w:val="24"/>
          <w:szCs w:val="24"/>
        </w:rPr>
        <w:t>Jornal de Barretos</w:t>
      </w:r>
      <w:r w:rsidRPr="000B1A9B">
        <w:rPr>
          <w:sz w:val="24"/>
          <w:szCs w:val="24"/>
        </w:rPr>
        <w:t xml:space="preserve">. Barretos, </w:t>
      </w:r>
      <w:r w:rsidR="00B00BF8">
        <w:rPr>
          <w:sz w:val="24"/>
          <w:szCs w:val="24"/>
        </w:rPr>
        <w:t>26 out. 2024</w:t>
      </w:r>
      <w:r w:rsidRPr="000B1A9B">
        <w:rPr>
          <w:sz w:val="24"/>
          <w:szCs w:val="24"/>
        </w:rPr>
        <w:t xml:space="preserve">. Disponível em: </w:t>
      </w:r>
      <w:hyperlink r:id="rId16" w:history="1">
        <w:r w:rsidRPr="00176C4B">
          <w:rPr>
            <w:rStyle w:val="Hyperlink"/>
            <w:sz w:val="24"/>
            <w:szCs w:val="24"/>
          </w:rPr>
          <w:t>https://jornaldebarretos.com.br/noticias/barretos-e-o-segundo-maior-produtor-de-cana-de-acucar-e-de-borracha-do-estado/</w:t>
        </w:r>
      </w:hyperlink>
      <w:r>
        <w:rPr>
          <w:sz w:val="24"/>
          <w:szCs w:val="24"/>
        </w:rPr>
        <w:t xml:space="preserve">. </w:t>
      </w:r>
      <w:r w:rsidRPr="000B1A9B">
        <w:rPr>
          <w:sz w:val="24"/>
          <w:szCs w:val="24"/>
        </w:rPr>
        <w:t>Acesso em: 8 jul. 2026.</w:t>
      </w:r>
    </w:p>
    <w:p w14:paraId="4F325838" w14:textId="77777777" w:rsidR="00CC3571" w:rsidRDefault="00CC3571" w:rsidP="00624629">
      <w:pPr>
        <w:pStyle w:val="Corpodetexto"/>
        <w:rPr>
          <w:sz w:val="24"/>
          <w:szCs w:val="24"/>
        </w:rPr>
      </w:pPr>
    </w:p>
    <w:p w14:paraId="1C4A660E" w14:textId="6DBE736D" w:rsidR="00CC3571" w:rsidRDefault="001701F3" w:rsidP="00624629">
      <w:pPr>
        <w:pStyle w:val="Corpodetexto"/>
        <w:rPr>
          <w:sz w:val="24"/>
          <w:szCs w:val="24"/>
        </w:rPr>
      </w:pPr>
      <w:r w:rsidRPr="001701F3">
        <w:rPr>
          <w:sz w:val="24"/>
          <w:szCs w:val="24"/>
        </w:rPr>
        <w:t xml:space="preserve">BRASIL. </w:t>
      </w:r>
      <w:r w:rsidRPr="001701F3">
        <w:rPr>
          <w:b/>
          <w:bCs/>
          <w:sz w:val="24"/>
          <w:szCs w:val="24"/>
        </w:rPr>
        <w:t>Lei nº 12.651, de 25 de maio de 2012</w:t>
      </w:r>
      <w:r w:rsidRPr="001701F3">
        <w:rPr>
          <w:sz w:val="24"/>
          <w:szCs w:val="24"/>
        </w:rPr>
        <w:t>. Dispõe sobre a proteção da vegetação nativa e dá outras providências. Diário Oficial da União, Brasília, DF, 28 maio 2012.</w:t>
      </w:r>
    </w:p>
    <w:p w14:paraId="305D9FFF" w14:textId="77777777" w:rsidR="000B1A9B" w:rsidRDefault="000B1A9B" w:rsidP="00624629">
      <w:pPr>
        <w:pStyle w:val="Corpodetexto"/>
        <w:rPr>
          <w:sz w:val="24"/>
          <w:szCs w:val="24"/>
        </w:rPr>
      </w:pPr>
    </w:p>
    <w:p w14:paraId="5F5F8DE3" w14:textId="74127264" w:rsidR="004B5F3F" w:rsidRDefault="004B5F3F" w:rsidP="00624629">
      <w:pPr>
        <w:pStyle w:val="Corpodetexto"/>
        <w:rPr>
          <w:sz w:val="24"/>
          <w:szCs w:val="24"/>
        </w:rPr>
      </w:pPr>
      <w:r w:rsidRPr="004B5F3F">
        <w:rPr>
          <w:sz w:val="24"/>
          <w:szCs w:val="24"/>
        </w:rPr>
        <w:t xml:space="preserve">CAMARA, M. R. G.; CALDARELLI, C. E. Expansão canavieira e o uso da terra no estado de São Paulo. </w:t>
      </w:r>
      <w:r w:rsidRPr="004B5F3F">
        <w:rPr>
          <w:b/>
          <w:bCs/>
          <w:sz w:val="24"/>
          <w:szCs w:val="24"/>
        </w:rPr>
        <w:t>Estudos Avançados</w:t>
      </w:r>
      <w:r w:rsidRPr="004B5F3F">
        <w:rPr>
          <w:sz w:val="24"/>
          <w:szCs w:val="24"/>
        </w:rPr>
        <w:t xml:space="preserve">, v. 30, n. 88, p. 93-116, 2016. Disponível em: </w:t>
      </w:r>
      <w:hyperlink r:id="rId17" w:history="1">
        <w:r w:rsidR="00A95C9D" w:rsidRPr="00176C4B">
          <w:rPr>
            <w:rStyle w:val="Hyperlink"/>
            <w:sz w:val="24"/>
            <w:szCs w:val="24"/>
          </w:rPr>
          <w:t>https://www.scielo.br/j/ea/a/zfmhCpngtsfn8thv6sd6Q7D/</w:t>
        </w:r>
      </w:hyperlink>
      <w:r w:rsidR="00A95C9D">
        <w:rPr>
          <w:sz w:val="24"/>
          <w:szCs w:val="24"/>
        </w:rPr>
        <w:t xml:space="preserve">. </w:t>
      </w:r>
      <w:r w:rsidRPr="004B5F3F">
        <w:rPr>
          <w:sz w:val="24"/>
          <w:szCs w:val="24"/>
        </w:rPr>
        <w:t>Acesso em: 8 jul. 2026.</w:t>
      </w:r>
    </w:p>
    <w:p w14:paraId="21D23E63" w14:textId="77777777" w:rsidR="004B5F3F" w:rsidRDefault="004B5F3F" w:rsidP="00624629">
      <w:pPr>
        <w:pStyle w:val="Corpodetexto"/>
        <w:rPr>
          <w:sz w:val="24"/>
          <w:szCs w:val="24"/>
        </w:rPr>
      </w:pPr>
    </w:p>
    <w:p w14:paraId="27C67D2C" w14:textId="61BD836F" w:rsidR="00AD71D6" w:rsidRDefault="00AD71D6" w:rsidP="00444592">
      <w:pPr>
        <w:pStyle w:val="Corpodetexto"/>
        <w:rPr>
          <w:sz w:val="24"/>
          <w:szCs w:val="24"/>
        </w:rPr>
      </w:pPr>
      <w:r w:rsidRPr="00AD71D6">
        <w:rPr>
          <w:sz w:val="24"/>
          <w:szCs w:val="24"/>
        </w:rPr>
        <w:t>IBGE. Instituto Brasileiro de Geografia e Estatística. Malha municipal do Estado de São Paulo. Rio de Janeiro: IBGE, 2025.</w:t>
      </w:r>
      <w:r>
        <w:rPr>
          <w:sz w:val="24"/>
          <w:szCs w:val="24"/>
        </w:rPr>
        <w:t xml:space="preserve"> </w:t>
      </w:r>
      <w:r w:rsidRPr="00AD71D6">
        <w:rPr>
          <w:sz w:val="24"/>
          <w:szCs w:val="24"/>
        </w:rPr>
        <w:t xml:space="preserve">Disponível em: </w:t>
      </w:r>
      <w:hyperlink r:id="rId18" w:history="1">
        <w:r w:rsidR="00444592" w:rsidRPr="00176C4B">
          <w:rPr>
            <w:rStyle w:val="Hyperlink"/>
            <w:sz w:val="24"/>
            <w:szCs w:val="24"/>
          </w:rPr>
          <w:t>https://www.ibge.gov.br/geociencias/organizacao-do-territorio/malhas-territoriais/15774-malhas.html</w:t>
        </w:r>
      </w:hyperlink>
      <w:r>
        <w:rPr>
          <w:sz w:val="24"/>
          <w:szCs w:val="24"/>
        </w:rPr>
        <w:t xml:space="preserve">. </w:t>
      </w:r>
      <w:r w:rsidRPr="00AD71D6">
        <w:rPr>
          <w:sz w:val="24"/>
          <w:szCs w:val="24"/>
        </w:rPr>
        <w:t>Acesso em: 8 jul. 2026.</w:t>
      </w:r>
    </w:p>
    <w:p w14:paraId="5C1822D7" w14:textId="77777777" w:rsidR="00AD71D6" w:rsidRDefault="00AD71D6" w:rsidP="00624629">
      <w:pPr>
        <w:pStyle w:val="Corpodetexto"/>
        <w:rPr>
          <w:sz w:val="24"/>
          <w:szCs w:val="24"/>
        </w:rPr>
      </w:pPr>
    </w:p>
    <w:p w14:paraId="5469118B" w14:textId="032FE6D6" w:rsidR="00717247" w:rsidRDefault="00717247" w:rsidP="00624629">
      <w:pPr>
        <w:pStyle w:val="Corpodetexto"/>
        <w:rPr>
          <w:sz w:val="24"/>
          <w:szCs w:val="24"/>
        </w:rPr>
      </w:pPr>
      <w:r w:rsidRPr="00717247">
        <w:rPr>
          <w:sz w:val="24"/>
          <w:szCs w:val="24"/>
        </w:rPr>
        <w:t xml:space="preserve">SOUZA JR., </w:t>
      </w:r>
      <w:r w:rsidRPr="006B5655">
        <w:rPr>
          <w:i/>
          <w:iCs/>
          <w:sz w:val="24"/>
          <w:szCs w:val="24"/>
        </w:rPr>
        <w:t>et al</w:t>
      </w:r>
      <w:r w:rsidRPr="00717247">
        <w:rPr>
          <w:sz w:val="24"/>
          <w:szCs w:val="24"/>
        </w:rPr>
        <w:t xml:space="preserve">. Reconstructing three decades of land use and land cover changes in Brazilian biomes with Landsat archive and Earth Engine. </w:t>
      </w:r>
      <w:r w:rsidRPr="00717247">
        <w:rPr>
          <w:b/>
          <w:bCs/>
          <w:sz w:val="24"/>
          <w:szCs w:val="24"/>
        </w:rPr>
        <w:t>Remote Sensing</w:t>
      </w:r>
      <w:r w:rsidRPr="00717247">
        <w:rPr>
          <w:sz w:val="24"/>
          <w:szCs w:val="24"/>
        </w:rPr>
        <w:t xml:space="preserve">, v. 12, n. 17, p. 2735, 2020. Disponível em: </w:t>
      </w:r>
      <w:hyperlink r:id="rId19" w:history="1">
        <w:r w:rsidR="00165DE4" w:rsidRPr="00176C4B">
          <w:rPr>
            <w:rStyle w:val="Hyperlink"/>
            <w:sz w:val="24"/>
            <w:szCs w:val="24"/>
          </w:rPr>
          <w:t>https://www.mdpi.com/2072-4292/12/17/2735</w:t>
        </w:r>
      </w:hyperlink>
      <w:r w:rsidR="00165DE4">
        <w:rPr>
          <w:sz w:val="24"/>
          <w:szCs w:val="24"/>
        </w:rPr>
        <w:t xml:space="preserve">. </w:t>
      </w:r>
      <w:r w:rsidRPr="00717247">
        <w:rPr>
          <w:sz w:val="24"/>
          <w:szCs w:val="24"/>
        </w:rPr>
        <w:t>Acesso em: 8 jul. 2026.</w:t>
      </w:r>
    </w:p>
    <w:p w14:paraId="48FCBB93" w14:textId="77777777" w:rsidR="00BA7438" w:rsidRDefault="00BA7438" w:rsidP="00624629">
      <w:pPr>
        <w:pStyle w:val="Corpodetexto"/>
        <w:rPr>
          <w:sz w:val="24"/>
          <w:szCs w:val="24"/>
        </w:rPr>
      </w:pPr>
    </w:p>
    <w:p w14:paraId="74DEF0B3" w14:textId="27C4F811" w:rsidR="0034249E" w:rsidRPr="00D43697" w:rsidRDefault="00BA7438" w:rsidP="00D43697">
      <w:pPr>
        <w:pStyle w:val="Corpodetexto"/>
        <w:rPr>
          <w:sz w:val="24"/>
          <w:szCs w:val="24"/>
        </w:rPr>
      </w:pPr>
      <w:r w:rsidRPr="00BA7438">
        <w:rPr>
          <w:sz w:val="24"/>
          <w:szCs w:val="24"/>
        </w:rPr>
        <w:t xml:space="preserve">MAPBIOMAS. </w:t>
      </w:r>
      <w:r w:rsidRPr="00BA7438">
        <w:rPr>
          <w:b/>
          <w:bCs/>
          <w:sz w:val="24"/>
          <w:szCs w:val="24"/>
        </w:rPr>
        <w:t>Coleção 9 da série anual de mapas de cobertura e uso da terra do Brasil</w:t>
      </w:r>
      <w:r w:rsidRPr="00BA7438">
        <w:rPr>
          <w:sz w:val="24"/>
          <w:szCs w:val="24"/>
        </w:rPr>
        <w:t xml:space="preserve">. 2024. Disponível em: </w:t>
      </w:r>
      <w:hyperlink r:id="rId20" w:history="1">
        <w:r w:rsidRPr="00176C4B">
          <w:rPr>
            <w:rStyle w:val="Hyperlink"/>
            <w:sz w:val="24"/>
            <w:szCs w:val="24"/>
          </w:rPr>
          <w:t>https://brasil.mapbiomas.org/map/colecao-9/</w:t>
        </w:r>
      </w:hyperlink>
      <w:r>
        <w:rPr>
          <w:sz w:val="24"/>
          <w:szCs w:val="24"/>
        </w:rPr>
        <w:t xml:space="preserve">. </w:t>
      </w:r>
      <w:r w:rsidRPr="00BA7438">
        <w:rPr>
          <w:sz w:val="24"/>
          <w:szCs w:val="24"/>
        </w:rPr>
        <w:t>Acesso em: 8 jul. 2026.</w:t>
      </w:r>
    </w:p>
    <w:sectPr w:rsidR="0034249E" w:rsidRPr="00D43697" w:rsidSect="003E53B2">
      <w:headerReference w:type="default" r:id="rId21"/>
      <w:footerReference w:type="default" r:id="rId22"/>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AB556" w14:textId="77777777" w:rsidR="003E53B2" w:rsidRDefault="003E53B2">
      <w:r>
        <w:separator/>
      </w:r>
    </w:p>
  </w:endnote>
  <w:endnote w:type="continuationSeparator" w:id="0">
    <w:p w14:paraId="39CE432E" w14:textId="77777777" w:rsidR="003E53B2" w:rsidRDefault="003E5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1D68E" w14:textId="77777777" w:rsidR="003E53B2" w:rsidRDefault="003E53B2">
      <w:r>
        <w:separator/>
      </w:r>
    </w:p>
  </w:footnote>
  <w:footnote w:type="continuationSeparator" w:id="0">
    <w:p w14:paraId="02A105F3" w14:textId="77777777" w:rsidR="003E53B2" w:rsidRDefault="003E5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5BCC"/>
    <w:rsid w:val="0002311F"/>
    <w:rsid w:val="00025E6A"/>
    <w:rsid w:val="00040CE1"/>
    <w:rsid w:val="000449F4"/>
    <w:rsid w:val="00047F3E"/>
    <w:rsid w:val="000669AF"/>
    <w:rsid w:val="000675E8"/>
    <w:rsid w:val="000815CB"/>
    <w:rsid w:val="00086036"/>
    <w:rsid w:val="000B1A9B"/>
    <w:rsid w:val="000B7111"/>
    <w:rsid w:val="001115D1"/>
    <w:rsid w:val="0013116E"/>
    <w:rsid w:val="00141612"/>
    <w:rsid w:val="00157AC0"/>
    <w:rsid w:val="00165DE4"/>
    <w:rsid w:val="001701F3"/>
    <w:rsid w:val="001805FD"/>
    <w:rsid w:val="00193AAB"/>
    <w:rsid w:val="00197ED4"/>
    <w:rsid w:val="001A5BE2"/>
    <w:rsid w:val="001A5EE7"/>
    <w:rsid w:val="001A6EB6"/>
    <w:rsid w:val="001B4C94"/>
    <w:rsid w:val="001C5BCC"/>
    <w:rsid w:val="001F14A6"/>
    <w:rsid w:val="001F4B9F"/>
    <w:rsid w:val="002031EC"/>
    <w:rsid w:val="00223C1D"/>
    <w:rsid w:val="00243512"/>
    <w:rsid w:val="00245B9E"/>
    <w:rsid w:val="00277985"/>
    <w:rsid w:val="002925EB"/>
    <w:rsid w:val="002B0686"/>
    <w:rsid w:val="002E6113"/>
    <w:rsid w:val="0034249E"/>
    <w:rsid w:val="0036697E"/>
    <w:rsid w:val="00373815"/>
    <w:rsid w:val="0039542D"/>
    <w:rsid w:val="00395870"/>
    <w:rsid w:val="003A6218"/>
    <w:rsid w:val="003D1F58"/>
    <w:rsid w:val="003D447D"/>
    <w:rsid w:val="003E53B2"/>
    <w:rsid w:val="00444592"/>
    <w:rsid w:val="00453679"/>
    <w:rsid w:val="004B453B"/>
    <w:rsid w:val="004B4D7E"/>
    <w:rsid w:val="004B5F3F"/>
    <w:rsid w:val="004E3F07"/>
    <w:rsid w:val="004F443F"/>
    <w:rsid w:val="00521FD1"/>
    <w:rsid w:val="005259CE"/>
    <w:rsid w:val="00537EC8"/>
    <w:rsid w:val="005556D4"/>
    <w:rsid w:val="00557FA3"/>
    <w:rsid w:val="00573500"/>
    <w:rsid w:val="0057463A"/>
    <w:rsid w:val="00583F8A"/>
    <w:rsid w:val="0058575B"/>
    <w:rsid w:val="005A5B3A"/>
    <w:rsid w:val="005C72E4"/>
    <w:rsid w:val="005F604A"/>
    <w:rsid w:val="005F65E4"/>
    <w:rsid w:val="005F70B0"/>
    <w:rsid w:val="00605CC4"/>
    <w:rsid w:val="00622E1E"/>
    <w:rsid w:val="00624629"/>
    <w:rsid w:val="0065292A"/>
    <w:rsid w:val="00655FC5"/>
    <w:rsid w:val="00694319"/>
    <w:rsid w:val="006A6401"/>
    <w:rsid w:val="006B5655"/>
    <w:rsid w:val="006B635F"/>
    <w:rsid w:val="00717247"/>
    <w:rsid w:val="00726EBA"/>
    <w:rsid w:val="007561D8"/>
    <w:rsid w:val="00791ECE"/>
    <w:rsid w:val="007945F2"/>
    <w:rsid w:val="007E516E"/>
    <w:rsid w:val="0081558D"/>
    <w:rsid w:val="00840E54"/>
    <w:rsid w:val="00882931"/>
    <w:rsid w:val="008858BD"/>
    <w:rsid w:val="0088646A"/>
    <w:rsid w:val="008911A5"/>
    <w:rsid w:val="008913F4"/>
    <w:rsid w:val="008A66F9"/>
    <w:rsid w:val="008E5524"/>
    <w:rsid w:val="009123AE"/>
    <w:rsid w:val="00914D0A"/>
    <w:rsid w:val="009152D8"/>
    <w:rsid w:val="00954FBD"/>
    <w:rsid w:val="00975813"/>
    <w:rsid w:val="009813AB"/>
    <w:rsid w:val="0098763A"/>
    <w:rsid w:val="00996E47"/>
    <w:rsid w:val="009B450E"/>
    <w:rsid w:val="009B5330"/>
    <w:rsid w:val="009C3A4C"/>
    <w:rsid w:val="009C4B75"/>
    <w:rsid w:val="009D5888"/>
    <w:rsid w:val="00A01E75"/>
    <w:rsid w:val="00A1065E"/>
    <w:rsid w:val="00A30ADD"/>
    <w:rsid w:val="00A33E6F"/>
    <w:rsid w:val="00A812D6"/>
    <w:rsid w:val="00A870C4"/>
    <w:rsid w:val="00A95C9D"/>
    <w:rsid w:val="00AC6FDD"/>
    <w:rsid w:val="00AD22F1"/>
    <w:rsid w:val="00AD5002"/>
    <w:rsid w:val="00AD71D6"/>
    <w:rsid w:val="00AF5124"/>
    <w:rsid w:val="00B00BF8"/>
    <w:rsid w:val="00B041D5"/>
    <w:rsid w:val="00B625A3"/>
    <w:rsid w:val="00B73BA8"/>
    <w:rsid w:val="00BA607F"/>
    <w:rsid w:val="00BA7438"/>
    <w:rsid w:val="00BE096E"/>
    <w:rsid w:val="00C05796"/>
    <w:rsid w:val="00C17C56"/>
    <w:rsid w:val="00C27928"/>
    <w:rsid w:val="00C36339"/>
    <w:rsid w:val="00C44CDC"/>
    <w:rsid w:val="00C538C1"/>
    <w:rsid w:val="00C60F3C"/>
    <w:rsid w:val="00C63E4A"/>
    <w:rsid w:val="00C65BE3"/>
    <w:rsid w:val="00C665E9"/>
    <w:rsid w:val="00C901D4"/>
    <w:rsid w:val="00C910EB"/>
    <w:rsid w:val="00C94084"/>
    <w:rsid w:val="00C94D2A"/>
    <w:rsid w:val="00CB04BC"/>
    <w:rsid w:val="00CB5D4E"/>
    <w:rsid w:val="00CB7608"/>
    <w:rsid w:val="00CC3571"/>
    <w:rsid w:val="00CC6C02"/>
    <w:rsid w:val="00D13100"/>
    <w:rsid w:val="00D43697"/>
    <w:rsid w:val="00D77B41"/>
    <w:rsid w:val="00DC6BD8"/>
    <w:rsid w:val="00E03F56"/>
    <w:rsid w:val="00E0638B"/>
    <w:rsid w:val="00E10D8E"/>
    <w:rsid w:val="00E1139B"/>
    <w:rsid w:val="00E3782C"/>
    <w:rsid w:val="00E4023C"/>
    <w:rsid w:val="00E5154A"/>
    <w:rsid w:val="00E71A76"/>
    <w:rsid w:val="00EA25BE"/>
    <w:rsid w:val="00EE14DD"/>
    <w:rsid w:val="00F135CC"/>
    <w:rsid w:val="00F23C99"/>
    <w:rsid w:val="00F43318"/>
    <w:rsid w:val="00F43AA5"/>
    <w:rsid w:val="00F44568"/>
    <w:rsid w:val="00F67F16"/>
    <w:rsid w:val="00F8141D"/>
    <w:rsid w:val="00F83B7A"/>
    <w:rsid w:val="00F90FD1"/>
    <w:rsid w:val="00FA11C4"/>
    <w:rsid w:val="00FA6470"/>
    <w:rsid w:val="00FB4FE6"/>
    <w:rsid w:val="00FD3CE7"/>
    <w:rsid w:val="00FF0E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583F8A"/>
    <w:rPr>
      <w:color w:val="0000FF" w:themeColor="hyperlink"/>
      <w:u w:val="single"/>
    </w:rPr>
  </w:style>
  <w:style w:type="character" w:styleId="MenoPendente">
    <w:name w:val="Unresolved Mention"/>
    <w:basedOn w:val="Fontepargpadro"/>
    <w:uiPriority w:val="99"/>
    <w:semiHidden/>
    <w:unhideWhenUsed/>
    <w:rsid w:val="00165DE4"/>
    <w:rPr>
      <w:color w:val="605E5C"/>
      <w:shd w:val="clear" w:color="auto" w:fill="E1DFDD"/>
    </w:rPr>
  </w:style>
  <w:style w:type="character" w:styleId="HiperlinkVisitado">
    <w:name w:val="FollowedHyperlink"/>
    <w:basedOn w:val="Fontepargpadro"/>
    <w:uiPriority w:val="99"/>
    <w:semiHidden/>
    <w:unhideWhenUsed/>
    <w:rsid w:val="009123AE"/>
    <w:rPr>
      <w:color w:val="800080" w:themeColor="followedHyperlink"/>
      <w:u w:val="single"/>
    </w:rPr>
  </w:style>
  <w:style w:type="paragraph" w:styleId="NormalWeb">
    <w:name w:val="Normal (Web)"/>
    <w:basedOn w:val="Normal"/>
    <w:uiPriority w:val="99"/>
    <w:semiHidden/>
    <w:unhideWhenUsed/>
    <w:rsid w:val="002925EB"/>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308100860">
      <w:bodyDiv w:val="1"/>
      <w:marLeft w:val="0"/>
      <w:marRight w:val="0"/>
      <w:marTop w:val="0"/>
      <w:marBottom w:val="0"/>
      <w:divBdr>
        <w:top w:val="none" w:sz="0" w:space="0" w:color="auto"/>
        <w:left w:val="none" w:sz="0" w:space="0" w:color="auto"/>
        <w:bottom w:val="none" w:sz="0" w:space="0" w:color="auto"/>
        <w:right w:val="none" w:sz="0" w:space="0" w:color="auto"/>
      </w:divBdr>
    </w:div>
    <w:div w:id="1658799981">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934320882">
      <w:bodyDiv w:val="1"/>
      <w:marLeft w:val="0"/>
      <w:marRight w:val="0"/>
      <w:marTop w:val="0"/>
      <w:marBottom w:val="0"/>
      <w:divBdr>
        <w:top w:val="none" w:sz="0" w:space="0" w:color="auto"/>
        <w:left w:val="none" w:sz="0" w:space="0" w:color="auto"/>
        <w:bottom w:val="none" w:sz="0" w:space="0" w:color="auto"/>
        <w:right w:val="none" w:sz="0" w:space="0" w:color="auto"/>
      </w:divBdr>
    </w:div>
    <w:div w:id="2059083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aniela.fuzzo@uemg.br" TargetMode="External"/><Relationship Id="rId13" Type="http://schemas.openxmlformats.org/officeDocument/2006/relationships/image" Target="media/image4.png"/><Relationship Id="rId18" Type="http://schemas.openxmlformats.org/officeDocument/2006/relationships/hyperlink" Target="https://www.ibge.gov.br/geociencias/organizacao-do-territorio/malhas-territoriais/15774-malhas.htm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andre.serotini@uemg.br" TargetMode="External"/><Relationship Id="rId12" Type="http://schemas.openxmlformats.org/officeDocument/2006/relationships/image" Target="media/image3.png"/><Relationship Id="rId17" Type="http://schemas.openxmlformats.org/officeDocument/2006/relationships/hyperlink" Target="https://www.scielo.br/j/ea/a/zfmhCpngtsfn8thv6sd6Q7D/" TargetMode="External"/><Relationship Id="rId2" Type="http://schemas.openxmlformats.org/officeDocument/2006/relationships/styles" Target="styles.xml"/><Relationship Id="rId16" Type="http://schemas.openxmlformats.org/officeDocument/2006/relationships/hyperlink" Target="https://jornaldebarretos.com.br/noticias/barretos-e-o-segundo-maior-produtor-de-cana-de-acucar-e-de-borracha-do-estado/" TargetMode="External"/><Relationship Id="rId20" Type="http://schemas.openxmlformats.org/officeDocument/2006/relationships/hyperlink" Target="https://brasil.mapbiomas.org/map/colecao-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ciencedirect.com/science/article/pii/S0143622815000910"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mdpi.com/2072-4292/12/17/2735" TargetMode="External"/><Relationship Id="rId4" Type="http://schemas.openxmlformats.org/officeDocument/2006/relationships/webSettings" Target="webSettings.xml"/><Relationship Id="rId9" Type="http://schemas.openxmlformats.org/officeDocument/2006/relationships/hyperlink" Target="mailto:joao.fischer@uemg.br" TargetMode="External"/><Relationship Id="rId14" Type="http://schemas.openxmlformats.org/officeDocument/2006/relationships/hyperlink" Target="https://www.mdpi.com/2071-1050/4/4/57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443</TotalTime>
  <Pages>6</Pages>
  <Words>2045</Words>
  <Characters>11043</Characters>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2026-01-27T16:39:00Z</dcterms:created>
  <dcterms:modified xsi:type="dcterms:W3CDTF">2026-07-18T12:29:00Z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