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27CF9" w14:textId="77777777" w:rsidR="00E5097D" w:rsidRDefault="00E5097D">
      <w:pPr>
        <w:widowControl w:val="0"/>
        <w:pBdr>
          <w:top w:val="nil"/>
          <w:left w:val="nil"/>
          <w:bottom w:val="nil"/>
          <w:right w:val="nil"/>
          <w:between w:val="nil"/>
        </w:pBdr>
        <w:spacing w:line="276" w:lineRule="auto"/>
        <w:jc w:val="left"/>
      </w:pPr>
    </w:p>
    <w:p w14:paraId="60F7E6F0" w14:textId="77777777" w:rsidR="00E5097D" w:rsidRDefault="00E5097D">
      <w:pPr>
        <w:jc w:val="center"/>
        <w:rPr>
          <w:b/>
          <w:color w:val="FF0000"/>
          <w:sz w:val="28"/>
          <w:szCs w:val="28"/>
        </w:rPr>
      </w:pPr>
    </w:p>
    <w:p w14:paraId="234CFC25" w14:textId="60722BC2" w:rsidR="007B7548" w:rsidRPr="006F7DF4" w:rsidRDefault="007B7548" w:rsidP="007B7548">
      <w:pPr>
        <w:jc w:val="center"/>
        <w:rPr>
          <w:b/>
          <w:bCs/>
          <w:sz w:val="28"/>
          <w:szCs w:val="28"/>
          <w:lang w:val="en-US"/>
        </w:rPr>
      </w:pPr>
      <w:r w:rsidRPr="006F7DF4">
        <w:rPr>
          <w:b/>
          <w:bCs/>
          <w:i/>
          <w:iCs/>
          <w:sz w:val="28"/>
          <w:szCs w:val="28"/>
          <w:lang w:val="en-US"/>
        </w:rPr>
        <w:t>In vitro</w:t>
      </w:r>
      <w:r w:rsidRPr="006F7DF4">
        <w:rPr>
          <w:b/>
          <w:bCs/>
          <w:sz w:val="28"/>
          <w:szCs w:val="28"/>
          <w:lang w:val="en-US"/>
        </w:rPr>
        <w:t xml:space="preserve"> compatibility of the BiomaPhos inoculant with pesticides in spray mixtures</w:t>
      </w:r>
      <w:r w:rsidR="006F7DF4" w:rsidRPr="006F7DF4">
        <w:rPr>
          <w:b/>
          <w:bCs/>
          <w:sz w:val="28"/>
          <w:szCs w:val="28"/>
          <w:lang w:val="en-US"/>
        </w:rPr>
        <w:t xml:space="preserve"> for soybean and maize</w:t>
      </w:r>
    </w:p>
    <w:p w14:paraId="64AE9421" w14:textId="77777777" w:rsidR="007B7548" w:rsidRPr="007B7548" w:rsidRDefault="007B7548" w:rsidP="007B7548">
      <w:pPr>
        <w:jc w:val="center"/>
        <w:rPr>
          <w:b/>
          <w:bCs/>
          <w:lang w:val="en-US"/>
        </w:rPr>
      </w:pPr>
    </w:p>
    <w:p w14:paraId="4570BC59" w14:textId="6CCE8577" w:rsidR="007B7548" w:rsidRPr="007B7548" w:rsidRDefault="007B7548" w:rsidP="007B7548">
      <w:pPr>
        <w:ind w:left="360"/>
        <w:jc w:val="center"/>
        <w:rPr>
          <w:b/>
          <w:sz w:val="22"/>
          <w:szCs w:val="22"/>
        </w:rPr>
      </w:pPr>
      <w:r w:rsidRPr="007B7548">
        <w:rPr>
          <w:b/>
          <w:sz w:val="22"/>
          <w:szCs w:val="22"/>
          <w:u w:val="single"/>
        </w:rPr>
        <w:t>M.</w:t>
      </w:r>
      <w:r>
        <w:rPr>
          <w:b/>
          <w:sz w:val="22"/>
          <w:szCs w:val="22"/>
          <w:u w:val="single"/>
        </w:rPr>
        <w:t>H.A.</w:t>
      </w:r>
      <w:r w:rsidRPr="007B7548">
        <w:rPr>
          <w:b/>
          <w:sz w:val="22"/>
          <w:szCs w:val="22"/>
          <w:u w:val="single"/>
        </w:rPr>
        <w:t xml:space="preserve"> Louzada</w:t>
      </w:r>
      <w:r w:rsidR="00212868">
        <w:rPr>
          <w:b/>
          <w:sz w:val="22"/>
          <w:szCs w:val="22"/>
          <w:u w:val="single"/>
        </w:rPr>
        <w:t>*</w:t>
      </w:r>
      <w:r w:rsidRPr="007B7548">
        <w:rPr>
          <w:b/>
          <w:sz w:val="22"/>
          <w:szCs w:val="22"/>
          <w:vertAlign w:val="superscript"/>
        </w:rPr>
        <w:t>1,2</w:t>
      </w:r>
      <w:r w:rsidRPr="007B7548">
        <w:rPr>
          <w:b/>
          <w:sz w:val="22"/>
          <w:szCs w:val="22"/>
        </w:rPr>
        <w:t xml:space="preserve">, </w:t>
      </w:r>
      <w:r w:rsidR="00DD4E59">
        <w:rPr>
          <w:b/>
          <w:sz w:val="22"/>
          <w:szCs w:val="22"/>
        </w:rPr>
        <w:t>V.P. Ribeiro</w:t>
      </w:r>
      <w:r w:rsidR="00E11111" w:rsidRPr="007B7548">
        <w:rPr>
          <w:b/>
          <w:sz w:val="22"/>
          <w:szCs w:val="22"/>
          <w:vertAlign w:val="superscript"/>
        </w:rPr>
        <w:t>2</w:t>
      </w:r>
      <w:r w:rsidR="00E11111">
        <w:rPr>
          <w:b/>
          <w:sz w:val="22"/>
          <w:szCs w:val="22"/>
        </w:rPr>
        <w:t xml:space="preserve">, </w:t>
      </w:r>
      <w:r w:rsidRPr="007B7548">
        <w:rPr>
          <w:b/>
          <w:sz w:val="22"/>
          <w:szCs w:val="22"/>
        </w:rPr>
        <w:t>D. Bini</w:t>
      </w:r>
      <w:r w:rsidRPr="007B7548">
        <w:rPr>
          <w:b/>
          <w:sz w:val="22"/>
          <w:szCs w:val="22"/>
          <w:vertAlign w:val="superscript"/>
        </w:rPr>
        <w:t>2</w:t>
      </w:r>
      <w:r w:rsidRPr="007B7548">
        <w:rPr>
          <w:b/>
          <w:sz w:val="22"/>
          <w:szCs w:val="22"/>
        </w:rPr>
        <w:t>,</w:t>
      </w:r>
      <w:r>
        <w:rPr>
          <w:b/>
          <w:sz w:val="22"/>
          <w:szCs w:val="22"/>
        </w:rPr>
        <w:t xml:space="preserve"> J.E.F.</w:t>
      </w:r>
      <w:r w:rsidRPr="007B7548">
        <w:rPr>
          <w:b/>
          <w:sz w:val="22"/>
          <w:szCs w:val="22"/>
        </w:rPr>
        <w:t xml:space="preserve"> </w:t>
      </w:r>
      <w:r>
        <w:rPr>
          <w:b/>
          <w:sz w:val="22"/>
          <w:szCs w:val="22"/>
        </w:rPr>
        <w:t>Figueiredo</w:t>
      </w:r>
      <w:r w:rsidR="006F7DF4" w:rsidRPr="007B7548">
        <w:rPr>
          <w:b/>
          <w:sz w:val="22"/>
          <w:szCs w:val="22"/>
          <w:vertAlign w:val="superscript"/>
        </w:rPr>
        <w:t>2</w:t>
      </w:r>
      <w:r>
        <w:rPr>
          <w:b/>
          <w:sz w:val="22"/>
          <w:szCs w:val="22"/>
        </w:rPr>
        <w:t xml:space="preserve">, </w:t>
      </w:r>
      <w:r w:rsidR="00E40FBC">
        <w:rPr>
          <w:b/>
          <w:sz w:val="22"/>
          <w:szCs w:val="22"/>
        </w:rPr>
        <w:t xml:space="preserve">I. E. </w:t>
      </w:r>
      <w:r w:rsidR="00534853">
        <w:rPr>
          <w:b/>
          <w:sz w:val="22"/>
          <w:szCs w:val="22"/>
        </w:rPr>
        <w:t>Marriel</w:t>
      </w:r>
      <w:r w:rsidRPr="007B7548">
        <w:rPr>
          <w:b/>
          <w:sz w:val="22"/>
          <w:szCs w:val="22"/>
          <w:vertAlign w:val="superscript"/>
        </w:rPr>
        <w:t>2</w:t>
      </w:r>
      <w:r w:rsidR="00E11111">
        <w:rPr>
          <w:b/>
          <w:sz w:val="22"/>
          <w:szCs w:val="22"/>
        </w:rPr>
        <w:t>, C.A.O. Paiva</w:t>
      </w:r>
      <w:r w:rsidR="00E11111" w:rsidRPr="007B7548">
        <w:rPr>
          <w:b/>
          <w:sz w:val="22"/>
          <w:szCs w:val="22"/>
          <w:vertAlign w:val="superscript"/>
        </w:rPr>
        <w:t>2</w:t>
      </w:r>
      <w:r w:rsidRPr="007B7548">
        <w:rPr>
          <w:b/>
          <w:sz w:val="22"/>
          <w:szCs w:val="22"/>
        </w:rPr>
        <w:t>.</w:t>
      </w:r>
    </w:p>
    <w:p w14:paraId="10F68C95" w14:textId="77777777" w:rsidR="007B7548" w:rsidRPr="007B7548" w:rsidRDefault="007B7548" w:rsidP="007B7548">
      <w:pPr>
        <w:jc w:val="center"/>
        <w:rPr>
          <w:i/>
          <w:sz w:val="18"/>
          <w:szCs w:val="18"/>
        </w:rPr>
      </w:pPr>
      <w:r w:rsidRPr="007B7548">
        <w:rPr>
          <w:i/>
          <w:sz w:val="18"/>
          <w:szCs w:val="18"/>
          <w:vertAlign w:val="superscript"/>
        </w:rPr>
        <w:t>1</w:t>
      </w:r>
      <w:r w:rsidRPr="007B7548">
        <w:rPr>
          <w:i/>
          <w:sz w:val="18"/>
          <w:szCs w:val="18"/>
        </w:rPr>
        <w:t xml:space="preserve">Universidade </w:t>
      </w:r>
      <w:proofErr w:type="spellStart"/>
      <w:r w:rsidRPr="007B7548">
        <w:rPr>
          <w:i/>
          <w:sz w:val="18"/>
          <w:szCs w:val="18"/>
        </w:rPr>
        <w:t>Federal</w:t>
      </w:r>
      <w:proofErr w:type="spellEnd"/>
      <w:r w:rsidRPr="007B7548">
        <w:rPr>
          <w:i/>
          <w:sz w:val="18"/>
          <w:szCs w:val="18"/>
        </w:rPr>
        <w:t xml:space="preserve"> de São Joao Del Rei, campus </w:t>
      </w:r>
      <w:proofErr w:type="spellStart"/>
      <w:r w:rsidRPr="007B7548">
        <w:rPr>
          <w:i/>
          <w:sz w:val="18"/>
          <w:szCs w:val="18"/>
        </w:rPr>
        <w:t>Sete</w:t>
      </w:r>
      <w:proofErr w:type="spellEnd"/>
      <w:r w:rsidRPr="007B7548">
        <w:rPr>
          <w:i/>
          <w:sz w:val="18"/>
          <w:szCs w:val="18"/>
        </w:rPr>
        <w:t xml:space="preserve"> </w:t>
      </w:r>
      <w:proofErr w:type="spellStart"/>
      <w:r w:rsidRPr="007B7548">
        <w:rPr>
          <w:i/>
          <w:sz w:val="18"/>
          <w:szCs w:val="18"/>
        </w:rPr>
        <w:t>Lagoas</w:t>
      </w:r>
      <w:proofErr w:type="spellEnd"/>
      <w:r w:rsidRPr="007B7548">
        <w:rPr>
          <w:i/>
          <w:sz w:val="18"/>
          <w:szCs w:val="18"/>
        </w:rPr>
        <w:t xml:space="preserve">, Rod. MG-424, Km. 47, </w:t>
      </w:r>
      <w:proofErr w:type="spellStart"/>
      <w:r w:rsidRPr="007B7548">
        <w:rPr>
          <w:i/>
          <w:sz w:val="18"/>
          <w:szCs w:val="18"/>
        </w:rPr>
        <w:t>Sete</w:t>
      </w:r>
      <w:proofErr w:type="spellEnd"/>
      <w:r w:rsidRPr="007B7548">
        <w:rPr>
          <w:i/>
          <w:sz w:val="18"/>
          <w:szCs w:val="18"/>
        </w:rPr>
        <w:t xml:space="preserve"> </w:t>
      </w:r>
      <w:proofErr w:type="spellStart"/>
      <w:r w:rsidRPr="007B7548">
        <w:rPr>
          <w:i/>
          <w:sz w:val="18"/>
          <w:szCs w:val="18"/>
        </w:rPr>
        <w:t>Lagoas</w:t>
      </w:r>
      <w:proofErr w:type="spellEnd"/>
      <w:r w:rsidRPr="007B7548">
        <w:rPr>
          <w:i/>
          <w:sz w:val="18"/>
          <w:szCs w:val="18"/>
        </w:rPr>
        <w:t xml:space="preserve">, MG, </w:t>
      </w:r>
      <w:proofErr w:type="gramStart"/>
      <w:r w:rsidRPr="007B7548">
        <w:rPr>
          <w:i/>
          <w:sz w:val="18"/>
          <w:szCs w:val="18"/>
        </w:rPr>
        <w:t>CEP:</w:t>
      </w:r>
      <w:proofErr w:type="gramEnd"/>
      <w:r w:rsidRPr="007B7548">
        <w:rPr>
          <w:i/>
          <w:sz w:val="18"/>
          <w:szCs w:val="18"/>
        </w:rPr>
        <w:t xml:space="preserve"> 35701-970</w:t>
      </w:r>
    </w:p>
    <w:p w14:paraId="5D7BF955" w14:textId="77777777" w:rsidR="007B7548" w:rsidRPr="007B7548" w:rsidRDefault="007B7548" w:rsidP="007B7548">
      <w:pPr>
        <w:jc w:val="center"/>
        <w:rPr>
          <w:i/>
          <w:sz w:val="18"/>
          <w:szCs w:val="18"/>
        </w:rPr>
      </w:pPr>
      <w:r w:rsidRPr="007B7548">
        <w:rPr>
          <w:i/>
          <w:sz w:val="18"/>
          <w:szCs w:val="18"/>
          <w:vertAlign w:val="superscript"/>
        </w:rPr>
        <w:t>2</w:t>
      </w:r>
      <w:r w:rsidRPr="007B7548">
        <w:rPr>
          <w:i/>
          <w:sz w:val="18"/>
          <w:szCs w:val="18"/>
        </w:rPr>
        <w:t xml:space="preserve">Embrapa </w:t>
      </w:r>
      <w:proofErr w:type="spellStart"/>
      <w:r w:rsidRPr="007B7548">
        <w:rPr>
          <w:i/>
          <w:sz w:val="18"/>
          <w:szCs w:val="18"/>
        </w:rPr>
        <w:t>Milho</w:t>
      </w:r>
      <w:proofErr w:type="spellEnd"/>
      <w:r w:rsidRPr="007B7548">
        <w:rPr>
          <w:i/>
          <w:sz w:val="18"/>
          <w:szCs w:val="18"/>
        </w:rPr>
        <w:t xml:space="preserve"> e Sorgo, Rod. MG-424, km. 45, </w:t>
      </w:r>
      <w:proofErr w:type="spellStart"/>
      <w:r w:rsidRPr="007B7548">
        <w:rPr>
          <w:i/>
          <w:sz w:val="18"/>
          <w:szCs w:val="18"/>
        </w:rPr>
        <w:t>Bairro</w:t>
      </w:r>
      <w:proofErr w:type="spellEnd"/>
      <w:r w:rsidRPr="007B7548">
        <w:rPr>
          <w:i/>
          <w:sz w:val="18"/>
          <w:szCs w:val="18"/>
        </w:rPr>
        <w:t xml:space="preserve"> Esmeralda II, </w:t>
      </w:r>
      <w:proofErr w:type="spellStart"/>
      <w:r w:rsidRPr="007B7548">
        <w:rPr>
          <w:i/>
          <w:sz w:val="18"/>
          <w:szCs w:val="18"/>
        </w:rPr>
        <w:t>Sete</w:t>
      </w:r>
      <w:proofErr w:type="spellEnd"/>
      <w:r w:rsidRPr="007B7548">
        <w:rPr>
          <w:i/>
          <w:sz w:val="18"/>
          <w:szCs w:val="18"/>
        </w:rPr>
        <w:t xml:space="preserve"> </w:t>
      </w:r>
      <w:proofErr w:type="spellStart"/>
      <w:r w:rsidRPr="007B7548">
        <w:rPr>
          <w:i/>
          <w:sz w:val="18"/>
          <w:szCs w:val="18"/>
        </w:rPr>
        <w:t>Lagoas</w:t>
      </w:r>
      <w:proofErr w:type="spellEnd"/>
      <w:r w:rsidRPr="007B7548">
        <w:rPr>
          <w:i/>
          <w:sz w:val="18"/>
          <w:szCs w:val="18"/>
        </w:rPr>
        <w:t>, MG, 35702-098.</w:t>
      </w:r>
    </w:p>
    <w:p w14:paraId="7E130C43" w14:textId="493645EE" w:rsidR="00E5097D" w:rsidRPr="007B7548" w:rsidRDefault="007B7548" w:rsidP="007B7548">
      <w:pPr>
        <w:jc w:val="center"/>
        <w:rPr>
          <w:i/>
          <w:sz w:val="18"/>
          <w:szCs w:val="18"/>
        </w:rPr>
      </w:pPr>
      <w:r w:rsidRPr="007B7548">
        <w:rPr>
          <w:i/>
          <w:sz w:val="18"/>
          <w:szCs w:val="18"/>
        </w:rPr>
        <w:t>*</w:t>
      </w:r>
      <w:r w:rsidRPr="007B7548">
        <w:rPr>
          <w:color w:val="222222"/>
          <w:sz w:val="18"/>
          <w:szCs w:val="18"/>
          <w:shd w:val="clear" w:color="auto" w:fill="FFFFFF"/>
        </w:rPr>
        <w:t xml:space="preserve"> </w:t>
      </w:r>
      <w:r w:rsidR="00212868">
        <w:rPr>
          <w:i/>
          <w:sz w:val="18"/>
          <w:szCs w:val="18"/>
        </w:rPr>
        <w:t>matheuslouzada08@gmail.com</w:t>
      </w:r>
    </w:p>
    <w:p w14:paraId="7285B964" w14:textId="77777777" w:rsidR="007B7548" w:rsidRPr="007B7548" w:rsidRDefault="007B7548" w:rsidP="007B7548">
      <w:pPr>
        <w:jc w:val="center"/>
        <w:rPr>
          <w:b/>
          <w:color w:val="C00000"/>
          <w:sz w:val="28"/>
          <w:szCs w:val="28"/>
        </w:rPr>
      </w:pPr>
    </w:p>
    <w:p w14:paraId="2129C993" w14:textId="77777777" w:rsidR="007B7548" w:rsidRPr="007B7548" w:rsidRDefault="007B7548" w:rsidP="007B7548">
      <w:pPr>
        <w:rPr>
          <w:lang w:val="en-US"/>
        </w:rPr>
      </w:pPr>
      <w:r w:rsidRPr="007B7548">
        <w:rPr>
          <w:lang w:val="en-US"/>
        </w:rPr>
        <w:t xml:space="preserve">The increasing use of biological inoculants in agriculture, combined with the application of crop pesticides, raises concerns about potential interference between these inputs and microbial survival and efficiency when applied in the same spray mixture. This study aimed to evaluate the </w:t>
      </w:r>
      <w:r w:rsidRPr="007B7548">
        <w:rPr>
          <w:i/>
          <w:iCs/>
          <w:lang w:val="en-US"/>
        </w:rPr>
        <w:t>in vitro</w:t>
      </w:r>
      <w:r w:rsidRPr="007B7548">
        <w:rPr>
          <w:lang w:val="en-US"/>
        </w:rPr>
        <w:t xml:space="preserve"> compatibility of the commercial inoculant BiomaPhos (</w:t>
      </w:r>
      <w:r w:rsidRPr="007B7548">
        <w:rPr>
          <w:i/>
          <w:iCs/>
          <w:lang w:val="en-US"/>
        </w:rPr>
        <w:t>Bacillus megaterium</w:t>
      </w:r>
      <w:r w:rsidRPr="007B7548">
        <w:rPr>
          <w:lang w:val="en-US"/>
        </w:rPr>
        <w:t xml:space="preserve"> B119 and </w:t>
      </w:r>
      <w:r w:rsidRPr="007B7548">
        <w:rPr>
          <w:i/>
          <w:iCs/>
          <w:lang w:val="en-US"/>
        </w:rPr>
        <w:t>B. subtilis</w:t>
      </w:r>
      <w:r w:rsidRPr="007B7548">
        <w:rPr>
          <w:lang w:val="en-US"/>
        </w:rPr>
        <w:t xml:space="preserve"> B2084) when combined with different pesticides used in soybean and maize fields. Three pesticides commonly applied in soybean and maize crops were tested: an insecticide based on </w:t>
      </w:r>
      <w:proofErr w:type="spellStart"/>
      <w:r w:rsidRPr="007B7548">
        <w:rPr>
          <w:lang w:val="en-US"/>
        </w:rPr>
        <w:t>isocycloseram</w:t>
      </w:r>
      <w:proofErr w:type="spellEnd"/>
      <w:r w:rsidRPr="007B7548">
        <w:rPr>
          <w:lang w:val="en-US"/>
        </w:rPr>
        <w:t xml:space="preserve"> and lambda-cyhalothrin, an herbicide based on potassium glyphosate, and a fungicide based on picoxystrobin and </w:t>
      </w:r>
      <w:proofErr w:type="spellStart"/>
      <w:r w:rsidRPr="007B7548">
        <w:rPr>
          <w:lang w:val="en-US"/>
        </w:rPr>
        <w:t>prothioconazole</w:t>
      </w:r>
      <w:proofErr w:type="spellEnd"/>
      <w:r w:rsidRPr="007B7548">
        <w:rPr>
          <w:lang w:val="en-US"/>
        </w:rPr>
        <w:t>. Treatments consisted of the following mixtures: inoculant without pesticides (T1); BiomaPhos + insecticide (T2); BiomaPhos + herbicide (T3); BiomaPhos + fungicide (T4); and BiomaPhos + all pesticides (T5). Spray solutions were prepared according to field application recommendations, with the inoculant added at a concentration of 9 × 10⁸ cells mL⁻¹. Cell viability was assessed by counting colony-forming units (CFU) on Congo red medium at 0, 4, 8, and 24 hours after preparation. Plates were incubated for 5–7 days at 28 °C. Data were log-transformed (log CFU) and subjected to analysis of variance, followed by Tukey’s test at the 5% significance level. Treatments containing pesticides did not show reductions at the initial time point (t=0); however, a significant decrease was observed between 8 and 24 hours compared to the control (T1). After 24 hours, the fungicide exhibited the greatest negative effect on cell viability (2.77%), followed by the insecticide (2.63%) and herbicide (2.35%). The treatment containing all pesticides (T5) showed intermediate values, without significant differences among treatments. These results indicate that exposure time and the combination of BiomaPhos with crop protection products affect the bacterial viability, with the strongest impact observed in the presence of fungicides.</w:t>
      </w:r>
    </w:p>
    <w:p w14:paraId="7DDD2FE2" w14:textId="77777777" w:rsidR="007B7548" w:rsidRPr="007B7548" w:rsidRDefault="007B7548" w:rsidP="007B7548">
      <w:pPr>
        <w:rPr>
          <w:lang w:val="en-US"/>
        </w:rPr>
      </w:pPr>
    </w:p>
    <w:p w14:paraId="2982E65E" w14:textId="77777777" w:rsidR="007B7548" w:rsidRPr="007B7548" w:rsidRDefault="007B7548" w:rsidP="007B7548">
      <w:pPr>
        <w:rPr>
          <w:sz w:val="22"/>
          <w:szCs w:val="22"/>
          <w:lang w:val="en-US"/>
        </w:rPr>
      </w:pPr>
      <w:proofErr w:type="gramStart"/>
      <w:r w:rsidRPr="007B7548">
        <w:rPr>
          <w:b/>
          <w:smallCaps/>
          <w:sz w:val="22"/>
          <w:szCs w:val="22"/>
        </w:rPr>
        <w:t>KEYWORDS</w:t>
      </w:r>
      <w:r w:rsidRPr="007B7548">
        <w:rPr>
          <w:sz w:val="22"/>
          <w:szCs w:val="22"/>
        </w:rPr>
        <w:t>:</w:t>
      </w:r>
      <w:proofErr w:type="gramEnd"/>
      <w:r w:rsidRPr="007B7548">
        <w:rPr>
          <w:sz w:val="22"/>
          <w:szCs w:val="22"/>
        </w:rPr>
        <w:t xml:space="preserve"> </w:t>
      </w:r>
      <w:proofErr w:type="spellStart"/>
      <w:r w:rsidRPr="007B7548">
        <w:rPr>
          <w:sz w:val="22"/>
          <w:szCs w:val="22"/>
        </w:rPr>
        <w:t>bioinputs</w:t>
      </w:r>
      <w:proofErr w:type="spellEnd"/>
      <w:r w:rsidRPr="007B7548">
        <w:rPr>
          <w:sz w:val="22"/>
          <w:szCs w:val="22"/>
        </w:rPr>
        <w:t xml:space="preserve">, compatibility, </w:t>
      </w:r>
      <w:r w:rsidRPr="007B7548">
        <w:rPr>
          <w:i/>
          <w:iCs/>
          <w:sz w:val="22"/>
          <w:szCs w:val="22"/>
        </w:rPr>
        <w:t>Bacillus</w:t>
      </w:r>
      <w:r w:rsidRPr="007B7548">
        <w:rPr>
          <w:sz w:val="22"/>
          <w:szCs w:val="22"/>
        </w:rPr>
        <w:t xml:space="preserve">, </w:t>
      </w:r>
      <w:proofErr w:type="spellStart"/>
      <w:r w:rsidRPr="007B7548">
        <w:rPr>
          <w:sz w:val="22"/>
          <w:szCs w:val="22"/>
        </w:rPr>
        <w:t>agrochemicals</w:t>
      </w:r>
      <w:proofErr w:type="spellEnd"/>
    </w:p>
    <w:p w14:paraId="5B58F858" w14:textId="26451270" w:rsidR="00E5097D" w:rsidRPr="007B7548" w:rsidRDefault="006F7DF4">
      <w:pPr>
        <w:tabs>
          <w:tab w:val="left" w:pos="8300"/>
        </w:tabs>
        <w:rPr>
          <w:sz w:val="22"/>
          <w:szCs w:val="22"/>
        </w:rPr>
        <w:sectPr w:rsidR="00E5097D" w:rsidRPr="007B7548"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7B7548">
        <w:rPr>
          <w:color w:val="C00000"/>
          <w:sz w:val="22"/>
          <w:szCs w:val="22"/>
        </w:rPr>
        <w:t xml:space="preserve"> </w:t>
      </w:r>
    </w:p>
    <w:p w14:paraId="7F3C1D89" w14:textId="77777777" w:rsidR="00E5097D" w:rsidRDefault="00E5097D">
      <w:pPr>
        <w:jc w:val="center"/>
      </w:pPr>
    </w:p>
    <w:p w14:paraId="2265A0F5" w14:textId="77777777" w:rsidR="00E5097D" w:rsidRDefault="00E5097D">
      <w:pPr>
        <w:rPr>
          <w:sz w:val="16"/>
          <w:szCs w:val="16"/>
        </w:rPr>
      </w:pPr>
    </w:p>
    <w:sectPr w:rsidR="00E5097D">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F81A8" w14:textId="77777777" w:rsidR="00251F04" w:rsidRDefault="00251F04">
      <w:r>
        <w:separator/>
      </w:r>
    </w:p>
  </w:endnote>
  <w:endnote w:type="continuationSeparator" w:id="0">
    <w:p w14:paraId="72E93B62" w14:textId="77777777" w:rsidR="00251F04" w:rsidRDefault="0025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3CD34" w14:textId="77777777" w:rsidR="00251F04" w:rsidRDefault="00251F04">
      <w:r>
        <w:separator/>
      </w:r>
    </w:p>
  </w:footnote>
  <w:footnote w:type="continuationSeparator" w:id="0">
    <w:p w14:paraId="74A02364" w14:textId="77777777" w:rsidR="00251F04" w:rsidRDefault="00251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A91" w14:textId="77777777" w:rsidR="00E5097D" w:rsidRDefault="00E11111">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837" w14:textId="77777777" w:rsidR="00E5097D" w:rsidRDefault="00E11111">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9433" w14:textId="77777777" w:rsidR="00E5097D" w:rsidRDefault="006F7DF4">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212868"/>
    <w:rsid w:val="00251F04"/>
    <w:rsid w:val="003C35F5"/>
    <w:rsid w:val="004F19A6"/>
    <w:rsid w:val="00534853"/>
    <w:rsid w:val="0054121A"/>
    <w:rsid w:val="006442F1"/>
    <w:rsid w:val="006535CB"/>
    <w:rsid w:val="006F7DF4"/>
    <w:rsid w:val="00750B66"/>
    <w:rsid w:val="007A7424"/>
    <w:rsid w:val="007B7548"/>
    <w:rsid w:val="00800C64"/>
    <w:rsid w:val="00957029"/>
    <w:rsid w:val="009E6D07"/>
    <w:rsid w:val="00C6519A"/>
    <w:rsid w:val="00CF7D93"/>
    <w:rsid w:val="00D02024"/>
    <w:rsid w:val="00D022EB"/>
    <w:rsid w:val="00DC57A0"/>
    <w:rsid w:val="00DD4E59"/>
    <w:rsid w:val="00DF4DAA"/>
    <w:rsid w:val="00E11111"/>
    <w:rsid w:val="00E40FBC"/>
    <w:rsid w:val="00E44743"/>
    <w:rsid w:val="00E5097D"/>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7B7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397</Words>
  <Characters>2150</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Matheus Louzada</cp:lastModifiedBy>
  <cp:revision>8</cp:revision>
  <dcterms:created xsi:type="dcterms:W3CDTF">2026-04-13T21:04:00Z</dcterms:created>
  <dcterms:modified xsi:type="dcterms:W3CDTF">2026-04-15T13:17:00Z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