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C35F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  <w:t>Poliflix: A prática de ensino com o estudo das Políticas Públicas.</w:t>
      </w:r>
    </w:p>
    <w:p w14:paraId="00FEDD8F">
      <w:pPr>
        <w:spacing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Eixo: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Políticas Públicas e Currículo de Cidadania</w:t>
      </w:r>
    </w:p>
    <w:p w14:paraId="0506D303">
      <w:pPr>
        <w:pStyle w:val="16"/>
        <w:spacing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  <w:t xml:space="preserve">Anderson Duarte da Silva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-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Mestre em Gestão Pública e Cooperação Internacional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 xml:space="preserve">pela </w:t>
      </w:r>
      <w:r>
        <w:rPr>
          <w:rFonts w:hint="default" w:ascii="Times New Roman" w:hAnsi="Times New Roman" w:cs="Times New Roman"/>
          <w:sz w:val="16"/>
          <w:szCs w:val="16"/>
        </w:rPr>
        <w:t xml:space="preserve"> Universidade Federal da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 xml:space="preserve">Paraíba </w:t>
      </w:r>
      <w:r>
        <w:rPr>
          <w:rFonts w:hint="default" w:ascii="Times New Roman" w:hAnsi="Times New Roman" w:cs="Times New Roman"/>
          <w:sz w:val="16"/>
          <w:szCs w:val="16"/>
        </w:rPr>
        <w:t>– U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FPB</w:t>
      </w:r>
      <w:r>
        <w:rPr>
          <w:rFonts w:hint="default" w:ascii="Times New Roman" w:hAnsi="Times New Roman" w:cs="Times New Roman"/>
          <w:sz w:val="16"/>
          <w:szCs w:val="16"/>
        </w:rPr>
        <w:t xml:space="preserve">,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João Pessoa-PB</w:t>
      </w:r>
    </w:p>
    <w:p w14:paraId="16C5AEBB">
      <w:pPr>
        <w:pStyle w:val="16"/>
        <w:spacing w:line="240" w:lineRule="auto"/>
        <w:jc w:val="both"/>
        <w:rPr>
          <w:rFonts w:hint="default" w:ascii="Times New Roman" w:hAnsi="Times New Roman" w:cs="Times New Roman"/>
          <w:b/>
          <w:bCs/>
          <w:sz w:val="16"/>
          <w:szCs w:val="16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 w:eastAsia="pt-BR"/>
        </w:rPr>
        <w:t>Gleydson kelson Correia e Castro-</w:t>
      </w:r>
      <w:r>
        <w:rPr>
          <w:rFonts w:hint="default" w:ascii="Times New Roman" w:hAnsi="Times New Roman" w:cs="Times New Roman"/>
          <w:sz w:val="16"/>
          <w:szCs w:val="16"/>
        </w:rPr>
        <w:t>Mestr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e</w:t>
      </w:r>
      <w:r>
        <w:rPr>
          <w:rFonts w:hint="default" w:ascii="Times New Roman" w:hAnsi="Times New Roman" w:cs="Times New Roman"/>
          <w:sz w:val="16"/>
          <w:szCs w:val="16"/>
        </w:rPr>
        <w:t xml:space="preserve"> em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Economia</w:t>
      </w:r>
      <w:r>
        <w:rPr>
          <w:rFonts w:hint="default" w:ascii="Times New Roman" w:hAnsi="Times New Roman" w:cs="Times New Roman"/>
          <w:sz w:val="16"/>
          <w:szCs w:val="16"/>
        </w:rPr>
        <w:t xml:space="preserve"> pela  Universidade Federal da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 xml:space="preserve">Paraíba </w:t>
      </w:r>
      <w:r>
        <w:rPr>
          <w:rFonts w:hint="default" w:ascii="Times New Roman" w:hAnsi="Times New Roman" w:cs="Times New Roman"/>
          <w:sz w:val="16"/>
          <w:szCs w:val="16"/>
        </w:rPr>
        <w:t>– U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FPB</w:t>
      </w:r>
      <w:r>
        <w:rPr>
          <w:rFonts w:hint="default" w:ascii="Times New Roman" w:hAnsi="Times New Roman" w:cs="Times New Roman"/>
          <w:sz w:val="16"/>
          <w:szCs w:val="16"/>
        </w:rPr>
        <w:t xml:space="preserve">, </w:t>
      </w:r>
      <w:r>
        <w:rPr>
          <w:rFonts w:hint="default" w:ascii="Times New Roman" w:hAnsi="Times New Roman" w:cs="Times New Roman"/>
          <w:sz w:val="16"/>
          <w:szCs w:val="16"/>
          <w:lang w:val="pt-BR"/>
        </w:rPr>
        <w:t>João Pessoa - PB</w:t>
      </w:r>
      <w:r>
        <w:rPr>
          <w:rFonts w:hint="default" w:ascii="Times New Roman" w:hAnsi="Times New Roman" w:cs="Times New Roman"/>
          <w:sz w:val="16"/>
          <w:szCs w:val="16"/>
        </w:rPr>
        <w:t>)</w:t>
      </w:r>
    </w:p>
    <w:p w14:paraId="129F791E">
      <w:pPr>
        <w:pStyle w:val="16"/>
        <w:spacing w:line="240" w:lineRule="auto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p w14:paraId="5D8B5D3F">
      <w:pPr>
        <w:pStyle w:val="16"/>
        <w:spacing w:line="240" w:lineRule="auto"/>
        <w:rPr>
          <w:rFonts w:hint="default" w:ascii="Times New Roman" w:hAnsi="Times New Roman" w:cs="Times New Roman"/>
          <w:i/>
          <w:iCs/>
          <w:sz w:val="20"/>
          <w:szCs w:val="20"/>
          <w:highlight w:val="yellow"/>
        </w:rPr>
      </w:pPr>
    </w:p>
    <w:p w14:paraId="765DE5EB">
      <w:pPr>
        <w:spacing w:line="240" w:lineRule="auto"/>
        <w:ind w:right="147"/>
        <w:jc w:val="both"/>
        <w:rPr>
          <w:rFonts w:hint="default" w:ascii="Times New Roman" w:hAnsi="Times New Roman" w:eastAsia="Times New Roman" w:cs="Times New Roman"/>
          <w:b/>
          <w:sz w:val="20"/>
          <w:szCs w:val="20"/>
        </w:rPr>
      </w:pPr>
    </w:p>
    <w:p w14:paraId="79B82213">
      <w:pPr>
        <w:spacing w:line="240" w:lineRule="auto"/>
        <w:ind w:right="147"/>
        <w:jc w:val="both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 xml:space="preserve">Introdução: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 xml:space="preserve">Baseado em estudos de teóricos da Política Pública como </w:t>
      </w:r>
      <w:r>
        <w:rPr>
          <w:rFonts w:hint="default" w:ascii="Times New Roman" w:hAnsi="Times New Roman" w:eastAsia="SimSun" w:cs="Times New Roman"/>
          <w:sz w:val="20"/>
          <w:szCs w:val="20"/>
        </w:rPr>
        <w:t>Theodore Lowi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</w:rPr>
        <w:t>Paul Sabatier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 e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</w:rPr>
        <w:t>Hugh Heclo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, também nos teóricos de enfoque na educação e formação cidadã como Paulo Freire e Norberto Bobbio e os olhares voltados para as metodologias de ensino, tais como o estudo de caso e a aprendizagem baseada em Problemas (ABP) e que os alicerces deste trabalho se constroem.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Utilizar de políticas públicas vigentes para formular debates e reflexões em cursos de formação, ensino regular, superior, técnico e ensino não formal pode reverberar em toda uma geração, para tanto propomos a continuação de um projeto de Extensão da Universidade Federal da Paraíba que muda de Serviflix para Poliflix. Neste contexto, cabe ressaltar que o primeiro focava no conhecimento e na produção de políticas públicas para a melhoria do desempenho  do serviço público, através da criação de vídeos curtos mostrando dicas, modelos, fluxos e conteúdos contstruidos a partir da coleta de informações e vivências dos sujeitos do projeto e seu público - alvo. Já o segundo tem como proposta utilizar de políticas públicas vigentes para a produção de conhecimento de forma multidisciplinar, também com a produção de vídeos que contribuam para essa formação cidadã. Utilizar de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estudo de caso e a aprendizagem baseada em problemas 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podem ser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ferramentas pedagógicas poderosas 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e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corroborar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significativamente 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com a educação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cidadã. Ao analisar casos reais de políticas públicas, os estudantes são expostos a situações complexas e multifacetadas, desenvolvendo habilidades de análise crítica, tomada de decisão e resolução de problemas. Essa abordagem permite que os alunos compreendam as implicações das políticas públicas na vida das pessoas e nas comunidades, estimulando o senso de responsabilidade social e o engajamento cívico. A aprendizagem baseada em problemas, por sua vez, desafia os estudantes a buscar soluções criativas para problemas reais, promovendo o desenvolvimento de habilidades de colaboração, comunicação e pensamento crítico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 conhecendo todo o ciclo de políticas públicas e suas facetas</w:t>
      </w:r>
      <w:r>
        <w:rPr>
          <w:rFonts w:hint="default" w:ascii="Times New Roman" w:hAnsi="Times New Roman" w:eastAsia="SimSun" w:cs="Times New Roman"/>
          <w:sz w:val="20"/>
          <w:szCs w:val="20"/>
        </w:rPr>
        <w:t>. Ao trabalharem em grupo para analisar casos e propor soluções, os estudantes aprendem a importância do diálogo e do consenso na construção de um bem comum, fortalecendo assim sua formação cidadã</w:t>
      </w:r>
      <w:r>
        <w:rPr>
          <w:rFonts w:hint="default" w:ascii="Times New Roman" w:hAnsi="Times New Roman" w:eastAsia="SimSun" w:cs="Times New Roman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Objetivo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pt-BR"/>
        </w:rPr>
        <w:t xml:space="preserve"> Geral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Expor uma proposta de metodologia de ensino e aprendizagem com foco nas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</w:rPr>
        <w:t xml:space="preserve"> políticas públicas para a formação cidadã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pt-B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pt-BR"/>
        </w:rPr>
        <w:t xml:space="preserve">Objetivo específico: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Apresentar o uso da política pública como instrumento para a formação cidadã; Trazer as possibilidades de uso dessa metodologia e seus benefícios relacionados ao diálogo que permeia a educação e as Políticas Públicas.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 xml:space="preserve">Metodologia: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De abordagem qualitativa, bibliográfica e de estudo de caso com a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análise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 xml:space="preserve"> do Projeto de Extensão da Universidade Federal da Paraíba - UFPB, intitulado Serviflix, </w:t>
      </w:r>
      <w:r>
        <w:rPr>
          <w:rFonts w:hint="default" w:ascii="Times New Roman" w:hAnsi="Times New Roman" w:eastAsia="SimSun" w:cs="Times New Roman"/>
          <w:sz w:val="20"/>
          <w:szCs w:val="20"/>
        </w:rPr>
        <w:t>busca-se identificar os impactos dessas iniciativas na construção de uma cidadania ativa e participativa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 sendo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 xml:space="preserve"> uma proposta de base para a educação e a formação cidadã.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 xml:space="preserve">Esta pesquisa origina-se dentro da UFPB, Campus João Pessoa-PB, os sujeitos da pesquisa foram 10 (dez) discentes da instituição de ensino, 10 (dez) técnicos administrativos de 3 (três) setores diferentes e comunidade em geral que participou de oficinas, minicursos e enquetes nas redes sociais (média de 100 pessoas).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 xml:space="preserve">Resultados e discussão: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Durante 12 (doze) meses de projeto com a coleta local e periódica de informações entre discentes, Técnicos Administrativos e comunidade em geral sobre como melhorar o desempenho do serviço público com base nos setores analisados (Pró-Reitoria de Extensão, Secretaria de Educação do Estado da Paraíba) e na escala de indicadores chamada Servqual, observou-se que os sujeitos da pesquisa atuavam de forma mecânica, ou seja, não reconheciam o como um processo todo. Diante disso, não havia questionamentos, apenas reclamações do que estava em falta; ainda, percebeu-se que os sujeitos da pesquisa não entendem sobre políticas públicas, não sabem pesquisar, procurar, muito menos, opinar sobre elas, direcionando toda responsabilidade para o Agente político; Além do mais, percebeu-se a carência sobre o papel cidadão na atuação da formulação e implementação de uma política pública efetiva.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 xml:space="preserve">Considerações finais: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Portanto, com base nas informações do projeto e instrumentos utilizados, f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pt-BR"/>
        </w:rPr>
        <w:t>oi possível perceber que: 1) É necessário profissionalizar o conhecimento e a formulação de políticas públicas; 2) Entender que o conhecimento aprofundado da função e impacto da Política pública deve ser uma pauta contínua na educação; 3) Ter métodos eficazes de perceber a necessidade e o impacto de uma política Pública no cotidiano da sociedade e, 4) O Estudo das políticas Públicas no cotidiano pode ajudar em proposituras e implementações muito mais abrangentes e impactantes e que geram uma sustentabilidade e cultura contínua da busca pelo bem coletivo da sociedade.</w:t>
      </w:r>
    </w:p>
    <w:p w14:paraId="73236CA9"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Palavras-chave: </w:t>
      </w:r>
      <w:bookmarkStart w:id="0" w:name="_GoBack"/>
      <w:r>
        <w:rPr>
          <w:rFonts w:hint="default" w:ascii="Times New Roman" w:hAnsi="Times New Roman" w:cs="Times New Roman"/>
          <w:sz w:val="20"/>
          <w:szCs w:val="20"/>
          <w:lang w:val="pt-BR"/>
        </w:rPr>
        <w:t>Políticas Públicas; Cidadania; Educação</w:t>
      </w:r>
    </w:p>
    <w:bookmarkEnd w:id="0"/>
    <w:p w14:paraId="692F7F18"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1F0DD228"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Referências </w:t>
      </w:r>
    </w:p>
    <w:p w14:paraId="6FBD4CE8">
      <w:pPr>
        <w:spacing w:line="240" w:lineRule="auto"/>
        <w:rPr>
          <w:rFonts w:hint="default" w:ascii="Times New Roman" w:hAnsi="Times New Roman" w:eastAsia="SimSun" w:cs="Times New Roman"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Bacich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, 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Lilian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 e Moran, José . 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Metodologias ativas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 xml:space="preserve"> para uma Educação inovadora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  <w:lang w:val="pt-BR"/>
        </w:rPr>
        <w:t>-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 xml:space="preserve"> Uma abordagem teórico prática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74747"/>
          <w:spacing w:val="0"/>
          <w:sz w:val="20"/>
          <w:szCs w:val="20"/>
          <w:shd w:val="clear" w:fill="FFFFFF"/>
        </w:rPr>
        <w:t>. Editora Penso 2018. </w:t>
      </w:r>
    </w:p>
    <w:p w14:paraId="20E40B7B"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0"/>
          <w:szCs w:val="20"/>
          <w:shd w:val="clear" w:fill="FFFFFF"/>
        </w:rPr>
        <w:t>Batista M, Domingos A, Vieira B.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 xml:space="preserve"> Políticas públicas: modelos clássicos e 40 anos de produção no Brasil. BIB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 xml:space="preserve">.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>2021.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0"/>
          <w:szCs w:val="20"/>
          <w:shd w:val="clear" w:fill="FFFFFF"/>
        </w:rPr>
        <w:t xml:space="preserve"> Disponível em: https://bibanpocs.emnuvens.com.br/revista/article/view/179</w:t>
      </w:r>
    </w:p>
    <w:p w14:paraId="37574B9C"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FREIRE, Paulo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.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Política e educação. São Paulo: Cortez Editora, 1993.</w:t>
      </w:r>
    </w:p>
    <w:p w14:paraId="700A1AE3">
      <w:pPr>
        <w:spacing w:line="240" w:lineRule="auto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LOWI, Theodor. </w:t>
      </w:r>
      <w:r>
        <w:rPr>
          <w:rFonts w:hint="default" w:ascii="Times New Roman" w:hAnsi="Times New Roman" w:eastAsia="SimSun" w:cs="Times New Roman"/>
          <w:b/>
          <w:bCs/>
          <w:sz w:val="20"/>
          <w:szCs w:val="20"/>
        </w:rPr>
        <w:t>American Business, Public Policy, Case Studies and Political Theory</w:t>
      </w:r>
      <w:r>
        <w:rPr>
          <w:rFonts w:hint="default" w:ascii="Times New Roman" w:hAnsi="Times New Roman" w:eastAsia="SimSun" w:cs="Times New Roman"/>
          <w:sz w:val="20"/>
          <w:szCs w:val="20"/>
        </w:rPr>
        <w:t>, World Politics, 16: 677-715. 1964</w:t>
      </w:r>
    </w:p>
    <w:p w14:paraId="523B9561">
      <w:pPr>
        <w:spacing w:line="240" w:lineRule="auto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403D39"/>
          <w:spacing w:val="0"/>
          <w:sz w:val="20"/>
          <w:szCs w:val="20"/>
          <w:shd w:val="clear" w:fill="FFFFFF"/>
        </w:rPr>
        <w:t xml:space="preserve">SABATIER, P. A. (Ed.).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03D39"/>
          <w:spacing w:val="0"/>
          <w:sz w:val="20"/>
          <w:szCs w:val="20"/>
          <w:shd w:val="clear" w:fill="FFFFFF"/>
        </w:rPr>
        <w:t>Theories of the policy process.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03D39"/>
          <w:spacing w:val="0"/>
          <w:sz w:val="20"/>
          <w:szCs w:val="20"/>
          <w:shd w:val="clear" w:fill="FFFFFF"/>
        </w:rPr>
        <w:t xml:space="preserve"> 2. ed. Boulder, CO: Westview Press, 2007</w:t>
      </w:r>
    </w:p>
    <w:sectPr>
      <w:headerReference r:id="rId5" w:type="default"/>
      <w:pgSz w:w="11906" w:h="16838"/>
      <w:pgMar w:top="1701" w:right="720" w:bottom="1134" w:left="720" w:header="0" w:footer="709" w:gutter="0"/>
      <w:paperSrc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7A48">
    <w:pPr>
      <w:pStyle w:val="9"/>
      <w:ind w:left="-709" w:right="-822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0</wp:posOffset>
          </wp:positionV>
          <wp:extent cx="7562850" cy="10716260"/>
          <wp:effectExtent l="0" t="0" r="0" b="8890"/>
          <wp:wrapNone/>
          <wp:docPr id="19571958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195862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71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1"/>
    <w:rsid w:val="0004625E"/>
    <w:rsid w:val="00307F01"/>
    <w:rsid w:val="0059114D"/>
    <w:rsid w:val="0068421B"/>
    <w:rsid w:val="00845E40"/>
    <w:rsid w:val="008533E1"/>
    <w:rsid w:val="00B30942"/>
    <w:rsid w:val="00B83C0D"/>
    <w:rsid w:val="00BA0EA4"/>
    <w:rsid w:val="00C1223D"/>
    <w:rsid w:val="478932CA"/>
    <w:rsid w:val="63143645"/>
    <w:rsid w:val="63E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"/>
    <w:basedOn w:val="6"/>
    <w:qFormat/>
    <w:uiPriority w:val="0"/>
    <w:rPr>
      <w:rFonts w:cs="Lucida Sans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paragraph" w:customStyle="1" w:styleId="15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6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">
    <w:name w:val="Cabeçalho e Rodapé"/>
    <w:basedOn w:val="1"/>
    <w:qFormat/>
    <w:uiPriority w:val="0"/>
  </w:style>
  <w:style w:type="character" w:customStyle="1" w:styleId="18">
    <w:name w:val="Texto de balão Char"/>
    <w:basedOn w:val="2"/>
    <w:link w:val="1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4400-5E3D-40BF-AC27-AE7ACCF31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3253</Characters>
  <Lines>27</Lines>
  <Paragraphs>7</Paragraphs>
  <TotalTime>50</TotalTime>
  <ScaleCrop>false</ScaleCrop>
  <LinksUpToDate>false</LinksUpToDate>
  <CharactersWithSpaces>3848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2023-10-25T14:44:00Z</dcterms:created>
  <dc:creator>Filipe Duran</dc:creator>
  <cp:lastModifiedBy>sticc</cp:lastModifiedBy>
  <dcterms:modified xsi:type="dcterms:W3CDTF">2024-09-05T16:02:09Z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EC36382FE1C245579400ED5C363DD3FD_13</vt:lpwstr>
  </property>
</Properties>
</file>