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6D3" w:rsidRDefault="005256D3" w:rsidP="005256D3">
      <w:pPr>
        <w:spacing w:after="240" w:line="360" w:lineRule="auto"/>
        <w:rPr>
          <w:b/>
          <w:color w:val="181717"/>
        </w:rPr>
      </w:pPr>
    </w:p>
    <w:p w:rsidR="00494EA0" w:rsidRDefault="0037537E" w:rsidP="005256D3">
      <w:pPr>
        <w:spacing w:after="240" w:line="360" w:lineRule="auto"/>
        <w:jc w:val="center"/>
      </w:pPr>
      <w:r>
        <w:rPr>
          <w:b/>
          <w:color w:val="181717"/>
        </w:rPr>
        <w:t>ATIVISMOS ALIMENTARES E MOVIMENTOS EM TORNO DAS PLANTAS ALIMENTÍCIAS NÃO CONVENCIONAIS (PANC) NO BRASIL</w:t>
      </w:r>
      <w:r>
        <w:rPr>
          <w:color w:val="181717"/>
          <w:vertAlign w:val="superscript"/>
        </w:rPr>
        <w:footnoteReference w:id="1"/>
      </w:r>
      <w:r>
        <w:rPr>
          <w:b/>
          <w:color w:val="181717"/>
        </w:rPr>
        <w:t xml:space="preserve"> </w:t>
      </w:r>
    </w:p>
    <w:p w:rsidR="00494EA0" w:rsidRDefault="0037537E">
      <w:pPr>
        <w:spacing w:line="360" w:lineRule="auto"/>
        <w:ind w:hanging="2"/>
        <w:jc w:val="center"/>
        <w:rPr>
          <w:vertAlign w:val="superscript"/>
        </w:rPr>
      </w:pPr>
      <w:r>
        <w:t xml:space="preserve">Rebeca Rose dos </w:t>
      </w:r>
      <w:proofErr w:type="gramStart"/>
      <w:r>
        <w:t>Santos Leandro</w:t>
      </w:r>
      <w:proofErr w:type="gramEnd"/>
      <w:r>
        <w:rPr>
          <w:vertAlign w:val="superscript"/>
        </w:rPr>
        <w:footnoteReference w:id="2"/>
      </w:r>
    </w:p>
    <w:p w:rsidR="00494EA0" w:rsidRDefault="0037537E">
      <w:pPr>
        <w:spacing w:line="360" w:lineRule="auto"/>
        <w:ind w:hanging="2"/>
        <w:jc w:val="center"/>
        <w:rPr>
          <w:vertAlign w:val="superscript"/>
        </w:rPr>
      </w:pPr>
      <w:r>
        <w:t>Fátima Portilho(s</w:t>
      </w:r>
      <w:proofErr w:type="gramStart"/>
      <w:r>
        <w:t>)</w:t>
      </w:r>
      <w:proofErr w:type="gramEnd"/>
      <w:r>
        <w:rPr>
          <w:vertAlign w:val="superscript"/>
        </w:rPr>
        <w:footnoteReference w:id="3"/>
      </w:r>
    </w:p>
    <w:p w:rsidR="00494EA0" w:rsidRDefault="00494EA0">
      <w:pPr>
        <w:spacing w:line="360" w:lineRule="auto"/>
        <w:ind w:hanging="2"/>
        <w:jc w:val="center"/>
        <w:rPr>
          <w:vertAlign w:val="superscript"/>
        </w:rPr>
      </w:pPr>
    </w:p>
    <w:p w:rsidR="00494EA0" w:rsidRPr="005256D3" w:rsidRDefault="0037537E" w:rsidP="005256D3">
      <w:pPr>
        <w:spacing w:line="360" w:lineRule="auto"/>
        <w:ind w:hanging="2"/>
      </w:pPr>
      <w:r>
        <w:rPr>
          <w:b/>
        </w:rPr>
        <w:t xml:space="preserve">GT </w:t>
      </w:r>
      <w:proofErr w:type="gramStart"/>
      <w:r>
        <w:rPr>
          <w:b/>
        </w:rPr>
        <w:t>8</w:t>
      </w:r>
      <w:proofErr w:type="gramEnd"/>
      <w:r>
        <w:rPr>
          <w:b/>
        </w:rPr>
        <w:t>:</w:t>
      </w:r>
      <w:r>
        <w:t xml:space="preserve"> Cultura alimentar, </w:t>
      </w:r>
      <w:proofErr w:type="spellStart"/>
      <w:r>
        <w:t>Sociobiodiversidade</w:t>
      </w:r>
      <w:proofErr w:type="spellEnd"/>
      <w:r>
        <w:t xml:space="preserve"> e Soberania e Segurança Alimentar e nutricional: Desafios à pesquisa</w:t>
      </w:r>
    </w:p>
    <w:p w:rsidR="00494EA0" w:rsidRDefault="0037537E">
      <w:pPr>
        <w:spacing w:line="360" w:lineRule="auto"/>
        <w:ind w:hanging="2"/>
        <w:jc w:val="center"/>
      </w:pPr>
      <w:r>
        <w:t xml:space="preserve">RESUMO </w:t>
      </w:r>
    </w:p>
    <w:p w:rsidR="00494EA0" w:rsidRDefault="0037537E">
      <w:pPr>
        <w:spacing w:before="120" w:line="360" w:lineRule="auto"/>
        <w:jc w:val="both"/>
      </w:pPr>
      <w:r>
        <w:t>A pesquisa partiu dos debates sobre ativismo alimentar no Brasil contemporâneo, enfocando, especificamente, os movimentos em torno das Pla</w:t>
      </w:r>
      <w:r>
        <w:t xml:space="preserve">ntas Alimentícias não Convencionais (PANC). Tomamos como base teórica a Sociologia da Alimentação, os Estudos dos Sistemas Agroalimentares e os Estudos do Consumo. Através de uma busca na plataforma </w:t>
      </w:r>
      <w:proofErr w:type="spellStart"/>
      <w:r>
        <w:rPr>
          <w:i/>
        </w:rPr>
        <w:t>Instagram</w:t>
      </w:r>
      <w:proofErr w:type="spellEnd"/>
      <w:r>
        <w:t>, foi realizado um mapeamento dos principais ato</w:t>
      </w:r>
      <w:r>
        <w:t>res (pessoas e coletivos) envolvidos com as PANC, analisando seus objetivos, estratégias e formas de atuação, além das práticas defendidas, as críticas acionadas e as controvérsias entre eles. Foi analisado, ainda, como estes movimentos lançam mão do consu</w:t>
      </w:r>
      <w:r>
        <w:t>mo político e como se articulam com as contestações ao sistema agroalimentar convencional. Para complementar os dados coletados, foi realizada observação participante em u</w:t>
      </w:r>
      <w:bookmarkStart w:id="0" w:name="_GoBack"/>
      <w:bookmarkEnd w:id="0"/>
      <w:r>
        <w:t>ma vivência de campo e uma entrevista com um ativista. Os dados encontrados nos levar</w:t>
      </w:r>
      <w:r>
        <w:t>am a caracterizar suas principais formas de atuação, e a propor uma tipologia dos movimentos em torno das PANC.</w:t>
      </w:r>
    </w:p>
    <w:p w:rsidR="00494EA0" w:rsidRDefault="0037537E">
      <w:pPr>
        <w:spacing w:line="360" w:lineRule="auto"/>
        <w:ind w:hanging="2"/>
        <w:jc w:val="both"/>
      </w:pPr>
      <w:r w:rsidRPr="005256D3">
        <w:rPr>
          <w:b/>
        </w:rPr>
        <w:t>Palavras-chave</w:t>
      </w:r>
      <w:r>
        <w:t xml:space="preserve">: Ativismo Alimentar; Sociologia da Alimentação; Plantas Alimentícias não Convencionais; Consumo </w:t>
      </w:r>
      <w:r w:rsidR="005256D3">
        <w:t>Político.</w:t>
      </w:r>
    </w:p>
    <w:p w:rsidR="00494EA0" w:rsidRDefault="00494EA0">
      <w:pPr>
        <w:spacing w:line="360" w:lineRule="auto"/>
        <w:ind w:hanging="2"/>
        <w:jc w:val="both"/>
      </w:pPr>
    </w:p>
    <w:p w:rsidR="00494EA0" w:rsidRDefault="00494EA0" w:rsidP="005256D3">
      <w:pPr>
        <w:spacing w:line="360" w:lineRule="auto"/>
        <w:jc w:val="both"/>
      </w:pPr>
    </w:p>
    <w:p w:rsidR="00494EA0" w:rsidRDefault="0037537E">
      <w:pPr>
        <w:spacing w:line="360" w:lineRule="auto"/>
        <w:jc w:val="both"/>
      </w:pPr>
      <w:r>
        <w:t>INTRODUÇÃO</w:t>
      </w:r>
    </w:p>
    <w:p w:rsidR="00494EA0" w:rsidRDefault="0037537E">
      <w:pPr>
        <w:spacing w:before="120" w:line="360" w:lineRule="auto"/>
        <w:ind w:right="-10" w:firstLine="708"/>
        <w:jc w:val="both"/>
      </w:pPr>
      <w:r>
        <w:t>A modernização da agricultura, ocorrida no Brasil a partir de 1970, impulsionou o cultivo de alimentos em larga escala, com uso massivo de agroquímicos, e a indústria de alimentos processados, acentuando diversos problemas ambientais, como a perda da biodi</w:t>
      </w:r>
      <w:r>
        <w:t>versidade e as mudanças climáticas.</w:t>
      </w:r>
    </w:p>
    <w:p w:rsidR="00494EA0" w:rsidRDefault="0037537E">
      <w:pPr>
        <w:spacing w:before="120" w:line="360" w:lineRule="auto"/>
        <w:ind w:right="-10" w:firstLine="708"/>
        <w:jc w:val="both"/>
      </w:pPr>
      <w:r>
        <w:t>Por outro lado, a modernização da vida social, a urbanização, a entrada massiva das mulheres no mercado de trabalho e a consequente falta de tempo ocasionou a transferência de parte das tarefas cotidianas de preparação d</w:t>
      </w:r>
      <w:r>
        <w:t>a comida para as indústrias, facilitando o trabalho cotidiano de cozinhar, mas levando a uma possível perda do interesse e das habilidades culinárias (</w:t>
      </w:r>
      <w:proofErr w:type="spellStart"/>
      <w:r>
        <w:t>Murcott</w:t>
      </w:r>
      <w:proofErr w:type="spellEnd"/>
      <w:r>
        <w:t xml:space="preserve">, 2019). Doenças crônicas não transmissíveis (DCNT) relacionadas à alimentação têm aumentado, com </w:t>
      </w:r>
      <w:r>
        <w:t>os custos de tratamento recaindo sobre o setor público. Vale mencionar, ainda, que os consumidores têm sido percebidos como um dos atores do sistema agroalimentar, fazendo com que a cadeia de produção se torne cada vez mais “dirigida pela demanda” (Goodman</w:t>
      </w:r>
      <w:r>
        <w:t xml:space="preserve">; </w:t>
      </w:r>
      <w:proofErr w:type="spellStart"/>
      <w:r>
        <w:t>Dupuis</w:t>
      </w:r>
      <w:proofErr w:type="spellEnd"/>
      <w:r>
        <w:t xml:space="preserve">, 2002; Dias </w:t>
      </w:r>
      <w:proofErr w:type="spellStart"/>
      <w:r>
        <w:t>Méndez</w:t>
      </w:r>
      <w:proofErr w:type="spellEnd"/>
      <w:r>
        <w:t>; Gomes e Benito, 2005; Portilho, 2009).</w:t>
      </w:r>
    </w:p>
    <w:p w:rsidR="00494EA0" w:rsidRDefault="0037537E">
      <w:pPr>
        <w:spacing w:before="120" w:line="360" w:lineRule="auto"/>
        <w:ind w:right="-10" w:firstLine="708"/>
        <w:jc w:val="both"/>
      </w:pPr>
      <w:r>
        <w:t>Neste contexto, surge uma série de movimentos sociais e ativismos que se organizam em torno da alimentação (</w:t>
      </w:r>
      <w:proofErr w:type="spellStart"/>
      <w:r>
        <w:t>Counihan</w:t>
      </w:r>
      <w:proofErr w:type="spellEnd"/>
      <w:r>
        <w:t xml:space="preserve">; </w:t>
      </w:r>
      <w:proofErr w:type="spellStart"/>
      <w:r>
        <w:t>Siniscalchi</w:t>
      </w:r>
      <w:proofErr w:type="spellEnd"/>
      <w:r>
        <w:t>, 2014; Tanaka; Portilho, 2019; Portilho, 2020; Motta, 2021</w:t>
      </w:r>
      <w:r>
        <w:t>; Schubert; Portilho, 2023). Dentre estes, destacamos os movimentos em torno das Plantas Alimentícias não Convencionais (PANC).</w:t>
      </w:r>
    </w:p>
    <w:p w:rsidR="00494EA0" w:rsidRDefault="0037537E" w:rsidP="005256D3">
      <w:pPr>
        <w:spacing w:before="120" w:line="360" w:lineRule="auto"/>
        <w:ind w:right="-10" w:firstLine="708"/>
        <w:jc w:val="both"/>
      </w:pPr>
      <w:r>
        <w:t>O objetivo geral da pesquisa foi analisar como as PANC se inserem no debate e na agenda de movimentos e ativistas alimentares br</w:t>
      </w:r>
      <w:r>
        <w:t>asileiros. Buscamos identificar e mapear os principais atores (pessoas e coletivos) envolvidos com as PANC no país, analisando seus objetivos, suas formas de atuação, as práticas defendidas, as</w:t>
      </w:r>
      <w:r w:rsidR="005256D3">
        <w:t xml:space="preserve"> </w:t>
      </w:r>
      <w:r>
        <w:t xml:space="preserve">críticas acionadas, as estratégias de consumo político e </w:t>
      </w:r>
      <w:r>
        <w:t>as controvérsias entre eles, especialmente no que se refere à “</w:t>
      </w:r>
      <w:proofErr w:type="spellStart"/>
      <w:r>
        <w:t>convencionalização</w:t>
      </w:r>
      <w:proofErr w:type="spellEnd"/>
      <w:r>
        <w:t>” e ao uso do termo PANC.</w:t>
      </w:r>
    </w:p>
    <w:p w:rsidR="005256D3" w:rsidRDefault="0037537E">
      <w:pPr>
        <w:spacing w:before="120" w:line="360" w:lineRule="auto"/>
        <w:ind w:right="-10" w:firstLine="720"/>
        <w:jc w:val="both"/>
      </w:pPr>
      <w:r>
        <w:lastRenderedPageBreak/>
        <w:t xml:space="preserve">Para dar conta destes objetivos, buscamos aportes teóricos na interface entre a Sociologia da Alimentação, os Estudos dos Sistemas Agroalimentares e </w:t>
      </w:r>
      <w:r>
        <w:t xml:space="preserve">os Estudos do Consumo. Além desta introdução e das considerações finais, o artigo contém </w:t>
      </w:r>
      <w:r w:rsidR="005256D3">
        <w:t>três</w:t>
      </w:r>
      <w:r>
        <w:t xml:space="preserve"> seções. </w:t>
      </w:r>
    </w:p>
    <w:p w:rsidR="00494EA0" w:rsidRDefault="0037537E">
      <w:pPr>
        <w:spacing w:before="120" w:line="360" w:lineRule="auto"/>
        <w:ind w:right="-10" w:firstLine="720"/>
        <w:jc w:val="both"/>
      </w:pPr>
      <w:r>
        <w:t>Na primeira, apresentamos uma breve contextualização das PANC no Brasil e os debates teóricos acionados. Na segunda seção, apresentamos as estratégias m</w:t>
      </w:r>
      <w:r>
        <w:t>etodológicas e, na terceira, discutimos os dados coletados.</w:t>
      </w:r>
    </w:p>
    <w:p w:rsidR="00494EA0" w:rsidRDefault="00494EA0">
      <w:pPr>
        <w:spacing w:line="360" w:lineRule="auto"/>
        <w:jc w:val="both"/>
      </w:pPr>
    </w:p>
    <w:p w:rsidR="00494EA0" w:rsidRDefault="0037537E">
      <w:pPr>
        <w:spacing w:line="360" w:lineRule="auto"/>
        <w:jc w:val="both"/>
      </w:pPr>
      <w:r>
        <w:t>DESENVOLVIMENTO</w:t>
      </w:r>
    </w:p>
    <w:p w:rsidR="00494EA0" w:rsidRDefault="0037537E">
      <w:pPr>
        <w:spacing w:before="120" w:line="360" w:lineRule="auto"/>
      </w:pPr>
      <w:r>
        <w:t>As Plantas Alimentícias Não Convencionais</w:t>
      </w:r>
    </w:p>
    <w:p w:rsidR="00494EA0" w:rsidRDefault="0037537E">
      <w:pPr>
        <w:spacing w:before="120" w:line="360" w:lineRule="auto"/>
        <w:ind w:firstLine="720"/>
        <w:jc w:val="both"/>
      </w:pPr>
      <w:r>
        <w:t xml:space="preserve">O acrônimo PANC, criado em 2008, surge a partir de uma parceria entre o biólogo </w:t>
      </w:r>
      <w:proofErr w:type="spellStart"/>
      <w:r>
        <w:t>Valdely</w:t>
      </w:r>
      <w:proofErr w:type="spellEnd"/>
      <w:r>
        <w:t xml:space="preserve"> </w:t>
      </w:r>
      <w:proofErr w:type="spellStart"/>
      <w:r>
        <w:t>Kinupp</w:t>
      </w:r>
      <w:proofErr w:type="spellEnd"/>
      <w:r>
        <w:t xml:space="preserve"> e a nutricionista Irany </w:t>
      </w:r>
      <w:proofErr w:type="spellStart"/>
      <w:r>
        <w:t>Arteche</w:t>
      </w:r>
      <w:proofErr w:type="spellEnd"/>
      <w:r>
        <w:t xml:space="preserve"> para a rea</w:t>
      </w:r>
      <w:r>
        <w:t>lização do projeto “PANC: Soberania Alimentar e biodiversidade palpável para assentados do Movimento dos Trabalhadores Rurais sem Terra”, uma parceria da Companhia Nacional de Abastecimento com o Programa das Nações Unidas para o Desenvolvimento (UNDP/UN).</w:t>
      </w:r>
    </w:p>
    <w:p w:rsidR="00494EA0" w:rsidRDefault="0037537E">
      <w:pPr>
        <w:spacing w:before="120" w:line="360" w:lineRule="auto"/>
        <w:ind w:right="-10" w:firstLine="708"/>
        <w:jc w:val="both"/>
      </w:pPr>
      <w:r>
        <w:t xml:space="preserve">Em 2014, </w:t>
      </w:r>
      <w:proofErr w:type="spellStart"/>
      <w:r>
        <w:t>Valdely</w:t>
      </w:r>
      <w:proofErr w:type="spellEnd"/>
      <w:r>
        <w:t xml:space="preserve"> </w:t>
      </w:r>
      <w:proofErr w:type="spellStart"/>
      <w:r>
        <w:t>Kinupp</w:t>
      </w:r>
      <w:proofErr w:type="spellEnd"/>
      <w:r>
        <w:t xml:space="preserve"> </w:t>
      </w:r>
      <w:proofErr w:type="gramStart"/>
      <w:r>
        <w:t>publicou,</w:t>
      </w:r>
      <w:proofErr w:type="gramEnd"/>
      <w:r>
        <w:t xml:space="preserve"> em coautoria com o agrônomo </w:t>
      </w:r>
      <w:proofErr w:type="spellStart"/>
      <w:r>
        <w:t>Harri</w:t>
      </w:r>
      <w:proofErr w:type="spellEnd"/>
      <w:r>
        <w:t xml:space="preserve"> </w:t>
      </w:r>
      <w:proofErr w:type="spellStart"/>
      <w:r>
        <w:t>Lorenzi</w:t>
      </w:r>
      <w:proofErr w:type="spellEnd"/>
      <w:r>
        <w:t>, o livro "Plantas Alimentícias não Convencionais (PANC) no Brasil", que traz a identificação e a tabela nutricional de 351 espécies de plantas, além de algumas receitas. Os autore</w:t>
      </w:r>
      <w:r>
        <w:t xml:space="preserve">s estimam que 30 mil espécies vegetais tenham potencial comestível, embora atualmente 90% da alimentação humana tenha origem em apenas 20 destas espécies. O livro popularizou o termo PANC no Brasil, definido </w:t>
      </w:r>
      <w:proofErr w:type="gramStart"/>
      <w:r>
        <w:t>como</w:t>
      </w:r>
      <w:proofErr w:type="gramEnd"/>
    </w:p>
    <w:p w:rsidR="00494EA0" w:rsidRDefault="0037537E" w:rsidP="005256D3">
      <w:pPr>
        <w:spacing w:before="120" w:line="360" w:lineRule="auto"/>
        <w:ind w:left="2268"/>
        <w:jc w:val="both"/>
      </w:pPr>
      <w:proofErr w:type="gramStart"/>
      <w:r>
        <w:t>frutos</w:t>
      </w:r>
      <w:proofErr w:type="gramEnd"/>
      <w:r>
        <w:t>, frutas, folhas, flores, rizomas, se</w:t>
      </w:r>
      <w:r>
        <w:t xml:space="preserve">mentes e outras estruturas e partes das plantas que podem ser consumidas pelo homem tanto in natura e após algum tipo de preparo culinário. Portanto, trata-se </w:t>
      </w:r>
      <w:r w:rsidR="005256D3">
        <w:t xml:space="preserve">de “plantas não convencionais”, </w:t>
      </w:r>
      <w:r>
        <w:t>mas também das “partes e usos não convencionais” de plantas comuns ou convencionais. (</w:t>
      </w:r>
      <w:proofErr w:type="spellStart"/>
      <w:r>
        <w:t>Kinupp</w:t>
      </w:r>
      <w:proofErr w:type="spellEnd"/>
      <w:r>
        <w:t xml:space="preserve">; </w:t>
      </w:r>
      <w:proofErr w:type="spellStart"/>
      <w:r>
        <w:t>Lorenzi</w:t>
      </w:r>
      <w:proofErr w:type="spellEnd"/>
      <w:r>
        <w:t>, 2014, p.7)</w:t>
      </w:r>
    </w:p>
    <w:p w:rsidR="00494EA0" w:rsidRDefault="0037537E">
      <w:pPr>
        <w:spacing w:before="120" w:line="360" w:lineRule="auto"/>
        <w:ind w:firstLine="708"/>
        <w:jc w:val="both"/>
      </w:pPr>
      <w:r>
        <w:lastRenderedPageBreak/>
        <w:t xml:space="preserve">Entretanto, com a difusão das PANC vieram também as críticas de ativistas e acadêmicos. Tais críticos consideram que este termo não reconhece </w:t>
      </w:r>
      <w:r>
        <w:t xml:space="preserve">os saberes e práticas de populações que vivem em territórios rurais, periféricos e oriundos da cultura </w:t>
      </w:r>
      <w:proofErr w:type="spellStart"/>
      <w:r>
        <w:t>afroindígena</w:t>
      </w:r>
      <w:proofErr w:type="spellEnd"/>
      <w:r>
        <w:t xml:space="preserve"> e que usam tais plantas de forma cotidiana, o que não permitiria classifica-las como “não convencionais”. Há também críticas relacionadas às</w:t>
      </w:r>
      <w:r>
        <w:t xml:space="preserve"> reflexões </w:t>
      </w:r>
      <w:proofErr w:type="spellStart"/>
      <w:r>
        <w:t>decoloniais</w:t>
      </w:r>
      <w:proofErr w:type="spellEnd"/>
      <w:r>
        <w:t xml:space="preserve">, que promovem outras epistemologias e ontologias. Botelho (2010), por exemplo, </w:t>
      </w:r>
      <w:proofErr w:type="gramStart"/>
      <w:r>
        <w:t>mostra</w:t>
      </w:r>
      <w:proofErr w:type="gramEnd"/>
      <w:r>
        <w:t xml:space="preserve"> que, para além do potencial alimentício destas plantas, alguns grupos as consideram forças vivas e atuantes, com agência sobre os humanos. Desta fo</w:t>
      </w:r>
      <w:r>
        <w:t xml:space="preserve">rma, o que foi caracterizado como </w:t>
      </w:r>
      <w:proofErr w:type="gramStart"/>
      <w:r>
        <w:t>plantas alimentícias não convencionais é</w:t>
      </w:r>
      <w:proofErr w:type="gramEnd"/>
      <w:r>
        <w:t xml:space="preserve"> considerado, por alguns autores, ativistas e grupos sociais, como “plantas de quintais”, “plantas da negritude” ou “plantas </w:t>
      </w:r>
      <w:proofErr w:type="spellStart"/>
      <w:r>
        <w:t>afrodiaspóricas</w:t>
      </w:r>
      <w:proofErr w:type="spellEnd"/>
      <w:r>
        <w:t>”.</w:t>
      </w:r>
    </w:p>
    <w:p w:rsidR="00494EA0" w:rsidRDefault="0037537E">
      <w:pPr>
        <w:spacing w:before="120" w:line="360" w:lineRule="auto"/>
      </w:pPr>
      <w:r>
        <w:t>Pesquisa de campo</w:t>
      </w:r>
    </w:p>
    <w:p w:rsidR="00494EA0" w:rsidRDefault="0037537E">
      <w:pPr>
        <w:spacing w:before="120" w:line="360" w:lineRule="auto"/>
        <w:ind w:firstLine="708"/>
        <w:jc w:val="both"/>
      </w:pPr>
      <w:r>
        <w:t>Para dar conta dos ob</w:t>
      </w:r>
      <w:r>
        <w:t xml:space="preserve">jetivos, foi feito um mapeamento dos movimentos em torno das PANC através de buscas na plataforma </w:t>
      </w:r>
      <w:proofErr w:type="spellStart"/>
      <w:r>
        <w:rPr>
          <w:i/>
        </w:rPr>
        <w:t>Instagram</w:t>
      </w:r>
      <w:proofErr w:type="spellEnd"/>
      <w:r>
        <w:t xml:space="preserve">, em outubro de 2022, usando as </w:t>
      </w:r>
      <w:proofErr w:type="spellStart"/>
      <w:r>
        <w:rPr>
          <w:i/>
        </w:rPr>
        <w:t>hashtag</w:t>
      </w:r>
      <w:proofErr w:type="spellEnd"/>
      <w:r>
        <w:t xml:space="preserve"> </w:t>
      </w:r>
      <w:r>
        <w:rPr>
          <w:i/>
        </w:rPr>
        <w:t>#</w:t>
      </w:r>
      <w:proofErr w:type="spellStart"/>
      <w:r>
        <w:rPr>
          <w:i/>
        </w:rPr>
        <w:t>pancs</w:t>
      </w:r>
      <w:proofErr w:type="spellEnd"/>
      <w:r>
        <w:t xml:space="preserve"> (83.485 posts) e </w:t>
      </w:r>
      <w:r>
        <w:rPr>
          <w:i/>
        </w:rPr>
        <w:t>#</w:t>
      </w:r>
      <w:proofErr w:type="spellStart"/>
      <w:r>
        <w:rPr>
          <w:i/>
        </w:rPr>
        <w:t>panc</w:t>
      </w:r>
      <w:proofErr w:type="spellEnd"/>
      <w:r>
        <w:rPr>
          <w:i/>
        </w:rPr>
        <w:t xml:space="preserve"> </w:t>
      </w:r>
      <w:r>
        <w:t>(199.488 posts). Considerando o grande número de resultados, selecionamos os pe</w:t>
      </w:r>
      <w:r>
        <w:t>rfis que possuíam maior engajamento, critério estabelecido a partir do número de seguidores (mínimo de três mil) e das interações (comentários e curtidas recebidas) nas postagens publicadas. Chegamos a um número total de 23 perfis, que compuseram nossa amo</w:t>
      </w:r>
      <w:r>
        <w:t>stra.</w:t>
      </w:r>
    </w:p>
    <w:p w:rsidR="00494EA0" w:rsidRDefault="0037537E" w:rsidP="005256D3">
      <w:pPr>
        <w:spacing w:before="120" w:line="360" w:lineRule="auto"/>
        <w:ind w:firstLine="708"/>
        <w:jc w:val="both"/>
      </w:pPr>
      <w:r>
        <w:t>Em seguida, criamos uma planilha</w:t>
      </w:r>
      <w:r>
        <w:rPr>
          <w:vertAlign w:val="superscript"/>
        </w:rPr>
        <w:footnoteReference w:id="4"/>
      </w:r>
      <w:r>
        <w:t xml:space="preserve"> no </w:t>
      </w:r>
      <w:r>
        <w:rPr>
          <w:i/>
        </w:rPr>
        <w:t>Excel</w:t>
      </w:r>
      <w:r>
        <w:t xml:space="preserve"> e organizamos os 23 perfis, extraindo dados como o nome (da pessoa ou coletivo), número de seguidores, </w:t>
      </w:r>
      <w:r>
        <w:t xml:space="preserve">localização (município e estado) e as categorias descritivas e analíticas, sempre dialogando com a </w:t>
      </w:r>
      <w:r>
        <w:t>literatura utilizada e com os objetivos da pesquisa.</w:t>
      </w:r>
    </w:p>
    <w:p w:rsidR="005256D3" w:rsidRDefault="0037537E" w:rsidP="005256D3">
      <w:pPr>
        <w:spacing w:before="120" w:line="360" w:lineRule="auto"/>
        <w:ind w:firstLine="708"/>
        <w:jc w:val="both"/>
      </w:pPr>
      <w:r>
        <w:lastRenderedPageBreak/>
        <w:t>Visando complementar os dados coletados, foi realizada observação participante durante uma vivência de campo</w:t>
      </w:r>
      <w:r>
        <w:rPr>
          <w:vertAlign w:val="superscript"/>
        </w:rPr>
        <w:footnoteReference w:id="5"/>
      </w:r>
      <w:r>
        <w:t xml:space="preserve"> intitulada “Cogumelos e PANC”, em abril de 2023, organizada por um dos ativistas da nossa amo</w:t>
      </w:r>
      <w:r>
        <w:t>stra, além de uma entrevista semiestruturada em profundidade com o mesmo.</w:t>
      </w:r>
    </w:p>
    <w:p w:rsidR="00DB1E67" w:rsidRDefault="00DB1E67" w:rsidP="005256D3">
      <w:pPr>
        <w:spacing w:before="120" w:line="360" w:lineRule="auto"/>
        <w:ind w:firstLine="708"/>
        <w:jc w:val="both"/>
      </w:pPr>
    </w:p>
    <w:p w:rsidR="005256D3" w:rsidRDefault="0037537E">
      <w:pPr>
        <w:spacing w:before="120" w:line="360" w:lineRule="auto"/>
      </w:pPr>
      <w:r>
        <w:t>Ativismo, empreendedorismo ou educação ambiental?</w:t>
      </w:r>
    </w:p>
    <w:p w:rsidR="00494EA0" w:rsidRDefault="0037537E">
      <w:pPr>
        <w:spacing w:before="120" w:line="360" w:lineRule="auto"/>
        <w:ind w:firstLine="708"/>
        <w:jc w:val="both"/>
      </w:pPr>
      <w:r>
        <w:t>Os dados coletados mostram que os movimentos em torno das PANC mobilizam temas que entrelaçam a alimentação à saúde, agroecologia, s</w:t>
      </w:r>
      <w:r>
        <w:t>ustentabilidade, biodiversidade, aproveitamento integral dos alimentos, pequenos agricultores, cultura alimentar e bem-estar animal (por defenderem a alimentação baseada em plantas).</w:t>
      </w:r>
    </w:p>
    <w:p w:rsidR="00494EA0" w:rsidRDefault="0037537E">
      <w:pPr>
        <w:spacing w:before="120" w:line="360" w:lineRule="auto"/>
        <w:ind w:firstLine="708"/>
        <w:jc w:val="both"/>
      </w:pPr>
      <w:r>
        <w:t>A maioria dos perfis da nossa amostra (quase 80%), independentemente de s</w:t>
      </w:r>
      <w:r>
        <w:t xml:space="preserve">er de pessoas ou de coletivos, possui um espaço de plantio urbano ou rural, onde exercem e divulgam práticas de cultivo de PANC por meio de fotos, vídeos e textos publicados no </w:t>
      </w:r>
      <w:proofErr w:type="spellStart"/>
      <w:r>
        <w:rPr>
          <w:i/>
        </w:rPr>
        <w:t>Instagram</w:t>
      </w:r>
      <w:proofErr w:type="spellEnd"/>
      <w:r>
        <w:t xml:space="preserve">. </w:t>
      </w:r>
    </w:p>
    <w:p w:rsidR="00494EA0" w:rsidRDefault="0037537E">
      <w:pPr>
        <w:spacing w:before="120" w:line="360" w:lineRule="auto"/>
        <w:ind w:firstLine="708"/>
        <w:jc w:val="both"/>
      </w:pPr>
      <w:r>
        <w:t xml:space="preserve">Ao analisar os conteúdos publicados no </w:t>
      </w:r>
      <w:proofErr w:type="spellStart"/>
      <w:r>
        <w:rPr>
          <w:i/>
        </w:rPr>
        <w:t>Instagram</w:t>
      </w:r>
      <w:proofErr w:type="spellEnd"/>
      <w:r>
        <w:t xml:space="preserve"> pelos perfis selecionados, decidimos classificá-los em três categorias quanto à forma de atuação, sendo que cada perfil poderia se encaixar em mais de uma delas.</w:t>
      </w:r>
    </w:p>
    <w:p w:rsidR="00494EA0" w:rsidRDefault="0037537E" w:rsidP="005256D3">
      <w:pPr>
        <w:spacing w:before="120" w:line="360" w:lineRule="auto"/>
        <w:ind w:firstLine="708"/>
        <w:jc w:val="both"/>
      </w:pPr>
      <w:r>
        <w:t xml:space="preserve">A primeira categoria foi denominada por nós de </w:t>
      </w:r>
      <w:r>
        <w:rPr>
          <w:i/>
        </w:rPr>
        <w:t>ativismo stricto sensu</w:t>
      </w:r>
      <w:r>
        <w:t xml:space="preserve">, compreendendo aqueles </w:t>
      </w:r>
      <w:r>
        <w:t xml:space="preserve">ativistas e movimentos que apresentam discursos engajados, com críticas e contestações ao sistema agroalimentar hegemônico, aos mercados e/ou às indústrias alimentícias, buscando, ainda, divulgar estratégias de mitigação </w:t>
      </w:r>
      <w:proofErr w:type="gramStart"/>
      <w:r>
        <w:t>da insegurança alimentar</w:t>
      </w:r>
      <w:proofErr w:type="gramEnd"/>
      <w:r>
        <w:t xml:space="preserve"> e nutricio</w:t>
      </w:r>
      <w:r>
        <w:t xml:space="preserve">nal e da ameaça à biodiversidade, </w:t>
      </w:r>
      <w:r>
        <w:t xml:space="preserve">bem como produzir mudanças sociais, sejam locais, regionais ou globais, tal como o conceito de ativismo alimentar tem sido definido na literatura </w:t>
      </w:r>
      <w:r>
        <w:lastRenderedPageBreak/>
        <w:t>consultada (</w:t>
      </w:r>
      <w:proofErr w:type="spellStart"/>
      <w:r>
        <w:t>Counihan</w:t>
      </w:r>
      <w:proofErr w:type="spellEnd"/>
      <w:r>
        <w:t xml:space="preserve">; </w:t>
      </w:r>
      <w:proofErr w:type="spellStart"/>
      <w:r>
        <w:t>Siniscalchi</w:t>
      </w:r>
      <w:proofErr w:type="spellEnd"/>
      <w:r>
        <w:t>, 2014; Tanaka; Portilho, 2019; Portil</w:t>
      </w:r>
      <w:r>
        <w:t>ho, 2020; Schubert; Portilho, 2023). 21 dos perfis selecionados (</w:t>
      </w:r>
      <w:proofErr w:type="gramStart"/>
      <w:r>
        <w:t>cerca de 91</w:t>
      </w:r>
      <w:proofErr w:type="gramEnd"/>
      <w:r>
        <w:t xml:space="preserve"> %), se enquadram nesta categoria.</w:t>
      </w:r>
    </w:p>
    <w:p w:rsidR="00494EA0" w:rsidRDefault="0037537E">
      <w:pPr>
        <w:spacing w:before="120" w:line="360" w:lineRule="auto"/>
        <w:ind w:firstLine="708"/>
        <w:jc w:val="both"/>
      </w:pPr>
      <w:r>
        <w:t xml:space="preserve">A segunda categoria foi denominada de </w:t>
      </w:r>
      <w:r>
        <w:rPr>
          <w:i/>
        </w:rPr>
        <w:t>ativismo voltado para a educação ambiental e divulgação</w:t>
      </w:r>
      <w:r>
        <w:t xml:space="preserve">. Os perfis categorizados desta forma são engajados </w:t>
      </w:r>
      <w:r>
        <w:t xml:space="preserve">na divulgação das PANC e na educação ambiental, seja através do debate sociopolítico acerca do sistema agroindustrial e suas implicações ambientais e sociais, seja por meio da botânica e da </w:t>
      </w:r>
      <w:proofErr w:type="spellStart"/>
      <w:r>
        <w:t>etnobotânica</w:t>
      </w:r>
      <w:proofErr w:type="spellEnd"/>
      <w:r>
        <w:t>, com conteúdos que se propõem a ensinar a identificaç</w:t>
      </w:r>
      <w:r>
        <w:t>ão de plantas, coleta, cultivo e preparos culinários. Todos os 23 perfis selecionados se enquadram nesta categoria.</w:t>
      </w:r>
    </w:p>
    <w:p w:rsidR="00494EA0" w:rsidRDefault="0037537E">
      <w:pPr>
        <w:spacing w:before="120" w:line="360" w:lineRule="auto"/>
        <w:ind w:firstLine="708"/>
        <w:jc w:val="both"/>
      </w:pPr>
      <w:r>
        <w:t xml:space="preserve">A terceira categoria refere-se ao que denominamos de </w:t>
      </w:r>
      <w:r>
        <w:rPr>
          <w:i/>
        </w:rPr>
        <w:t>ativismo empreendedor</w:t>
      </w:r>
      <w:r>
        <w:t>, englobando perfis que envolvem algum tipo de monetização por mei</w:t>
      </w:r>
      <w:r>
        <w:t>o de diferentes tipos de trabalho: consultoria de plantio, paisagismo e identificação de plantas; oferta de cursos, oficinas, vivências e livros; produção e comercialização de PANC. 15 dos perfis selecionados (65%) se enquadram nesta categoria.</w:t>
      </w:r>
    </w:p>
    <w:p w:rsidR="00DB1E67" w:rsidRDefault="00DB1E67">
      <w:pPr>
        <w:spacing w:before="120" w:line="360" w:lineRule="auto"/>
        <w:ind w:firstLine="708"/>
        <w:jc w:val="both"/>
      </w:pPr>
    </w:p>
    <w:p w:rsidR="00494EA0" w:rsidRDefault="0037537E">
      <w:pPr>
        <w:spacing w:before="120" w:line="360" w:lineRule="auto"/>
      </w:pPr>
      <w:r>
        <w:t xml:space="preserve">Consumo político – Coletar, plantar, comprar e </w:t>
      </w:r>
      <w:proofErr w:type="gramStart"/>
      <w:r>
        <w:t>cozinhar</w:t>
      </w:r>
      <w:proofErr w:type="gramEnd"/>
    </w:p>
    <w:p w:rsidR="00494EA0" w:rsidRDefault="0037537E">
      <w:pPr>
        <w:spacing w:before="120" w:line="360" w:lineRule="auto"/>
        <w:ind w:firstLine="708"/>
        <w:jc w:val="both"/>
      </w:pPr>
      <w:r>
        <w:t>Partindo do pressuposto de que praticamente a totalidade dos perfis selecionados para esta pesquisa busca divulgar as PANC e seus usos, incentivando seu consumo, seja através da compra, da coleta ou d</w:t>
      </w:r>
      <w:r>
        <w:t>o cultivo, além da necessária culinária que se segue, o consumo político aparece como uma das estratégias centrais desses ativistas e coletivos, o que nos levou a separar este tema para uma análise mais detida.</w:t>
      </w:r>
    </w:p>
    <w:p w:rsidR="00494EA0" w:rsidRDefault="0037537E" w:rsidP="005256D3">
      <w:pPr>
        <w:spacing w:before="120" w:line="360" w:lineRule="auto"/>
        <w:ind w:firstLine="708"/>
        <w:jc w:val="both"/>
      </w:pPr>
      <w:r>
        <w:t>Subdividimos a categoria "consumo político" e</w:t>
      </w:r>
      <w:r>
        <w:t xml:space="preserve">m quatro colunas da planilha para dar conta das quatro formas de ação descritas por </w:t>
      </w:r>
      <w:proofErr w:type="spellStart"/>
      <w:r>
        <w:t>Boström</w:t>
      </w:r>
      <w:proofErr w:type="spellEnd"/>
      <w:r>
        <w:t xml:space="preserve">, Micheletti e </w:t>
      </w:r>
      <w:proofErr w:type="spellStart"/>
      <w:r>
        <w:t>Oosterveer</w:t>
      </w:r>
      <w:proofErr w:type="spellEnd"/>
      <w:r>
        <w:t xml:space="preserve"> (2018): boicote, </w:t>
      </w:r>
      <w:proofErr w:type="spellStart"/>
      <w:r>
        <w:rPr>
          <w:i/>
        </w:rPr>
        <w:t>buycott</w:t>
      </w:r>
      <w:proofErr w:type="spellEnd"/>
      <w:r>
        <w:t xml:space="preserve">, ações comunicativas e políticas de estilo de vida. Dos 23 perfis selecionados, 52% deles utilizam e propõem </w:t>
      </w:r>
      <w:r>
        <w:t xml:space="preserve">boicotes. </w:t>
      </w:r>
      <w:proofErr w:type="gramStart"/>
      <w:r>
        <w:t>Cerca de 87</w:t>
      </w:r>
      <w:proofErr w:type="gramEnd"/>
      <w:r>
        <w:t xml:space="preserve">% dos perfis lançam mão de ações comunicativas e todos estimulam o </w:t>
      </w:r>
      <w:proofErr w:type="spellStart"/>
      <w:r>
        <w:rPr>
          <w:i/>
        </w:rPr>
        <w:t>buycott</w:t>
      </w:r>
      <w:proofErr w:type="spellEnd"/>
      <w:r>
        <w:t>, ou seja, o consumo de PANC. Quanto às políticas de estilo de vida, observamos que para os movimentos em torno das PANC esta é uma estratégia fundamental, sendo</w:t>
      </w:r>
      <w:r>
        <w:t xml:space="preserve"> subdividida em três categorias: plantar, coletar e cozinhar. Para </w:t>
      </w:r>
      <w:r>
        <w:lastRenderedPageBreak/>
        <w:t xml:space="preserve">que essas plantas não convencionais sejam difundidas e utilizadas, faz-se necessário o saber-fazer relacionado à identificação e coleta, ao cultivo e, posteriormente, à sua incorporação na </w:t>
      </w:r>
      <w:r>
        <w:t>culinária. Todos os 23 perfis selecionados empregam e incentivam tais práticas e estilo de vida, além de divulgarem receitas, modos de preparo e benefícios das PANC para a saúde.</w:t>
      </w:r>
    </w:p>
    <w:p w:rsidR="00494EA0" w:rsidRDefault="0037537E">
      <w:pPr>
        <w:spacing w:before="120" w:line="360" w:lineRule="auto"/>
        <w:ind w:firstLine="708"/>
        <w:jc w:val="both"/>
      </w:pPr>
      <w:r>
        <w:t>Vale ressaltar, ademais, que a prática de coletar, entendida no contexto dest</w:t>
      </w:r>
      <w:r>
        <w:t xml:space="preserve">a pesquisa como a identificação e a coleta de plantas </w:t>
      </w:r>
      <w:proofErr w:type="gramStart"/>
      <w:r>
        <w:t>não-convencionais</w:t>
      </w:r>
      <w:proofErr w:type="gramEnd"/>
      <w:r>
        <w:t xml:space="preserve"> que crescem de maneira espontânea, fora dos cultivos agrícolas, aparece com frequência, embora não tanto quanto as práticas de plantar e cozinhar. A coleta de plantas, segundo os perfi</w:t>
      </w:r>
      <w:r>
        <w:t xml:space="preserve">s analisados, pode acontecer em jardins, </w:t>
      </w:r>
      <w:proofErr w:type="gramStart"/>
      <w:r>
        <w:t>quintais, terrenos baldios, canteiros públicos e frestas de muros e calçadas, seja</w:t>
      </w:r>
      <w:proofErr w:type="gramEnd"/>
      <w:r>
        <w:t xml:space="preserve"> na zona rural ou urbana. Apesar de mencionarem alguns riscos inerentes à coleta dessas plantas, como a contaminação biológica (fezes</w:t>
      </w:r>
      <w:r>
        <w:t xml:space="preserve"> ou urina de animais) ou química (poluição do ar, do solo ou do lençol freático), essa prática é estimulada por muitos desses movimentos como um meio de conquista de autonomia e de reconexão com a natureza, mesmo em grandes cidades. O incentivo à coleta ac</w:t>
      </w:r>
      <w:r>
        <w:t>ontece, geralmente, através de vídeos, cursos e oficinas.</w:t>
      </w:r>
    </w:p>
    <w:p w:rsidR="00494EA0" w:rsidRDefault="0037537E" w:rsidP="005256D3">
      <w:pPr>
        <w:spacing w:before="120" w:line="360" w:lineRule="auto"/>
        <w:ind w:firstLine="708"/>
        <w:jc w:val="both"/>
      </w:pPr>
      <w:r>
        <w:t>Dos 23 perfis selecionados, apenas cinco (</w:t>
      </w:r>
      <w:proofErr w:type="gramStart"/>
      <w:r>
        <w:t>cerca de 21</w:t>
      </w:r>
      <w:proofErr w:type="gramEnd"/>
      <w:r>
        <w:t>%) não incentivam a coleta. Parte da explicação pode estar no fato de que estes perfis cultivam e comercializam PANC (in natura ou em produtos pr</w:t>
      </w:r>
      <w:r>
        <w:t xml:space="preserve">ocessados, como bolos, temperos e geleias), o que faz com que a prática da coleta não seja incentivada, e sim a compra de PANC cultivada por eles.   </w:t>
      </w:r>
    </w:p>
    <w:p w:rsidR="00DB1E67" w:rsidRDefault="00DB1E67" w:rsidP="005256D3">
      <w:pPr>
        <w:spacing w:before="120" w:line="360" w:lineRule="auto"/>
        <w:ind w:firstLine="708"/>
        <w:jc w:val="both"/>
      </w:pPr>
    </w:p>
    <w:p w:rsidR="00494EA0" w:rsidRDefault="0037537E">
      <w:pPr>
        <w:spacing w:before="120" w:line="360" w:lineRule="auto"/>
      </w:pPr>
      <w:r>
        <w:t xml:space="preserve">O termo PANC e o dilema da </w:t>
      </w:r>
      <w:proofErr w:type="spellStart"/>
      <w:r>
        <w:t>convencionalidade</w:t>
      </w:r>
      <w:proofErr w:type="spellEnd"/>
    </w:p>
    <w:p w:rsidR="00494EA0" w:rsidRDefault="0037537E">
      <w:pPr>
        <w:spacing w:before="120" w:line="360" w:lineRule="auto"/>
        <w:ind w:firstLine="708"/>
        <w:jc w:val="both"/>
      </w:pPr>
      <w:r>
        <w:t xml:space="preserve">O termo PANC, bastante popularizado após a publicação, em </w:t>
      </w:r>
      <w:r>
        <w:t xml:space="preserve">2014, do livro de </w:t>
      </w:r>
      <w:proofErr w:type="spellStart"/>
      <w:r>
        <w:t>Valdely</w:t>
      </w:r>
      <w:proofErr w:type="spellEnd"/>
      <w:r>
        <w:t xml:space="preserve"> </w:t>
      </w:r>
      <w:proofErr w:type="spellStart"/>
      <w:r>
        <w:t>Kinupp</w:t>
      </w:r>
      <w:proofErr w:type="spellEnd"/>
      <w:r>
        <w:t xml:space="preserve"> e de </w:t>
      </w:r>
      <w:proofErr w:type="spellStart"/>
      <w:r>
        <w:t>Harri</w:t>
      </w:r>
      <w:proofErr w:type="spellEnd"/>
      <w:r>
        <w:t xml:space="preserve"> </w:t>
      </w:r>
      <w:proofErr w:type="spellStart"/>
      <w:r>
        <w:t>Lorenzi</w:t>
      </w:r>
      <w:proofErr w:type="spellEnd"/>
      <w:r>
        <w:t xml:space="preserve">, gera curiosidades, além de diversos debates e controvérsias. O </w:t>
      </w:r>
      <w:proofErr w:type="spellStart"/>
      <w:r>
        <w:t>etnobotânico</w:t>
      </w:r>
      <w:proofErr w:type="spellEnd"/>
      <w:r>
        <w:t xml:space="preserve"> Jorge </w:t>
      </w:r>
      <w:proofErr w:type="spellStart"/>
      <w:r>
        <w:t>Forager</w:t>
      </w:r>
      <w:proofErr w:type="spellEnd"/>
      <w:r>
        <w:t>, em entrevista realizada para esta pesquisa, afirma:</w:t>
      </w:r>
    </w:p>
    <w:p w:rsidR="00494EA0" w:rsidRDefault="0037537E">
      <w:pPr>
        <w:spacing w:before="120" w:line="360" w:lineRule="auto"/>
        <w:ind w:left="2268"/>
        <w:jc w:val="both"/>
      </w:pPr>
      <w:r>
        <w:rPr>
          <w:i/>
        </w:rPr>
        <w:t xml:space="preserve">Metade de mim ama </w:t>
      </w:r>
      <w:r>
        <w:t>[o termo PANC]</w:t>
      </w:r>
      <w:r>
        <w:rPr>
          <w:i/>
        </w:rPr>
        <w:t xml:space="preserve">, metade de mim pensa... </w:t>
      </w:r>
      <w:proofErr w:type="gramStart"/>
      <w:r>
        <w:rPr>
          <w:i/>
        </w:rPr>
        <w:t>vej</w:t>
      </w:r>
      <w:r>
        <w:rPr>
          <w:i/>
        </w:rPr>
        <w:t>a</w:t>
      </w:r>
      <w:proofErr w:type="gramEnd"/>
      <w:r>
        <w:rPr>
          <w:i/>
        </w:rPr>
        <w:t xml:space="preserve"> bem, essa é uma discussão que vai ficar por muito tempo. Inclusive eu </w:t>
      </w:r>
      <w:r>
        <w:rPr>
          <w:i/>
        </w:rPr>
        <w:lastRenderedPageBreak/>
        <w:t xml:space="preserve">sou muito amigo do </w:t>
      </w:r>
      <w:proofErr w:type="spellStart"/>
      <w:r>
        <w:rPr>
          <w:i/>
        </w:rPr>
        <w:t>Valdely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Kinupp</w:t>
      </w:r>
      <w:proofErr w:type="spellEnd"/>
      <w:r>
        <w:rPr>
          <w:i/>
        </w:rPr>
        <w:t xml:space="preserve">, </w:t>
      </w:r>
      <w:proofErr w:type="gramStart"/>
      <w:r>
        <w:rPr>
          <w:i/>
        </w:rPr>
        <w:t>adoro ele</w:t>
      </w:r>
      <w:proofErr w:type="gramEnd"/>
      <w:r>
        <w:rPr>
          <w:i/>
        </w:rPr>
        <w:t xml:space="preserve">, respeito </w:t>
      </w:r>
      <w:proofErr w:type="spellStart"/>
      <w:r>
        <w:rPr>
          <w:i/>
        </w:rPr>
        <w:t>super</w:t>
      </w:r>
      <w:proofErr w:type="spellEnd"/>
      <w:r>
        <w:rPr>
          <w:i/>
        </w:rPr>
        <w:t xml:space="preserve"> o conhecimento, a gente tem uma relação de amizade, de trocar informação o tempo inteiro... </w:t>
      </w:r>
      <w:proofErr w:type="gramStart"/>
      <w:r>
        <w:rPr>
          <w:i/>
        </w:rPr>
        <w:t>e</w:t>
      </w:r>
      <w:proofErr w:type="gramEnd"/>
      <w:r>
        <w:rPr>
          <w:i/>
        </w:rPr>
        <w:t xml:space="preserve"> ele mesmo explica no livro, e</w:t>
      </w:r>
      <w:r>
        <w:rPr>
          <w:i/>
        </w:rPr>
        <w:t xml:space="preserve"> explica pra mim, quando a gente tá conversando, que era necessário criar isso, uma nomenclatura acadêmica para dar conta desse tema.</w:t>
      </w:r>
      <w:r>
        <w:t xml:space="preserve"> (Jorge </w:t>
      </w:r>
      <w:proofErr w:type="spellStart"/>
      <w:r>
        <w:t>Forager</w:t>
      </w:r>
      <w:proofErr w:type="spellEnd"/>
      <w:r>
        <w:t>, em entrevista concedida para esta pesquisa em abril de 2023</w:t>
      </w:r>
      <w:proofErr w:type="gramStart"/>
      <w:r>
        <w:t>)</w:t>
      </w:r>
      <w:proofErr w:type="gramEnd"/>
    </w:p>
    <w:p w:rsidR="00494EA0" w:rsidRDefault="0037537E">
      <w:pPr>
        <w:spacing w:before="120" w:line="360" w:lineRule="auto"/>
        <w:ind w:firstLine="708"/>
        <w:jc w:val="both"/>
      </w:pPr>
      <w:r>
        <w:t>Assim como Jorge, muitas pessoas engajadas no</w:t>
      </w:r>
      <w:r>
        <w:t>s movimentos em torno das PANC acreditam que o termo ajudou a popularizar e a resgatar o consumo destas plantas, mas, ainda assim, as categorias “convencional” e “não convencional” geram ambiguidades, desconfortos e críticas entre os ativistas. Guilherme R</w:t>
      </w:r>
      <w:r>
        <w:t xml:space="preserve">anieri, autor do </w:t>
      </w:r>
      <w:r>
        <w:rPr>
          <w:i/>
        </w:rPr>
        <w:t xml:space="preserve">Guia de Identificação "Matos de Comer" </w:t>
      </w:r>
      <w:r>
        <w:t>(Ranieri, 2017), acredita que o atributo “não convencional” não tem tanto a ver com as pessoas que consomem, mas sim com o nosso saber-fazer em relação a essas plantas. Ranieri também menciona o termo</w:t>
      </w:r>
      <w:r>
        <w:t xml:space="preserve"> "hortaliças tradicionais", como forma de lembrar que muitas dessas plantas têm seu uso consagrado por populações tradicionais.</w:t>
      </w:r>
    </w:p>
    <w:p w:rsidR="00494EA0" w:rsidRDefault="0037537E" w:rsidP="005256D3">
      <w:pPr>
        <w:spacing w:before="120" w:line="360" w:lineRule="auto"/>
        <w:ind w:firstLine="708"/>
        <w:jc w:val="both"/>
      </w:pPr>
      <w:r>
        <w:t>Apesar da novidade e do curto tempo de existência do termo PANC, muitos ativistas da nossa amostra destacam experiências do pass</w:t>
      </w:r>
      <w:r>
        <w:t xml:space="preserve">ado com mães e avós, </w:t>
      </w:r>
      <w:r>
        <w:t xml:space="preserve">ressaltando o caráter de resgate destas plantas. Em fala no </w:t>
      </w:r>
      <w:proofErr w:type="gramStart"/>
      <w:r>
        <w:t>Sesc</w:t>
      </w:r>
      <w:proofErr w:type="gramEnd"/>
      <w:r>
        <w:t xml:space="preserve"> Jundiaí/SP, Guilherme Ranieri, do perfil </w:t>
      </w:r>
      <w:r>
        <w:rPr>
          <w:i/>
        </w:rPr>
        <w:t>Matos de Comer</w:t>
      </w:r>
      <w:r>
        <w:t>, afirma:</w:t>
      </w:r>
    </w:p>
    <w:p w:rsidR="00494EA0" w:rsidRDefault="0037537E">
      <w:pPr>
        <w:spacing w:before="120" w:line="360" w:lineRule="auto"/>
        <w:ind w:left="2268"/>
        <w:jc w:val="both"/>
        <w:rPr>
          <w:i/>
        </w:rPr>
      </w:pPr>
      <w:r>
        <w:rPr>
          <w:i/>
        </w:rPr>
        <w:t>É importante frisar, também, que a gente não está trazendo nenhuma novidade, são alimentos que os povos</w:t>
      </w:r>
      <w:r>
        <w:t xml:space="preserve"> </w:t>
      </w:r>
      <w:r>
        <w:rPr>
          <w:i/>
        </w:rPr>
        <w:t xml:space="preserve">indígenas já consumiam ou ainda </w:t>
      </w:r>
      <w:proofErr w:type="gramStart"/>
      <w:r>
        <w:rPr>
          <w:i/>
        </w:rPr>
        <w:t>consomem,</w:t>
      </w:r>
      <w:proofErr w:type="gramEnd"/>
      <w:r>
        <w:rPr>
          <w:i/>
        </w:rPr>
        <w:t xml:space="preserve"> alimentos usados em outras partes do mundo.</w:t>
      </w:r>
    </w:p>
    <w:p w:rsidR="00494EA0" w:rsidRDefault="0037537E">
      <w:pPr>
        <w:spacing w:before="120" w:line="360" w:lineRule="auto"/>
        <w:ind w:left="2268"/>
        <w:jc w:val="both"/>
      </w:pPr>
      <w:r>
        <w:t>(</w:t>
      </w:r>
      <w:hyperlink r:id="rId8">
        <w:r>
          <w:rPr>
            <w:u w:val="single"/>
          </w:rPr>
          <w:t>ht</w:t>
        </w:r>
        <w:r>
          <w:rPr>
            <w:u w:val="single"/>
          </w:rPr>
          <w:t>tps://www.youtube.com/watch?v=_ALl3yIJSR0</w:t>
        </w:r>
      </w:hyperlink>
      <w:r>
        <w:t>. Acesso em 06/07/2023</w:t>
      </w:r>
      <w:proofErr w:type="gramStart"/>
      <w:r>
        <w:t>)</w:t>
      </w:r>
      <w:proofErr w:type="gramEnd"/>
    </w:p>
    <w:p w:rsidR="00494EA0" w:rsidRDefault="0037537E">
      <w:pPr>
        <w:spacing w:before="120" w:line="360" w:lineRule="auto"/>
        <w:ind w:firstLine="708"/>
        <w:jc w:val="both"/>
      </w:pPr>
      <w:r>
        <w:t xml:space="preserve">O termo PANC, ainda que tenha se popularizado nos últimos anos, tem sido acompanhado de críticas. Para muitos ativistas, especialmente aqueles ligados à </w:t>
      </w:r>
      <w:proofErr w:type="gramStart"/>
      <w:r>
        <w:t>gastronomia afro-</w:t>
      </w:r>
      <w:proofErr w:type="spellStart"/>
      <w:r>
        <w:t>diaspórica</w:t>
      </w:r>
      <w:proofErr w:type="spellEnd"/>
      <w:proofErr w:type="gramEnd"/>
      <w:r>
        <w:t xml:space="preserve"> e a perspe</w:t>
      </w:r>
      <w:r>
        <w:t xml:space="preserve">ctivas </w:t>
      </w:r>
      <w:proofErr w:type="spellStart"/>
      <w:r>
        <w:t>decoloniais</w:t>
      </w:r>
      <w:proofErr w:type="spellEnd"/>
      <w:r>
        <w:t xml:space="preserve">, o termo peca por não fazer referência aos detentores de saberes e práticas tradicionais de uso de tais plantas. Pouco a pouco, alguns </w:t>
      </w:r>
      <w:r>
        <w:lastRenderedPageBreak/>
        <w:t xml:space="preserve">destes ativistas (e também alguns pesquisadores) começaram a adotar outros termos, como, por exemplo, </w:t>
      </w:r>
      <w:r>
        <w:t>"plantas alimentícias não colonizadas" referindo-se aos vegetais africanos ou nativos das Américas, tradicionalmente utilizados pelas populações indígenas e negras. Tais plantas fazem parte de um repertório ancestral de conhecimento e de saber-fazer que, p</w:t>
      </w:r>
      <w:r>
        <w:t>or isso, narram sabedorias indígenas, africanas e afro-</w:t>
      </w:r>
      <w:proofErr w:type="spellStart"/>
      <w:r>
        <w:t>diaspóricas</w:t>
      </w:r>
      <w:proofErr w:type="spellEnd"/>
      <w:r>
        <w:t xml:space="preserve"> presentes em aldeias, quintais, roças, favelas, quilombos e terreiros.</w:t>
      </w:r>
    </w:p>
    <w:p w:rsidR="00DB1E67" w:rsidRDefault="00DB1E67">
      <w:pPr>
        <w:spacing w:before="120" w:line="360" w:lineRule="auto"/>
        <w:ind w:firstLine="708"/>
        <w:jc w:val="both"/>
      </w:pPr>
    </w:p>
    <w:p w:rsidR="00494EA0" w:rsidRDefault="0037537E">
      <w:pPr>
        <w:spacing w:before="120" w:line="360" w:lineRule="auto"/>
      </w:pPr>
      <w:r>
        <w:t>Acesso e comercialização das PANC</w:t>
      </w:r>
    </w:p>
    <w:p w:rsidR="00494EA0" w:rsidRDefault="0037537E" w:rsidP="005256D3">
      <w:pPr>
        <w:spacing w:before="120" w:line="360" w:lineRule="auto"/>
        <w:ind w:firstLine="708"/>
        <w:jc w:val="both"/>
      </w:pPr>
      <w:r>
        <w:t xml:space="preserve">Para o ativista Jorge </w:t>
      </w:r>
      <w:proofErr w:type="spellStart"/>
      <w:r>
        <w:t>Forager</w:t>
      </w:r>
      <w:proofErr w:type="spellEnd"/>
      <w:r>
        <w:t>, a comercialização das PANC deveria ser feita por meio</w:t>
      </w:r>
      <w:r>
        <w:t xml:space="preserve"> de diferentes canais, tanto convencionais quanto alternativos, desde que não se perca de vista o caráter de fresco, regional e sazonal de cada PANC. Jorge enfatiza o caráter ativista do seu trabalho, destacando a importância de pensar e agir com base na j</w:t>
      </w:r>
      <w:r>
        <w:t>ustiça social e ambiental e na viabilidade econômica, independentemente do canal e do tipo de comercialização. Trata-se, para ele, de divulgar essas plantas sem desvinculá-las da sua origem, do seu território, dos seus</w:t>
      </w:r>
      <w:r w:rsidR="005256D3">
        <w:t xml:space="preserve"> </w:t>
      </w:r>
      <w:r>
        <w:t xml:space="preserve">usos por populações tradicionais </w:t>
      </w:r>
      <w:r>
        <w:t>e das consequências ambientais e sociais da sua produção e/ou extração em grande escala. Para ele, podemos consumir a juçara</w:t>
      </w:r>
      <w:r>
        <w:rPr>
          <w:vertAlign w:val="superscript"/>
        </w:rPr>
        <w:footnoteReference w:id="6"/>
      </w:r>
      <w:r>
        <w:t xml:space="preserve"> preparada pela indústria e vendida em supermercados, mas é importante que as pessoas também a encontrem fresca e in natura. É impo</w:t>
      </w:r>
      <w:r>
        <w:t>rtante, ainda, garantir o acesso das populações que a cultivam e a preservam em seus territórios.</w:t>
      </w:r>
    </w:p>
    <w:p w:rsidR="00494EA0" w:rsidRDefault="0037537E">
      <w:pPr>
        <w:spacing w:before="120" w:line="360" w:lineRule="auto"/>
        <w:ind w:firstLine="708"/>
        <w:jc w:val="both"/>
      </w:pPr>
      <w:r>
        <w:t>Todos os ativistas pesquisados louvam a diversidade alimentar no prato e buscam fomentar a existência de tal diversidade também nos supermercados e canais con</w:t>
      </w:r>
      <w:r>
        <w:t>vencionais de comercialização de alimentos. Além disso, enfatizam a necessidade de aproveitamento integral dos alimentos, visto que muitas partes não convencionais de vegetais são comumente rejeitadas por consumidores, mercados, feiras e restaurantes. Este</w:t>
      </w:r>
      <w:r>
        <w:t xml:space="preserve"> é o caso, por exemplo, da rama da cenoura, da casca da banana e de folhas, como as da batata doce, dos brócolis e da beterraba.</w:t>
      </w:r>
    </w:p>
    <w:p w:rsidR="00494EA0" w:rsidRDefault="0037537E">
      <w:pPr>
        <w:spacing w:before="120" w:line="360" w:lineRule="auto"/>
        <w:ind w:firstLine="708"/>
        <w:jc w:val="both"/>
      </w:pPr>
      <w:r>
        <w:lastRenderedPageBreak/>
        <w:t xml:space="preserve">Segundo </w:t>
      </w:r>
      <w:proofErr w:type="spellStart"/>
      <w:r>
        <w:t>Valdely</w:t>
      </w:r>
      <w:proofErr w:type="spellEnd"/>
      <w:r>
        <w:t xml:space="preserve"> </w:t>
      </w:r>
      <w:proofErr w:type="spellStart"/>
      <w:r>
        <w:t>Kinupp</w:t>
      </w:r>
      <w:proofErr w:type="spellEnd"/>
      <w:r>
        <w:t xml:space="preserve"> e </w:t>
      </w:r>
      <w:proofErr w:type="spellStart"/>
      <w:r>
        <w:t>Harri</w:t>
      </w:r>
      <w:proofErr w:type="spellEnd"/>
      <w:r>
        <w:t xml:space="preserve"> </w:t>
      </w:r>
      <w:proofErr w:type="spellStart"/>
      <w:r>
        <w:t>Lorenzi</w:t>
      </w:r>
      <w:proofErr w:type="spellEnd"/>
      <w:r>
        <w:t xml:space="preserve">, seu trabalho é divulgar essas plantas </w:t>
      </w:r>
      <w:proofErr w:type="gramStart"/>
      <w:r w:rsidR="005256D3">
        <w:t>para</w:t>
      </w:r>
      <w:proofErr w:type="gramEnd"/>
    </w:p>
    <w:p w:rsidR="00494EA0" w:rsidRDefault="005256D3">
      <w:pPr>
        <w:spacing w:before="120" w:line="360" w:lineRule="auto"/>
        <w:ind w:left="2268"/>
        <w:jc w:val="both"/>
      </w:pPr>
      <w:r>
        <w:rPr>
          <w:i/>
        </w:rPr>
        <w:t>Que</w:t>
      </w:r>
      <w:r w:rsidR="0037537E">
        <w:rPr>
          <w:i/>
        </w:rPr>
        <w:t xml:space="preserve"> passem para o público em geral, que pode</w:t>
      </w:r>
      <w:r w:rsidR="0037537E">
        <w:rPr>
          <w:i/>
        </w:rPr>
        <w:t xml:space="preserve">rá colhê-las no seu quintal, sítio, matas ou comprá-las nas feiras, mercados e, preferencialmente, encontrá-las incorporadas aos pratos dos cardápios dos restaurantes, desde os básicos do dia a dia até os restaurantes </w:t>
      </w:r>
      <w:proofErr w:type="spellStart"/>
      <w:r w:rsidR="0037537E">
        <w:rPr>
          <w:i/>
        </w:rPr>
        <w:t>glamourosos</w:t>
      </w:r>
      <w:proofErr w:type="spellEnd"/>
      <w:r w:rsidR="0037537E">
        <w:rPr>
          <w:i/>
        </w:rPr>
        <w:t>.</w:t>
      </w:r>
      <w:r w:rsidR="0037537E">
        <w:t xml:space="preserve"> (</w:t>
      </w:r>
      <w:proofErr w:type="spellStart"/>
      <w:r w:rsidR="0037537E">
        <w:t>Kinupp</w:t>
      </w:r>
      <w:proofErr w:type="spellEnd"/>
      <w:r w:rsidR="0037537E">
        <w:t xml:space="preserve">; </w:t>
      </w:r>
      <w:proofErr w:type="spellStart"/>
      <w:r w:rsidR="0037537E">
        <w:t>Lorenzi</w:t>
      </w:r>
      <w:proofErr w:type="spellEnd"/>
      <w:r w:rsidR="0037537E">
        <w:t>, 2014, p</w:t>
      </w:r>
      <w:r w:rsidR="0037537E">
        <w:t>. 25)</w:t>
      </w:r>
    </w:p>
    <w:p w:rsidR="00DB1E67" w:rsidRDefault="0037537E" w:rsidP="00DB1E67">
      <w:pPr>
        <w:spacing w:before="120" w:line="360" w:lineRule="auto"/>
        <w:ind w:firstLine="708"/>
        <w:jc w:val="both"/>
      </w:pPr>
      <w:r>
        <w:t>Em outras palavras, para os ativistas aqui pesquisados é importante que as PANC sejam incorporadas tanto pelos canais de comercialização convencionais quanto pelos canais alternativos, e também que sejam acessíveis tanto para os segmentos populares q</w:t>
      </w:r>
      <w:r>
        <w:t>uanto para os elitizados. Defendem, contudo, que o acesso às PANC não seja exclusivamente pela compra (</w:t>
      </w:r>
      <w:proofErr w:type="spellStart"/>
      <w:r>
        <w:t>Menasche</w:t>
      </w:r>
      <w:proofErr w:type="spellEnd"/>
      <w:r>
        <w:t xml:space="preserve">; Ribeiro, 2018), mas </w:t>
      </w:r>
      <w:r w:rsidRPr="005256D3">
        <w:t>também pela coleta de plantas espontâneas e pelo cultivo local e doméstico. Por</w:t>
      </w:r>
      <w:r w:rsidRPr="005256D3">
        <w:rPr>
          <w:color w:val="181717"/>
        </w:rPr>
        <w:t xml:space="preserve"> </w:t>
      </w:r>
      <w:r w:rsidRPr="005256D3">
        <w:t>isso, o</w:t>
      </w:r>
      <w:r>
        <w:t xml:space="preserve"> estímulo às práticas de coletar e cultivar está presente em muitos dos discursos e </w:t>
      </w:r>
      <w:proofErr w:type="gramStart"/>
      <w:r>
        <w:t xml:space="preserve">propostas dos movimentos </w:t>
      </w:r>
      <w:r>
        <w:t>em torno das PANC</w:t>
      </w:r>
      <w:r w:rsidR="00DB1E67">
        <w:t xml:space="preserve"> no Brasil</w:t>
      </w:r>
      <w:r>
        <w:t>, como vimos</w:t>
      </w:r>
      <w:proofErr w:type="gramEnd"/>
      <w:r w:rsidR="00DB1E67">
        <w:t xml:space="preserve"> anteriormente</w:t>
      </w:r>
      <w:r>
        <w:t>.</w:t>
      </w:r>
    </w:p>
    <w:p w:rsidR="00DB1E67" w:rsidRDefault="00DB1E67" w:rsidP="00DB1E67">
      <w:pPr>
        <w:spacing w:before="120" w:line="360" w:lineRule="auto"/>
        <w:ind w:firstLine="708"/>
        <w:jc w:val="both"/>
      </w:pPr>
    </w:p>
    <w:p w:rsidR="00494EA0" w:rsidRDefault="0037537E">
      <w:pPr>
        <w:spacing w:before="120" w:line="360" w:lineRule="auto"/>
      </w:pPr>
      <w:r>
        <w:t xml:space="preserve">Debates em torno das PANC – Sustentabilidade, soberania e segurança </w:t>
      </w:r>
      <w:proofErr w:type="gramStart"/>
      <w:r>
        <w:t>alimentar</w:t>
      </w:r>
      <w:proofErr w:type="gramEnd"/>
    </w:p>
    <w:p w:rsidR="00494EA0" w:rsidRDefault="0037537E">
      <w:pPr>
        <w:spacing w:before="120" w:line="360" w:lineRule="auto"/>
        <w:ind w:firstLine="708"/>
        <w:jc w:val="both"/>
      </w:pPr>
      <w:proofErr w:type="spellStart"/>
      <w:r>
        <w:t>Valdely</w:t>
      </w:r>
      <w:proofErr w:type="spellEnd"/>
      <w:r>
        <w:t xml:space="preserve"> </w:t>
      </w:r>
      <w:proofErr w:type="spellStart"/>
      <w:r>
        <w:t>Kinupp</w:t>
      </w:r>
      <w:proofErr w:type="spellEnd"/>
      <w:r>
        <w:t xml:space="preserve">, um </w:t>
      </w:r>
      <w:r>
        <w:t>dos criadores e principais difusores do termo PANC, defende o consumo dessas plantas como uma forma de assegurar a segurança alimentar e nutricional da população, e também de garantir a soberania brasileira em relação a seus recursos genéticos vegetais, da</w:t>
      </w:r>
      <w:r>
        <w:t xml:space="preserve">da a </w:t>
      </w:r>
      <w:proofErr w:type="spellStart"/>
      <w:r>
        <w:t>fitodiversidade</w:t>
      </w:r>
      <w:proofErr w:type="spellEnd"/>
      <w:r>
        <w:t xml:space="preserve"> disponível no território.</w:t>
      </w:r>
    </w:p>
    <w:p w:rsidR="00494EA0" w:rsidRDefault="0037537E">
      <w:pPr>
        <w:spacing w:before="120" w:line="360" w:lineRule="auto"/>
        <w:ind w:firstLine="708"/>
        <w:jc w:val="both"/>
      </w:pPr>
      <w:proofErr w:type="gramStart"/>
      <w:r>
        <w:t xml:space="preserve">O coletivo </w:t>
      </w:r>
      <w:r>
        <w:rPr>
          <w:i/>
        </w:rPr>
        <w:t>Favela</w:t>
      </w:r>
      <w:proofErr w:type="gramEnd"/>
      <w:r>
        <w:rPr>
          <w:i/>
        </w:rPr>
        <w:t xml:space="preserve"> Orgânica</w:t>
      </w:r>
      <w:r>
        <w:t xml:space="preserve"> e a nutricionista Irany </w:t>
      </w:r>
      <w:proofErr w:type="spellStart"/>
      <w:r>
        <w:t>Arteche</w:t>
      </w:r>
      <w:proofErr w:type="spellEnd"/>
      <w:r>
        <w:t xml:space="preserve"> levantam o debate sobre desperdício quando falam de PANC, defendendo que os consumidores devem buscar autonomia para criar, inovar e experimentar essa</w:t>
      </w:r>
      <w:r>
        <w:t xml:space="preserve"> diversidade, sem esperar que venham da </w:t>
      </w:r>
      <w:r>
        <w:lastRenderedPageBreak/>
        <w:t>indústria ou da gastronomia. Irany afirma que é preciso enxergar o alimento onde ele existe e vive, e não só no mercado</w:t>
      </w:r>
      <w:r>
        <w:rPr>
          <w:vertAlign w:val="superscript"/>
        </w:rPr>
        <w:footnoteReference w:id="7"/>
      </w:r>
      <w:r>
        <w:t>.</w:t>
      </w:r>
    </w:p>
    <w:p w:rsidR="00494EA0" w:rsidRDefault="0037537E" w:rsidP="00DB1E67">
      <w:pPr>
        <w:spacing w:before="120" w:line="360" w:lineRule="auto"/>
        <w:ind w:firstLine="708"/>
        <w:jc w:val="both"/>
      </w:pPr>
      <w:r>
        <w:t>Podemos observar, através da análise das publicações, discursos e atuação dos ativistas e movi</w:t>
      </w:r>
      <w:r>
        <w:t xml:space="preserve">mentos em torno das PANC integrantes da nossa amostra, que o </w:t>
      </w:r>
      <w:r>
        <w:t>debate sobre Soberania e Segurança Alimentar e Nutricional, bem como o debate ambiental, climático e em defesa da biodiversidade, são quase sempre acionados quando se aborda as PANC.</w:t>
      </w:r>
    </w:p>
    <w:p w:rsidR="00DB1E67" w:rsidRDefault="00DB1E67" w:rsidP="00DB1E67">
      <w:pPr>
        <w:spacing w:before="120" w:line="360" w:lineRule="auto"/>
        <w:ind w:firstLine="708"/>
        <w:jc w:val="both"/>
      </w:pPr>
    </w:p>
    <w:p w:rsidR="00494EA0" w:rsidRDefault="0037537E">
      <w:pPr>
        <w:spacing w:before="120" w:line="360" w:lineRule="auto"/>
        <w:rPr>
          <w:b/>
        </w:rPr>
      </w:pPr>
      <w:r>
        <w:t xml:space="preserve"> Uma tipologia dos movimentos em torno das PANC</w:t>
      </w:r>
    </w:p>
    <w:p w:rsidR="00494EA0" w:rsidRDefault="0037537E" w:rsidP="005256D3">
      <w:pPr>
        <w:spacing w:before="120" w:line="360" w:lineRule="auto"/>
        <w:ind w:firstLine="708"/>
        <w:jc w:val="both"/>
      </w:pPr>
      <w:r>
        <w:t xml:space="preserve">A partir dos dados coletados, seja no </w:t>
      </w:r>
      <w:proofErr w:type="spellStart"/>
      <w:r>
        <w:rPr>
          <w:i/>
        </w:rPr>
        <w:t>Instagram</w:t>
      </w:r>
      <w:proofErr w:type="spellEnd"/>
      <w:r>
        <w:t xml:space="preserve">, seja em </w:t>
      </w:r>
      <w:proofErr w:type="spellStart"/>
      <w:r>
        <w:rPr>
          <w:i/>
        </w:rPr>
        <w:t>podcasts</w:t>
      </w:r>
      <w:proofErr w:type="spellEnd"/>
      <w:r>
        <w:t xml:space="preserve">, vídeos e </w:t>
      </w:r>
      <w:proofErr w:type="spellStart"/>
      <w:r>
        <w:rPr>
          <w:i/>
        </w:rPr>
        <w:t>lives</w:t>
      </w:r>
      <w:proofErr w:type="spellEnd"/>
      <w:r>
        <w:t xml:space="preserve">, além da vivência de campo e da entrevista com Jorge </w:t>
      </w:r>
      <w:proofErr w:type="spellStart"/>
      <w:r>
        <w:t>Forager</w:t>
      </w:r>
      <w:proofErr w:type="spellEnd"/>
      <w:r>
        <w:t>, propomos uma tipologia dos movimentos em torno das PANC.</w:t>
      </w:r>
    </w:p>
    <w:p w:rsidR="00494EA0" w:rsidRDefault="0037537E">
      <w:pPr>
        <w:spacing w:before="120" w:line="360" w:lineRule="auto"/>
        <w:ind w:firstLine="708"/>
        <w:jc w:val="both"/>
      </w:pPr>
      <w:r>
        <w:t xml:space="preserve">O </w:t>
      </w:r>
      <w:r>
        <w:t>primeiro tipo pode ser caracterizado por ativistas e movimentos que privilegiam questões estéticas relacionadas ao universo das PANC, ainda que</w:t>
      </w:r>
      <w:r>
        <w:rPr>
          <w:b/>
          <w:color w:val="181717"/>
        </w:rPr>
        <w:t xml:space="preserve"> </w:t>
      </w:r>
      <w:r>
        <w:t xml:space="preserve">questões éticas </w:t>
      </w:r>
      <w:proofErr w:type="gramStart"/>
      <w:r>
        <w:t>também</w:t>
      </w:r>
      <w:proofErr w:type="gramEnd"/>
      <w:r>
        <w:t xml:space="preserve"> </w:t>
      </w:r>
      <w:proofErr w:type="gramStart"/>
      <w:r>
        <w:t>estejam</w:t>
      </w:r>
      <w:proofErr w:type="gramEnd"/>
      <w:r>
        <w:t xml:space="preserve"> presentes (Barbosa, 2016; Portilho, 2020). Em geral, promovem o consumo de PANC n</w:t>
      </w:r>
      <w:r>
        <w:t xml:space="preserve">ão apenas por razões ambientais e nutricionais, mas principalmente pelo caráter de novidade, iguaria e sabor. Este tipo é composto majoritariamente por gastrônomos (profissionais ou amadores), nutricionistas e horticultores. Seus perfis no </w:t>
      </w:r>
      <w:proofErr w:type="spellStart"/>
      <w:r>
        <w:rPr>
          <w:i/>
        </w:rPr>
        <w:t>Instagram</w:t>
      </w:r>
      <w:proofErr w:type="spellEnd"/>
      <w:r>
        <w:t xml:space="preserve"> são re</w:t>
      </w:r>
      <w:r>
        <w:t xml:space="preserve">pletos de fotografias que destacam e valorizam pratos bonitos e coloridos, que são, simultaneamente, saborosos e saudáveis, preparados com PANC. Os movimentos deste primeiro tipo, em geral, defendem a </w:t>
      </w:r>
      <w:proofErr w:type="spellStart"/>
      <w:r>
        <w:t>convencionalização</w:t>
      </w:r>
      <w:proofErr w:type="spellEnd"/>
      <w:r>
        <w:t xml:space="preserve"> das PANC, ou seja, a expansão da sua</w:t>
      </w:r>
      <w:r>
        <w:t xml:space="preserve"> comercialização em mercados convencionais, e não apenas nos mercados alternativos, além da produção de produtos processados à base de PANC. Em outras palavras, defendem a </w:t>
      </w:r>
      <w:proofErr w:type="spellStart"/>
      <w:r>
        <w:t>convencionalização</w:t>
      </w:r>
      <w:proofErr w:type="spellEnd"/>
      <w:r>
        <w:t xml:space="preserve"> sem, contudo, perder o caráter de novidade.</w:t>
      </w:r>
    </w:p>
    <w:p w:rsidR="00494EA0" w:rsidRDefault="0037537E">
      <w:pPr>
        <w:spacing w:before="120" w:line="360" w:lineRule="auto"/>
        <w:ind w:firstLine="708"/>
        <w:jc w:val="both"/>
      </w:pPr>
      <w:r>
        <w:t>O segundo tipo é comp</w:t>
      </w:r>
      <w:r>
        <w:t xml:space="preserve">osto por ativistas e movimentos que parecem mais fortemente vinculados a questões éticas, apesar de também utilizarem estratégias, discursos e práticas que </w:t>
      </w:r>
      <w:r>
        <w:lastRenderedPageBreak/>
        <w:t>tangem questões estéticas. Em geral, propõem discussões aprofundadas em torno de temas como soberani</w:t>
      </w:r>
      <w:r>
        <w:t>a e segurança alimentar e nutricional, desperdício, preservação da biodiversidade, compostagem, agricultura urbana e a monotonia do sistema agroalimentar hegemônico. Tendem a atuar por meio da educação ambiental, propondo práticas de plantio, coleta e cocç</w:t>
      </w:r>
      <w:r>
        <w:t xml:space="preserve">ão, e costumam se vincular aos movimentos de agroecologia. Privilegiam o acesso às PANC por meio de circuitos alternativos, como feiras agroecológicas e </w:t>
      </w:r>
      <w:proofErr w:type="spellStart"/>
      <w:r>
        <w:rPr>
          <w:i/>
        </w:rPr>
        <w:t>Community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Supported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Agriculture</w:t>
      </w:r>
      <w:proofErr w:type="spellEnd"/>
      <w:r>
        <w:t xml:space="preserve"> (CSA), a fim de fortalecer os produtores e as cadeias curtas de comerci</w:t>
      </w:r>
      <w:r>
        <w:t xml:space="preserve">alização, consideradas mais sustentáveis e socialmente justas. Este segundo tipo é composto, principalmente, por educadores ambientais, pesquisadores acadêmicos, paisagistas, ativistas </w:t>
      </w:r>
      <w:r>
        <w:rPr>
          <w:i/>
        </w:rPr>
        <w:t>stricto sensu</w:t>
      </w:r>
      <w:r>
        <w:t xml:space="preserve"> e pequenos agricultores. </w:t>
      </w:r>
    </w:p>
    <w:p w:rsidR="00494EA0" w:rsidRDefault="0037537E" w:rsidP="005256D3">
      <w:pPr>
        <w:spacing w:before="120" w:line="360" w:lineRule="auto"/>
        <w:ind w:firstLine="708"/>
        <w:jc w:val="both"/>
      </w:pPr>
      <w:r>
        <w:t>O terceiro tipo se caracter</w:t>
      </w:r>
      <w:r>
        <w:t>iza pela postura crítica ou oposição direta ao acrônimo PANC. São movimentos frequentemente associados a perspectivas</w:t>
      </w:r>
      <w:r>
        <w:rPr>
          <w:b/>
          <w:color w:val="181717"/>
        </w:rPr>
        <w:t xml:space="preserve"> </w:t>
      </w:r>
      <w:r>
        <w:t xml:space="preserve">alimentares </w:t>
      </w:r>
      <w:proofErr w:type="spellStart"/>
      <w:r>
        <w:t>afroindígenas</w:t>
      </w:r>
      <w:proofErr w:type="spellEnd"/>
      <w:r>
        <w:t>, carregando em seus discursos e práticas uma preocupação em valorizar os saberes e fazeres tradicionais. A críti</w:t>
      </w:r>
      <w:r>
        <w:t xml:space="preserve">ca ao termo PANC torna-se uma maneira de evidenciar o chamado racismo epistêmico e o apagamento das populações tradicionais, indígenas, negras e periféricas que, em geral, não são vistos como sujeitos da História nem como detentores de </w:t>
      </w:r>
      <w:proofErr w:type="gramStart"/>
      <w:r>
        <w:t xml:space="preserve">saberes legítimos e </w:t>
      </w:r>
      <w:r>
        <w:t>científicos</w:t>
      </w:r>
      <w:proofErr w:type="gramEnd"/>
      <w:r>
        <w:t xml:space="preserve">. Este tipo de movimento carrega, em seus discursos, uma oposição ao </w:t>
      </w:r>
      <w:proofErr w:type="spellStart"/>
      <w:r>
        <w:t>epistemicídio</w:t>
      </w:r>
      <w:proofErr w:type="spellEnd"/>
      <w:r>
        <w:t xml:space="preserve"> (Santos e Meneses, 2009), ou seja, a negação ou o apagamento de conhecimentos produzidos fora do universo acadêmico, especialmente do Norte Global. Tais movimento</w:t>
      </w:r>
      <w:r>
        <w:t xml:space="preserve">s estão fortemente ligados a um ativismo alimentar que mantém relação com as pautas antirracistas e </w:t>
      </w:r>
      <w:proofErr w:type="spellStart"/>
      <w:r>
        <w:t>decoloniais</w:t>
      </w:r>
      <w:proofErr w:type="spellEnd"/>
      <w:r>
        <w:t>, buscando, nas práticas de plantar, coletar, cozinhar e comer, uma relação de resgate, valorização e vínculo ancestral e espiritual com as plant</w:t>
      </w:r>
      <w:r>
        <w:t xml:space="preserve">as e com a comida. Esta postura implica na valorização de um modo de vida compatível com as cosmologias indígenas e africanas em diáspora. Além do plantio e da coleta, este terceiro tipo defende a comercialização das PANC, com este ou outros nomes, apenas </w:t>
      </w:r>
      <w:r>
        <w:t xml:space="preserve">através de canais alternativos, locais e acessíveis. Ademais, associa as PANC à segurança alimentar e nutricional, enfatizando a qualidade e o sabor dos alimentos. Este grupo é composto por diferentes ativistas e pesquisadores vinculados à </w:t>
      </w:r>
      <w:proofErr w:type="spellStart"/>
      <w:r>
        <w:t>etnogastronomia</w:t>
      </w:r>
      <w:proofErr w:type="spellEnd"/>
      <w:r>
        <w:t>.</w:t>
      </w:r>
    </w:p>
    <w:p w:rsidR="00494EA0" w:rsidRDefault="00494EA0">
      <w:pPr>
        <w:spacing w:line="360" w:lineRule="auto"/>
        <w:jc w:val="both"/>
      </w:pPr>
    </w:p>
    <w:p w:rsidR="00DB1E67" w:rsidRDefault="00DB1E67">
      <w:pPr>
        <w:spacing w:line="360" w:lineRule="auto"/>
        <w:jc w:val="both"/>
      </w:pPr>
    </w:p>
    <w:p w:rsidR="00DB1E67" w:rsidRDefault="00DB1E67">
      <w:pPr>
        <w:spacing w:line="360" w:lineRule="auto"/>
        <w:jc w:val="both"/>
      </w:pPr>
    </w:p>
    <w:p w:rsidR="00494EA0" w:rsidRDefault="0037537E">
      <w:pPr>
        <w:spacing w:line="360" w:lineRule="auto"/>
        <w:jc w:val="both"/>
      </w:pPr>
      <w:r>
        <w:t xml:space="preserve">CONSIDERAÇÕES FINAIS </w:t>
      </w:r>
    </w:p>
    <w:p w:rsidR="00494EA0" w:rsidRDefault="0037537E" w:rsidP="005256D3">
      <w:pPr>
        <w:spacing w:before="120" w:line="360" w:lineRule="auto"/>
        <w:ind w:firstLine="708"/>
        <w:jc w:val="both"/>
      </w:pPr>
      <w:r>
        <w:t>A partir da análise dos dados coletados, mostramos que existe uma heterogeneidade de ativistas e movimentos em torno das PANC, tanto em relação aos tipos de atores envolvidos quanto às formas de atuação, aos objetivos e às estratégi</w:t>
      </w:r>
      <w:r>
        <w:t xml:space="preserve">as. Embora haja muitos interesses em comum, estes movimentos possuem divergências e se envolvem em controvérsias quanto ao termo PANC, quanto a </w:t>
      </w:r>
      <w:r>
        <w:t>tornar estas plantas convencionais e quanto às formas ideais de acessá-las. Isto, no entanto, não impede qu</w:t>
      </w:r>
      <w:r>
        <w:t>e, através de suas ações em torno das PANC, contribuam para importantes debates contemporâneos, como</w:t>
      </w:r>
      <w:r w:rsidR="00DB1E67">
        <w:t xml:space="preserve"> cultura alimentar,</w:t>
      </w:r>
      <w:r>
        <w:t xml:space="preserve"> </w:t>
      </w:r>
      <w:proofErr w:type="spellStart"/>
      <w:r>
        <w:t>decolonialidade</w:t>
      </w:r>
      <w:proofErr w:type="spellEnd"/>
      <w:r>
        <w:t>, mudanças climáticas, biodiversidade, justiça social, soberania e segurança alimentar e nutricional</w:t>
      </w:r>
      <w:r w:rsidR="00DB1E67">
        <w:t xml:space="preserve">, </w:t>
      </w:r>
      <w:proofErr w:type="spellStart"/>
      <w:r w:rsidR="00DB1E67">
        <w:t>sociobiodiversidade</w:t>
      </w:r>
      <w:proofErr w:type="spellEnd"/>
      <w:r w:rsidR="00DB1E67">
        <w:t>, etc</w:t>
      </w:r>
      <w:r>
        <w:t xml:space="preserve">. </w:t>
      </w:r>
    </w:p>
    <w:p w:rsidR="00494EA0" w:rsidRDefault="00DB1E67">
      <w:pPr>
        <w:spacing w:line="360" w:lineRule="auto"/>
        <w:jc w:val="both"/>
      </w:pPr>
      <w:r>
        <w:tab/>
      </w:r>
      <w:r>
        <w:t>A pesquisa aqui descrita está longe de esgotar as questões sobre os ativismos e movimentos em torno das Plantas Alimentícias não Convencionais, caracterizando-se melhor como uma exploração inicial do tema, que merece ser aprofundado em outros trabalhos. Por isso, não nos parece possível apresentar conclusões</w:t>
      </w:r>
      <w:r w:rsidR="003A4230">
        <w:t xml:space="preserve"> e tipologias</w:t>
      </w:r>
      <w:r>
        <w:t xml:space="preserve"> categóricas sobre estes movimentos, até porque são recentes e estão em plena efervescência, com novas questões sendo levantadas cotidianamente. Esperamos, no entanto, que este trabalho e as questões aqui problematizadas possam contribuir para os estudos sobre os movimentos e ativismos alimentares em geral e, particularmente, para aqueles que se organizam em torno das PANC.</w:t>
      </w:r>
    </w:p>
    <w:p w:rsidR="005256D3" w:rsidRDefault="005256D3">
      <w:pPr>
        <w:spacing w:line="360" w:lineRule="auto"/>
        <w:jc w:val="both"/>
      </w:pPr>
    </w:p>
    <w:p w:rsidR="005256D3" w:rsidRDefault="005256D3">
      <w:pPr>
        <w:spacing w:line="360" w:lineRule="auto"/>
        <w:jc w:val="both"/>
      </w:pPr>
    </w:p>
    <w:p w:rsidR="005256D3" w:rsidRDefault="005256D3">
      <w:pPr>
        <w:spacing w:line="360" w:lineRule="auto"/>
        <w:jc w:val="both"/>
      </w:pPr>
    </w:p>
    <w:p w:rsidR="005256D3" w:rsidRDefault="005256D3">
      <w:pPr>
        <w:spacing w:line="360" w:lineRule="auto"/>
        <w:jc w:val="both"/>
      </w:pPr>
    </w:p>
    <w:p w:rsidR="00DB1E67" w:rsidRDefault="00DB1E67">
      <w:pPr>
        <w:spacing w:line="360" w:lineRule="auto"/>
        <w:jc w:val="both"/>
      </w:pPr>
    </w:p>
    <w:p w:rsidR="00DB1E67" w:rsidRDefault="00DB1E67">
      <w:pPr>
        <w:spacing w:line="360" w:lineRule="auto"/>
        <w:jc w:val="both"/>
      </w:pPr>
    </w:p>
    <w:p w:rsidR="00DB1E67" w:rsidRDefault="00DB1E67">
      <w:pPr>
        <w:spacing w:line="360" w:lineRule="auto"/>
        <w:jc w:val="both"/>
      </w:pPr>
    </w:p>
    <w:p w:rsidR="00DB1E67" w:rsidRDefault="00DB1E67">
      <w:pPr>
        <w:spacing w:line="360" w:lineRule="auto"/>
        <w:jc w:val="both"/>
      </w:pPr>
    </w:p>
    <w:p w:rsidR="00DB1E67" w:rsidRDefault="00DB1E67">
      <w:pPr>
        <w:spacing w:line="360" w:lineRule="auto"/>
        <w:jc w:val="both"/>
      </w:pPr>
    </w:p>
    <w:p w:rsidR="00DB1E67" w:rsidRDefault="00DB1E67">
      <w:pPr>
        <w:spacing w:line="360" w:lineRule="auto"/>
        <w:jc w:val="both"/>
      </w:pPr>
    </w:p>
    <w:p w:rsidR="005256D3" w:rsidRDefault="005256D3">
      <w:pPr>
        <w:spacing w:line="360" w:lineRule="auto"/>
        <w:jc w:val="both"/>
      </w:pPr>
    </w:p>
    <w:p w:rsidR="00494EA0" w:rsidRDefault="0037537E">
      <w:pPr>
        <w:spacing w:line="360" w:lineRule="auto"/>
        <w:ind w:hanging="2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REFERÊNCIAS</w:t>
      </w:r>
    </w:p>
    <w:p w:rsidR="003A4230" w:rsidRDefault="003A4230">
      <w:pPr>
        <w:spacing w:line="360" w:lineRule="auto"/>
        <w:ind w:hanging="2"/>
        <w:jc w:val="both"/>
        <w:rPr>
          <w:color w:val="000000"/>
          <w:highlight w:val="white"/>
        </w:rPr>
      </w:pPr>
    </w:p>
    <w:p w:rsidR="00494EA0" w:rsidRDefault="0037537E">
      <w:pPr>
        <w:spacing w:before="120" w:after="120" w:line="360" w:lineRule="auto"/>
        <w:jc w:val="both"/>
      </w:pPr>
      <w:bookmarkStart w:id="1" w:name="_heading=h.dg90b5yx4mr6" w:colFirst="0" w:colLast="0"/>
      <w:bookmarkEnd w:id="1"/>
      <w:r>
        <w:t xml:space="preserve">BARBOSA, L. (2016): A ética e estética na Alimentação contemporânea. In: CRUZ, F.; MATTE, A.; SCHNEIDER, S. (Eds.). </w:t>
      </w:r>
      <w:r>
        <w:rPr>
          <w:i/>
        </w:rPr>
        <w:t>Produção, consumo e abastecimento de alimentos: Desafios e novas estratégias</w:t>
      </w:r>
      <w:r>
        <w:t>. Editora da UFRGS, Porto Alegre, p. 95-123.</w:t>
      </w:r>
    </w:p>
    <w:p w:rsidR="00494EA0" w:rsidRDefault="0037537E">
      <w:pPr>
        <w:spacing w:before="120" w:after="120" w:line="360" w:lineRule="auto"/>
        <w:jc w:val="both"/>
      </w:pPr>
      <w:r>
        <w:t>BOSTROM, M.; MICHEL</w:t>
      </w:r>
      <w:r>
        <w:t xml:space="preserve">ETTI, M.; OOSTERVEER, P. (2018): </w:t>
      </w:r>
      <w:proofErr w:type="spellStart"/>
      <w:r>
        <w:t>Introduction</w:t>
      </w:r>
      <w:proofErr w:type="spellEnd"/>
      <w:r>
        <w:t xml:space="preserve"> – </w:t>
      </w:r>
      <w:proofErr w:type="spellStart"/>
      <w:r>
        <w:t>Studying</w:t>
      </w:r>
      <w:proofErr w:type="spellEnd"/>
      <w:r>
        <w:t xml:space="preserve"> </w:t>
      </w:r>
      <w:proofErr w:type="spellStart"/>
      <w:r>
        <w:t>Political</w:t>
      </w:r>
      <w:proofErr w:type="spellEnd"/>
      <w:r>
        <w:t xml:space="preserve"> </w:t>
      </w:r>
      <w:proofErr w:type="spellStart"/>
      <w:r>
        <w:t>Consumerism</w:t>
      </w:r>
      <w:proofErr w:type="spellEnd"/>
      <w:r>
        <w:t xml:space="preserve">. In: </w:t>
      </w:r>
      <w:proofErr w:type="spellStart"/>
      <w:r>
        <w:t>Bostrom</w:t>
      </w:r>
      <w:proofErr w:type="spellEnd"/>
      <w:r>
        <w:t xml:space="preserve">, M.; Micheletti, M.; </w:t>
      </w:r>
      <w:proofErr w:type="spellStart"/>
      <w:r>
        <w:t>Oosterveer</w:t>
      </w:r>
      <w:proofErr w:type="spellEnd"/>
      <w:r>
        <w:t xml:space="preserve">, P. (Eds.). </w:t>
      </w:r>
      <w:r>
        <w:rPr>
          <w:i/>
        </w:rPr>
        <w:t xml:space="preserve">The Oxford </w:t>
      </w:r>
      <w:proofErr w:type="spellStart"/>
      <w:r>
        <w:rPr>
          <w:i/>
        </w:rPr>
        <w:t>Handbook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Political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Consumerism</w:t>
      </w:r>
      <w:proofErr w:type="spellEnd"/>
      <w:r>
        <w:t xml:space="preserve">. Oxford </w:t>
      </w:r>
      <w:proofErr w:type="spellStart"/>
      <w:r>
        <w:t>University</w:t>
      </w:r>
      <w:proofErr w:type="spellEnd"/>
      <w:r>
        <w:t xml:space="preserve"> Press, Oxford, p. 27-45.</w:t>
      </w:r>
    </w:p>
    <w:p w:rsidR="00494EA0" w:rsidRPr="00DB1E67" w:rsidRDefault="0037537E">
      <w:pPr>
        <w:spacing w:before="120" w:after="120" w:line="360" w:lineRule="auto"/>
        <w:jc w:val="both"/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tag w:val="goog_rdk_0"/>
          <w:id w:val="2074999910"/>
        </w:sdtPr>
        <w:sdtEndPr/>
        <w:sdtContent>
          <w:r w:rsidRPr="00DB1E67">
            <w:rPr>
              <w:rFonts w:asciiTheme="minorHAnsi" w:eastAsia="Arial" w:hAnsiTheme="minorHAnsi" w:cs="Arial"/>
            </w:rPr>
            <w:t>BOTELHO, P. (2010): O segredo d</w:t>
          </w:r>
          <w:r w:rsidRPr="00DB1E67">
            <w:rPr>
              <w:rFonts w:asciiTheme="minorHAnsi" w:eastAsia="Arial" w:hAnsiTheme="minorHAnsi" w:cs="Arial"/>
            </w:rPr>
            <w:t xml:space="preserve">as folhas e os rituais de cura na </w:t>
          </w:r>
          <w:proofErr w:type="spellStart"/>
          <w:r w:rsidRPr="00DB1E67">
            <w:rPr>
              <w:rFonts w:asciiTheme="minorHAnsi" w:eastAsia="Arial" w:hAnsiTheme="minorHAnsi" w:cs="Arial"/>
            </w:rPr>
            <w:t>tradiçã</w:t>
          </w:r>
          <w:proofErr w:type="gramStart"/>
          <w:r w:rsidRPr="00DB1E67">
            <w:rPr>
              <w:rFonts w:asciiTheme="minorHAnsi" w:eastAsia="Arial" w:hAnsiTheme="minorHAnsi" w:cs="Arial"/>
            </w:rPr>
            <w:t>o</w:t>
          </w:r>
          <w:proofErr w:type="spellEnd"/>
          <w:r w:rsidRPr="00DB1E67">
            <w:rPr>
              <w:rFonts w:asciiTheme="minorHAnsi" w:eastAsia="Arial" w:hAnsiTheme="minorHAnsi" w:cs="Arial"/>
            </w:rPr>
            <w:t xml:space="preserve"> afro-brasileira</w:t>
          </w:r>
          <w:proofErr w:type="gramEnd"/>
          <w:r w:rsidRPr="00DB1E67">
            <w:rPr>
              <w:rFonts w:asciiTheme="minorHAnsi" w:eastAsia="Arial" w:hAnsiTheme="minorHAnsi" w:cs="Arial"/>
            </w:rPr>
            <w:t xml:space="preserve">. </w:t>
          </w:r>
        </w:sdtContent>
      </w:sdt>
      <w:proofErr w:type="spellStart"/>
      <w:r w:rsidRPr="00DB1E67">
        <w:rPr>
          <w:rFonts w:asciiTheme="minorHAnsi" w:hAnsiTheme="minorHAnsi"/>
          <w:color w:val="242424"/>
        </w:rPr>
        <w:t>Proceedings</w:t>
      </w:r>
      <w:proofErr w:type="spellEnd"/>
      <w:r w:rsidRPr="00DB1E67">
        <w:rPr>
          <w:rFonts w:asciiTheme="minorHAnsi" w:hAnsiTheme="minorHAnsi"/>
          <w:color w:val="242424"/>
        </w:rPr>
        <w:t xml:space="preserve"> </w:t>
      </w:r>
      <w:proofErr w:type="spellStart"/>
      <w:r w:rsidRPr="00DB1E67">
        <w:rPr>
          <w:rFonts w:asciiTheme="minorHAnsi" w:hAnsiTheme="minorHAnsi"/>
          <w:color w:val="242424"/>
        </w:rPr>
        <w:t>of</w:t>
      </w:r>
      <w:proofErr w:type="spellEnd"/>
      <w:r w:rsidRPr="00DB1E67">
        <w:rPr>
          <w:rFonts w:asciiTheme="minorHAnsi" w:hAnsiTheme="minorHAnsi"/>
          <w:color w:val="242424"/>
        </w:rPr>
        <w:t xml:space="preserve"> </w:t>
      </w:r>
      <w:proofErr w:type="spellStart"/>
      <w:r w:rsidRPr="00DB1E67">
        <w:rPr>
          <w:rFonts w:asciiTheme="minorHAnsi" w:hAnsiTheme="minorHAnsi"/>
          <w:color w:val="242424"/>
        </w:rPr>
        <w:t>the</w:t>
      </w:r>
      <w:proofErr w:type="spellEnd"/>
      <w:r w:rsidRPr="00DB1E67">
        <w:rPr>
          <w:rFonts w:asciiTheme="minorHAnsi" w:hAnsiTheme="minorHAnsi"/>
          <w:color w:val="242424"/>
        </w:rPr>
        <w:t xml:space="preserve"> </w:t>
      </w:r>
      <w:r w:rsidRPr="00DB1E67">
        <w:rPr>
          <w:rFonts w:asciiTheme="minorHAnsi" w:hAnsiTheme="minorHAnsi"/>
        </w:rPr>
        <w:t>VI ENECULT, UFBA, Salvador.</w:t>
      </w:r>
    </w:p>
    <w:p w:rsidR="00494EA0" w:rsidRDefault="0037537E">
      <w:pPr>
        <w:spacing w:before="120" w:after="120" w:line="360" w:lineRule="auto"/>
        <w:jc w:val="both"/>
      </w:pPr>
      <w:r>
        <w:t>BRANCANTE, O. Cozinhar é um ato político? O cozinhar doméstico como ativismo alimentar. Seropédica, 2023. 150fl. Dissertação (Mestrado em Ciência</w:t>
      </w:r>
      <w:r>
        <w:t xml:space="preserve">s Sociais). CPDA/UFRRJ. Disponível em </w:t>
      </w:r>
      <w:proofErr w:type="gramStart"/>
      <w:r>
        <w:t>https</w:t>
      </w:r>
      <w:proofErr w:type="gramEnd"/>
      <w:r>
        <w:t>://institucional.ufrrj.br/portalcpda/dissertacoes-mestrado-2023/.</w:t>
      </w:r>
    </w:p>
    <w:p w:rsidR="00494EA0" w:rsidRDefault="0037537E">
      <w:pPr>
        <w:spacing w:before="120" w:after="120" w:line="360" w:lineRule="auto"/>
        <w:jc w:val="both"/>
      </w:pPr>
      <w:r>
        <w:t xml:space="preserve">CONCEIÇÃO, D. </w:t>
      </w:r>
      <w:proofErr w:type="spellStart"/>
      <w:r>
        <w:t>Ogba</w:t>
      </w:r>
      <w:proofErr w:type="spellEnd"/>
      <w:r>
        <w:t xml:space="preserve"> Mimo - Livro das folhas sagradas. Campinas: D7 Editora, 2019.</w:t>
      </w:r>
    </w:p>
    <w:p w:rsidR="00494EA0" w:rsidRDefault="0037537E">
      <w:pPr>
        <w:spacing w:before="120" w:after="120" w:line="360" w:lineRule="auto"/>
        <w:jc w:val="both"/>
      </w:pPr>
      <w:r>
        <w:t xml:space="preserve">COUNIHAN, C.; SINISCALCHI, V. (2014): </w:t>
      </w:r>
      <w:proofErr w:type="spellStart"/>
      <w:r>
        <w:rPr>
          <w:i/>
        </w:rPr>
        <w:t>Food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activism</w:t>
      </w:r>
      <w:proofErr w:type="spellEnd"/>
      <w:r>
        <w:rPr>
          <w:i/>
        </w:rPr>
        <w:t xml:space="preserve">: </w:t>
      </w:r>
      <w:proofErr w:type="spellStart"/>
      <w:r>
        <w:rPr>
          <w:i/>
        </w:rPr>
        <w:t>Agency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democ</w:t>
      </w:r>
      <w:r>
        <w:rPr>
          <w:i/>
        </w:rPr>
        <w:t>racy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economy</w:t>
      </w:r>
      <w:proofErr w:type="spellEnd"/>
      <w:r>
        <w:t xml:space="preserve">. </w:t>
      </w:r>
      <w:proofErr w:type="spellStart"/>
      <w:r>
        <w:t>Bloomsbury</w:t>
      </w:r>
      <w:proofErr w:type="spellEnd"/>
      <w:r>
        <w:t xml:space="preserve"> </w:t>
      </w:r>
      <w:proofErr w:type="spellStart"/>
      <w:r>
        <w:t>Publishing</w:t>
      </w:r>
      <w:proofErr w:type="spellEnd"/>
      <w:r>
        <w:t>, London/New York.</w:t>
      </w:r>
    </w:p>
    <w:p w:rsidR="00494EA0" w:rsidRDefault="0037537E">
      <w:pPr>
        <w:spacing w:before="120" w:after="120" w:line="360" w:lineRule="auto"/>
        <w:jc w:val="both"/>
      </w:pPr>
      <w:r>
        <w:t xml:space="preserve">DÍAZ MÉNDEZ, Cecilia; CRISTOBAL, Gómez Benito (2005): </w:t>
      </w:r>
      <w:proofErr w:type="spellStart"/>
      <w:r>
        <w:rPr>
          <w:i/>
        </w:rPr>
        <w:t>Sociología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Alimentación</w:t>
      </w:r>
      <w:proofErr w:type="spellEnd"/>
      <w:r>
        <w:rPr>
          <w:i/>
        </w:rPr>
        <w:t xml:space="preserve">. Revista Internacional de </w:t>
      </w:r>
      <w:proofErr w:type="spellStart"/>
      <w:r>
        <w:rPr>
          <w:i/>
        </w:rPr>
        <w:t>Sociología</w:t>
      </w:r>
      <w:proofErr w:type="spellEnd"/>
      <w:r w:rsidR="005256D3">
        <w:t>, 40, p. 21-46.</w:t>
      </w:r>
    </w:p>
    <w:p w:rsidR="00494EA0" w:rsidRDefault="0037537E">
      <w:pPr>
        <w:spacing w:before="120" w:after="120" w:line="360" w:lineRule="auto"/>
        <w:jc w:val="both"/>
      </w:pPr>
      <w:r>
        <w:t xml:space="preserve">GOODMAN, </w:t>
      </w:r>
      <w:proofErr w:type="gramStart"/>
      <w:r>
        <w:t>D.</w:t>
      </w:r>
      <w:proofErr w:type="gramEnd"/>
      <w:r>
        <w:t xml:space="preserve">; DUPUIS, E. M. (2002): </w:t>
      </w:r>
      <w:proofErr w:type="spellStart"/>
      <w:r>
        <w:t>Knowing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growing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: </w:t>
      </w:r>
      <w:proofErr w:type="spellStart"/>
      <w:r>
        <w:t>Beyond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>–</w:t>
      </w:r>
      <w:proofErr w:type="spellStart"/>
      <w:r>
        <w:t>consumption</w:t>
      </w:r>
      <w:proofErr w:type="spellEnd"/>
      <w:r>
        <w:t xml:space="preserve"> debate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sociology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agriculture</w:t>
      </w:r>
      <w:proofErr w:type="spellEnd"/>
      <w:r>
        <w:t xml:space="preserve">. In: Sociologia </w:t>
      </w:r>
      <w:proofErr w:type="spellStart"/>
      <w:r>
        <w:t>Ruralis</w:t>
      </w:r>
      <w:proofErr w:type="spellEnd"/>
      <w:r>
        <w:t>, 42(1), 05-22.</w:t>
      </w:r>
    </w:p>
    <w:p w:rsidR="00494EA0" w:rsidRDefault="0037537E">
      <w:pPr>
        <w:spacing w:before="120" w:after="120" w:line="360" w:lineRule="auto"/>
        <w:jc w:val="both"/>
      </w:pPr>
      <w:r>
        <w:t xml:space="preserve">KINUPP, V.; LORENZI, H. (2014): </w:t>
      </w:r>
      <w:r>
        <w:rPr>
          <w:i/>
        </w:rPr>
        <w:t xml:space="preserve">Plantas Alimentícias não Convencionais (PANC) </w:t>
      </w:r>
      <w:r>
        <w:rPr>
          <w:i/>
        </w:rPr>
        <w:t>no Brasil</w:t>
      </w:r>
      <w:r>
        <w:t xml:space="preserve">. Instituto </w:t>
      </w:r>
      <w:proofErr w:type="spellStart"/>
      <w:r>
        <w:t>Plantarum</w:t>
      </w:r>
      <w:proofErr w:type="spellEnd"/>
      <w:r>
        <w:t>, Nova Odessa.</w:t>
      </w:r>
    </w:p>
    <w:p w:rsidR="003A4230" w:rsidRDefault="003A4230">
      <w:pPr>
        <w:spacing w:before="120" w:after="120" w:line="360" w:lineRule="auto"/>
        <w:jc w:val="both"/>
      </w:pPr>
    </w:p>
    <w:p w:rsidR="00494EA0" w:rsidRDefault="0037537E">
      <w:pPr>
        <w:spacing w:before="120" w:after="120" w:line="360" w:lineRule="auto"/>
        <w:jc w:val="both"/>
      </w:pPr>
      <w:r>
        <w:t xml:space="preserve">MENASCHE, R.; RIBEIRO, R. (2018): </w:t>
      </w:r>
      <w:r>
        <w:rPr>
          <w:i/>
        </w:rPr>
        <w:t xml:space="preserve">PANC para quem? Um estudo sobre </w:t>
      </w:r>
      <w:proofErr w:type="spellStart"/>
      <w:r>
        <w:rPr>
          <w:i/>
        </w:rPr>
        <w:t>prsaberes</w:t>
      </w:r>
      <w:proofErr w:type="spellEnd"/>
      <w:r>
        <w:rPr>
          <w:i/>
        </w:rPr>
        <w:t>, envolvendo o consumo de Plantas Alimentícias não Convencionais</w:t>
      </w:r>
      <w:r>
        <w:t>.</w:t>
      </w:r>
      <w:r>
        <w:rPr>
          <w:b/>
        </w:rPr>
        <w:t xml:space="preserve"> </w:t>
      </w:r>
      <w:proofErr w:type="spellStart"/>
      <w:r>
        <w:rPr>
          <w:color w:val="242424"/>
        </w:rPr>
        <w:t>Proceedings</w:t>
      </w:r>
      <w:proofErr w:type="spellEnd"/>
      <w:r>
        <w:rPr>
          <w:color w:val="242424"/>
        </w:rPr>
        <w:t xml:space="preserve"> </w:t>
      </w:r>
      <w:proofErr w:type="spellStart"/>
      <w:r>
        <w:rPr>
          <w:color w:val="242424"/>
        </w:rPr>
        <w:t>of</w:t>
      </w:r>
      <w:proofErr w:type="spellEnd"/>
      <w:r>
        <w:rPr>
          <w:color w:val="242424"/>
        </w:rPr>
        <w:t xml:space="preserve"> </w:t>
      </w:r>
      <w:proofErr w:type="spellStart"/>
      <w:r>
        <w:rPr>
          <w:color w:val="242424"/>
        </w:rPr>
        <w:t>the</w:t>
      </w:r>
      <w:proofErr w:type="spellEnd"/>
      <w:r>
        <w:rPr>
          <w:color w:val="242424"/>
        </w:rPr>
        <w:t xml:space="preserve"> </w:t>
      </w:r>
      <w:r>
        <w:t>31th Reunião Brasileira de Antropologia, Brasília.</w:t>
      </w:r>
    </w:p>
    <w:p w:rsidR="00494EA0" w:rsidRDefault="0037537E">
      <w:pPr>
        <w:spacing w:before="120" w:after="120" w:line="360" w:lineRule="auto"/>
        <w:jc w:val="both"/>
        <w:rPr>
          <w:color w:val="242424"/>
        </w:rPr>
      </w:pPr>
      <w:r>
        <w:t xml:space="preserve">MOTTA, R. (2021): </w:t>
      </w:r>
      <w:proofErr w:type="spellStart"/>
      <w:r>
        <w:t>Food</w:t>
      </w:r>
      <w:proofErr w:type="spellEnd"/>
      <w:r>
        <w:t xml:space="preserve"> for Justice: Power, </w:t>
      </w:r>
      <w:proofErr w:type="spellStart"/>
      <w:r>
        <w:t>Politics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Inequalities</w:t>
      </w:r>
      <w:proofErr w:type="spellEnd"/>
      <w:r>
        <w:t xml:space="preserve"> in a </w:t>
      </w:r>
      <w:proofErr w:type="spellStart"/>
      <w:r>
        <w:t>Bioeconomy</w:t>
      </w:r>
      <w:proofErr w:type="spellEnd"/>
      <w:r>
        <w:t xml:space="preserve">. </w:t>
      </w:r>
      <w:proofErr w:type="spellStart"/>
      <w:r>
        <w:t>Preliminary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Program</w:t>
      </w:r>
      <w:proofErr w:type="spellEnd"/>
      <w:r>
        <w:t xml:space="preserve">. </w:t>
      </w:r>
      <w:r>
        <w:rPr>
          <w:color w:val="242424"/>
        </w:rPr>
        <w:t xml:space="preserve">Heidelberg </w:t>
      </w:r>
      <w:proofErr w:type="spellStart"/>
      <w:r>
        <w:rPr>
          <w:color w:val="242424"/>
        </w:rPr>
        <w:t>Centrum</w:t>
      </w:r>
      <w:proofErr w:type="spellEnd"/>
      <w:r>
        <w:rPr>
          <w:color w:val="242424"/>
        </w:rPr>
        <w:t xml:space="preserve"> </w:t>
      </w:r>
      <w:proofErr w:type="spellStart"/>
      <w:r>
        <w:rPr>
          <w:color w:val="242424"/>
        </w:rPr>
        <w:t>für</w:t>
      </w:r>
      <w:proofErr w:type="spellEnd"/>
      <w:r>
        <w:rPr>
          <w:color w:val="242424"/>
        </w:rPr>
        <w:t xml:space="preserve"> Ibero-</w:t>
      </w:r>
      <w:proofErr w:type="spellStart"/>
      <w:r>
        <w:rPr>
          <w:color w:val="242424"/>
        </w:rPr>
        <w:t>Amerika</w:t>
      </w:r>
      <w:proofErr w:type="spellEnd"/>
      <w:r>
        <w:rPr>
          <w:color w:val="242424"/>
        </w:rPr>
        <w:t xml:space="preserve"> </w:t>
      </w:r>
      <w:proofErr w:type="spellStart"/>
      <w:r>
        <w:rPr>
          <w:color w:val="242424"/>
        </w:rPr>
        <w:t>Studien</w:t>
      </w:r>
      <w:proofErr w:type="spellEnd"/>
      <w:r>
        <w:rPr>
          <w:color w:val="242424"/>
        </w:rPr>
        <w:t xml:space="preserve">, Heidelberg </w:t>
      </w:r>
      <w:proofErr w:type="spellStart"/>
      <w:proofErr w:type="gramStart"/>
      <w:r>
        <w:rPr>
          <w:color w:val="242424"/>
        </w:rPr>
        <w:t>University</w:t>
      </w:r>
      <w:proofErr w:type="spellEnd"/>
      <w:proofErr w:type="gramEnd"/>
    </w:p>
    <w:p w:rsidR="00494EA0" w:rsidRDefault="0037537E">
      <w:pPr>
        <w:spacing w:before="120" w:after="120" w:line="360" w:lineRule="auto"/>
        <w:jc w:val="both"/>
      </w:pPr>
      <w:r>
        <w:t xml:space="preserve">PORTILHO, F. (2020): Ativismo Alimentar e Consumo Político – Duas </w:t>
      </w:r>
      <w:r>
        <w:t>gerações de ativismo alimentar no Brasil.</w:t>
      </w:r>
      <w:r>
        <w:rPr>
          <w:b/>
        </w:rPr>
        <w:t xml:space="preserve"> </w:t>
      </w:r>
      <w:r>
        <w:t>In:</w:t>
      </w:r>
      <w:r>
        <w:rPr>
          <w:b/>
        </w:rPr>
        <w:t xml:space="preserve"> </w:t>
      </w:r>
      <w:r>
        <w:t>Revista Redes, 25(2), 411-432.</w:t>
      </w:r>
    </w:p>
    <w:p w:rsidR="00494EA0" w:rsidRDefault="0037537E">
      <w:pPr>
        <w:spacing w:before="120" w:after="120" w:line="360" w:lineRule="auto"/>
        <w:jc w:val="both"/>
      </w:pPr>
      <w:r>
        <w:t xml:space="preserve">RANIERI, G. (2017): </w:t>
      </w:r>
      <w:r>
        <w:rPr>
          <w:i/>
        </w:rPr>
        <w:t xml:space="preserve">Guia prático sobre </w:t>
      </w:r>
      <w:proofErr w:type="spellStart"/>
      <w:r>
        <w:rPr>
          <w:i/>
        </w:rPr>
        <w:t>PANCs</w:t>
      </w:r>
      <w:proofErr w:type="spellEnd"/>
      <w:r>
        <w:rPr>
          <w:i/>
        </w:rPr>
        <w:t>: plantas alimentícias não convencionais</w:t>
      </w:r>
      <w:r>
        <w:t xml:space="preserve">. Instituto </w:t>
      </w:r>
      <w:proofErr w:type="spellStart"/>
      <w:r>
        <w:t>Kairós</w:t>
      </w:r>
      <w:proofErr w:type="spellEnd"/>
      <w:r>
        <w:t>, São Paulo.</w:t>
      </w:r>
    </w:p>
    <w:p w:rsidR="00494EA0" w:rsidRDefault="0037537E">
      <w:pPr>
        <w:spacing w:before="120" w:after="120" w:line="360" w:lineRule="auto"/>
        <w:jc w:val="both"/>
      </w:pPr>
      <w:r>
        <w:t>SCHUBERT, M. N.; PORTILHO, F. (2023): Ativismo alimentar e consu</w:t>
      </w:r>
      <w:r>
        <w:t xml:space="preserve">mo político alimentar – Uma análise a partir da Teoria das Práticas Sociais. In: Schubert, M. N.; </w:t>
      </w:r>
      <w:proofErr w:type="spellStart"/>
      <w:r>
        <w:t>Tonin</w:t>
      </w:r>
      <w:proofErr w:type="spellEnd"/>
      <w:r>
        <w:t>, J</w:t>
      </w:r>
      <w:proofErr w:type="gramStart"/>
      <w:r>
        <w:t>.;</w:t>
      </w:r>
      <w:proofErr w:type="gramEnd"/>
      <w:r>
        <w:t xml:space="preserve"> Schneider, S. (Eds.). </w:t>
      </w:r>
      <w:r>
        <w:rPr>
          <w:i/>
        </w:rPr>
        <w:t>Desafios e tendências da alimentação contemporânea: consumo, mercados e ação pública</w:t>
      </w:r>
      <w:r>
        <w:t>. Editora da UFRGS, Porto Alegre, p. 19-4</w:t>
      </w:r>
      <w:r>
        <w:t>5.</w:t>
      </w:r>
    </w:p>
    <w:p w:rsidR="00494EA0" w:rsidRDefault="0037537E">
      <w:pPr>
        <w:spacing w:before="120" w:after="120" w:line="360" w:lineRule="auto"/>
        <w:jc w:val="both"/>
      </w:pPr>
      <w:r>
        <w:t xml:space="preserve">SANTOS, B. de S; MENESES, M. (2009): </w:t>
      </w:r>
      <w:r>
        <w:rPr>
          <w:i/>
        </w:rPr>
        <w:t>Epistemologias do sul</w:t>
      </w:r>
      <w:r>
        <w:t>.</w:t>
      </w:r>
      <w:r>
        <w:rPr>
          <w:b/>
        </w:rPr>
        <w:t xml:space="preserve"> </w:t>
      </w:r>
      <w:r>
        <w:t>Almedina, Coimbra.</w:t>
      </w:r>
    </w:p>
    <w:p w:rsidR="00494EA0" w:rsidRDefault="0037537E">
      <w:pPr>
        <w:spacing w:before="120" w:after="120" w:line="360" w:lineRule="auto"/>
        <w:jc w:val="both"/>
      </w:pPr>
      <w:r>
        <w:t>TANAKA, J</w:t>
      </w:r>
      <w:proofErr w:type="gramStart"/>
      <w:r>
        <w:t>.;</w:t>
      </w:r>
      <w:proofErr w:type="gramEnd"/>
      <w:r>
        <w:t xml:space="preserve"> PORTILHO, F. (2019): Ambiguidades da politização do consumo: O caso do Movimento dos Pequenos Agricultores (MPA) na cidade do Rio de Janeiro. In: Revista Raízes, </w:t>
      </w:r>
      <w:r>
        <w:t>39(2), 344-358.</w:t>
      </w:r>
    </w:p>
    <w:p w:rsidR="00494EA0" w:rsidRDefault="00494EA0">
      <w:pPr>
        <w:spacing w:line="360" w:lineRule="auto"/>
        <w:ind w:hanging="2"/>
        <w:rPr>
          <w:color w:val="FF0000"/>
        </w:rPr>
      </w:pPr>
    </w:p>
    <w:p w:rsidR="00494EA0" w:rsidRDefault="00494EA0">
      <w:pPr>
        <w:spacing w:line="360" w:lineRule="auto"/>
      </w:pPr>
    </w:p>
    <w:sectPr w:rsidR="00494EA0"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37E" w:rsidRDefault="0037537E">
      <w:r>
        <w:separator/>
      </w:r>
    </w:p>
  </w:endnote>
  <w:endnote w:type="continuationSeparator" w:id="0">
    <w:p w:rsidR="0037537E" w:rsidRDefault="00375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imes New Roman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EA0" w:rsidRDefault="003753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-1080132</wp:posOffset>
          </wp:positionH>
          <wp:positionV relativeFrom="paragraph">
            <wp:posOffset>-10065383</wp:posOffset>
          </wp:positionV>
          <wp:extent cx="7566660" cy="2136140"/>
          <wp:effectExtent l="0" t="0" r="0" b="0"/>
          <wp:wrapSquare wrapText="bothSides" distT="0" distB="0" distL="114300" distR="114300"/>
          <wp:docPr id="2128089467" name="image1.png" descr="Uma imagem contendo 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Text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6660" cy="2136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37E" w:rsidRDefault="0037537E">
      <w:r>
        <w:separator/>
      </w:r>
    </w:p>
  </w:footnote>
  <w:footnote w:type="continuationSeparator" w:id="0">
    <w:p w:rsidR="0037537E" w:rsidRDefault="0037537E">
      <w:r>
        <w:continuationSeparator/>
      </w:r>
    </w:p>
  </w:footnote>
  <w:footnote w:id="1">
    <w:p w:rsidR="00494EA0" w:rsidRDefault="0037537E">
      <w:pPr>
        <w:rPr>
          <w:rFonts w:ascii="Avenir" w:eastAsia="Avenir" w:hAnsi="Avenir" w:cs="Avenir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venir" w:eastAsia="Avenir" w:hAnsi="Avenir" w:cs="Avenir"/>
          <w:sz w:val="20"/>
          <w:szCs w:val="20"/>
        </w:rPr>
        <w:t xml:space="preserve"> Este artigo baseia-se na Dissertação de Mestrado de Rebeca Rose dos </w:t>
      </w:r>
      <w:proofErr w:type="gramStart"/>
      <w:r>
        <w:rPr>
          <w:rFonts w:ascii="Avenir" w:eastAsia="Avenir" w:hAnsi="Avenir" w:cs="Avenir"/>
          <w:sz w:val="20"/>
          <w:szCs w:val="20"/>
        </w:rPr>
        <w:t>Santos Leandro</w:t>
      </w:r>
      <w:proofErr w:type="gramEnd"/>
      <w:r>
        <w:rPr>
          <w:rFonts w:ascii="Avenir" w:eastAsia="Avenir" w:hAnsi="Avenir" w:cs="Avenir"/>
          <w:sz w:val="20"/>
          <w:szCs w:val="20"/>
        </w:rPr>
        <w:t>, defendida em dezembro de 2023 no CPDA/UFRRJ, sob a orientação da Profa. Dra. Fátima Portilho.</w:t>
      </w:r>
    </w:p>
  </w:footnote>
  <w:footnote w:id="2">
    <w:p w:rsidR="00494EA0" w:rsidRDefault="0037537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venir" w:eastAsia="Avenir" w:hAnsi="Avenir" w:cs="Avenir"/>
          <w:color w:val="000000"/>
          <w:sz w:val="20"/>
          <w:szCs w:val="20"/>
        </w:rPr>
        <w:t xml:space="preserve"> </w:t>
      </w:r>
      <w:r>
        <w:rPr>
          <w:rFonts w:ascii="Avenir" w:eastAsia="Avenir" w:hAnsi="Avenir" w:cs="Avenir"/>
          <w:sz w:val="20"/>
          <w:szCs w:val="20"/>
        </w:rPr>
        <w:t>UFRRJ, CPDA</w:t>
      </w:r>
      <w:r>
        <w:rPr>
          <w:rFonts w:ascii="Avenir" w:eastAsia="Avenir" w:hAnsi="Avenir" w:cs="Avenir"/>
          <w:color w:val="000000"/>
          <w:sz w:val="20"/>
          <w:szCs w:val="20"/>
        </w:rPr>
        <w:t xml:space="preserve">, </w:t>
      </w:r>
      <w:hyperlink r:id="rId1">
        <w:r>
          <w:rPr>
            <w:rFonts w:ascii="Avenir" w:eastAsia="Avenir" w:hAnsi="Avenir" w:cs="Avenir"/>
            <w:color w:val="1155CC"/>
            <w:sz w:val="20"/>
            <w:szCs w:val="20"/>
            <w:u w:val="single"/>
          </w:rPr>
          <w:t>faportilho@ufrrj.br</w:t>
        </w:r>
      </w:hyperlink>
      <w:r>
        <w:rPr>
          <w:rFonts w:ascii="Avenir" w:eastAsia="Avenir" w:hAnsi="Avenir" w:cs="Avenir"/>
          <w:color w:val="000000"/>
          <w:sz w:val="20"/>
          <w:szCs w:val="20"/>
        </w:rPr>
        <w:t>.</w:t>
      </w:r>
    </w:p>
  </w:footnote>
  <w:footnote w:id="3">
    <w:p w:rsidR="00494EA0" w:rsidRDefault="0037537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venir" w:eastAsia="Avenir" w:hAnsi="Avenir" w:cs="Avenir"/>
          <w:color w:val="000000"/>
          <w:sz w:val="20"/>
          <w:szCs w:val="20"/>
        </w:rPr>
        <w:t xml:space="preserve"> </w:t>
      </w:r>
      <w:r w:rsidR="005256D3">
        <w:rPr>
          <w:rFonts w:ascii="Avenir" w:eastAsia="Avenir" w:hAnsi="Avenir" w:cs="Avenir"/>
          <w:sz w:val="20"/>
          <w:szCs w:val="20"/>
        </w:rPr>
        <w:t>Egressa</w:t>
      </w:r>
      <w:r>
        <w:rPr>
          <w:rFonts w:ascii="Avenir" w:eastAsia="Avenir" w:hAnsi="Avenir" w:cs="Avenir"/>
          <w:color w:val="000000"/>
          <w:sz w:val="20"/>
          <w:szCs w:val="20"/>
        </w:rPr>
        <w:t xml:space="preserve"> </w:t>
      </w:r>
      <w:r>
        <w:rPr>
          <w:rFonts w:ascii="Avenir" w:eastAsia="Avenir" w:hAnsi="Avenir" w:cs="Avenir"/>
          <w:sz w:val="20"/>
          <w:szCs w:val="20"/>
        </w:rPr>
        <w:t>CPDA/UFRRJ</w:t>
      </w:r>
      <w:r>
        <w:rPr>
          <w:rFonts w:ascii="Avenir" w:eastAsia="Avenir" w:hAnsi="Avenir" w:cs="Avenir"/>
          <w:color w:val="000000"/>
          <w:sz w:val="20"/>
          <w:szCs w:val="20"/>
        </w:rPr>
        <w:t xml:space="preserve">, </w:t>
      </w:r>
      <w:hyperlink r:id="rId2">
        <w:r>
          <w:rPr>
            <w:rFonts w:ascii="Avenir" w:eastAsia="Avenir" w:hAnsi="Avenir" w:cs="Avenir"/>
            <w:color w:val="1155CC"/>
            <w:sz w:val="20"/>
            <w:szCs w:val="20"/>
            <w:u w:val="single"/>
          </w:rPr>
          <w:t>rebecarose@protonmail.com</w:t>
        </w:r>
      </w:hyperlink>
      <w:r>
        <w:rPr>
          <w:rFonts w:ascii="Avenir" w:eastAsia="Avenir" w:hAnsi="Avenir" w:cs="Avenir"/>
          <w:color w:val="000000"/>
          <w:sz w:val="20"/>
          <w:szCs w:val="20"/>
        </w:rPr>
        <w:t>.</w:t>
      </w:r>
    </w:p>
  </w:footnote>
  <w:footnote w:id="4">
    <w:p w:rsidR="00494EA0" w:rsidRDefault="0037537E">
      <w:pPr>
        <w:rPr>
          <w:rFonts w:ascii="Avenir" w:eastAsia="Avenir" w:hAnsi="Avenir" w:cs="Avenir"/>
          <w:sz w:val="20"/>
          <w:szCs w:val="20"/>
          <w:highlight w:val="yellow"/>
        </w:rPr>
      </w:pPr>
      <w:r>
        <w:rPr>
          <w:vertAlign w:val="superscript"/>
        </w:rPr>
        <w:footnoteRef/>
      </w:r>
      <w:r>
        <w:rPr>
          <w:rFonts w:ascii="Avenir" w:eastAsia="Avenir" w:hAnsi="Avenir" w:cs="Avenir"/>
          <w:sz w:val="20"/>
          <w:szCs w:val="20"/>
        </w:rPr>
        <w:t xml:space="preserve"> Por falta de espaço, optamos por não incluir a </w:t>
      </w:r>
      <w:r>
        <w:rPr>
          <w:rFonts w:ascii="Avenir" w:eastAsia="Avenir" w:hAnsi="Avenir" w:cs="Avenir"/>
          <w:sz w:val="20"/>
          <w:szCs w:val="20"/>
        </w:rPr>
        <w:t>planilha neste artigo, mas ela está disponível na dissertação de mestrado supracitada.</w:t>
      </w:r>
    </w:p>
  </w:footnote>
  <w:footnote w:id="5">
    <w:p w:rsidR="00494EA0" w:rsidRDefault="0037537E">
      <w:pPr>
        <w:rPr>
          <w:rFonts w:ascii="Avenir" w:eastAsia="Avenir" w:hAnsi="Avenir" w:cs="Avenir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venir" w:eastAsia="Avenir" w:hAnsi="Avenir" w:cs="Avenir"/>
          <w:sz w:val="20"/>
          <w:szCs w:val="20"/>
        </w:rPr>
        <w:t xml:space="preserve"> A vivência aconteceu no </w:t>
      </w:r>
      <w:r>
        <w:rPr>
          <w:rFonts w:ascii="Avenir" w:eastAsia="Avenir" w:hAnsi="Avenir" w:cs="Avenir"/>
          <w:i/>
          <w:sz w:val="20"/>
          <w:szCs w:val="20"/>
        </w:rPr>
        <w:t>Núcleo Agroflorestal Essência da Terra</w:t>
      </w:r>
      <w:r>
        <w:rPr>
          <w:rFonts w:ascii="Avenir" w:eastAsia="Avenir" w:hAnsi="Avenir" w:cs="Avenir"/>
          <w:sz w:val="20"/>
          <w:szCs w:val="20"/>
        </w:rPr>
        <w:t xml:space="preserve">, no sul da Bahia, um espaço de </w:t>
      </w:r>
      <w:proofErr w:type="spellStart"/>
      <w:r>
        <w:rPr>
          <w:rFonts w:ascii="Avenir" w:eastAsia="Avenir" w:hAnsi="Avenir" w:cs="Avenir"/>
          <w:sz w:val="20"/>
          <w:szCs w:val="20"/>
        </w:rPr>
        <w:t>permacultura</w:t>
      </w:r>
      <w:proofErr w:type="spellEnd"/>
      <w:r>
        <w:rPr>
          <w:rFonts w:ascii="Avenir" w:eastAsia="Avenir" w:hAnsi="Avenir" w:cs="Avenir"/>
          <w:sz w:val="20"/>
          <w:szCs w:val="20"/>
        </w:rPr>
        <w:t xml:space="preserve"> e </w:t>
      </w:r>
      <w:proofErr w:type="spellStart"/>
      <w:r>
        <w:rPr>
          <w:rFonts w:ascii="Avenir" w:eastAsia="Avenir" w:hAnsi="Avenir" w:cs="Avenir"/>
          <w:sz w:val="20"/>
          <w:szCs w:val="20"/>
        </w:rPr>
        <w:t>agrofloresta</w:t>
      </w:r>
      <w:proofErr w:type="spellEnd"/>
      <w:r>
        <w:rPr>
          <w:rFonts w:ascii="Avenir" w:eastAsia="Avenir" w:hAnsi="Avenir" w:cs="Avenir"/>
          <w:sz w:val="20"/>
          <w:szCs w:val="20"/>
        </w:rPr>
        <w:t xml:space="preserve"> que atua com </w:t>
      </w:r>
      <w:proofErr w:type="spellStart"/>
      <w:r>
        <w:rPr>
          <w:rFonts w:ascii="Avenir" w:eastAsia="Avenir" w:hAnsi="Avenir" w:cs="Avenir"/>
          <w:sz w:val="20"/>
          <w:szCs w:val="20"/>
        </w:rPr>
        <w:t>bioconstrução</w:t>
      </w:r>
      <w:proofErr w:type="spellEnd"/>
      <w:r>
        <w:rPr>
          <w:rFonts w:ascii="Avenir" w:eastAsia="Avenir" w:hAnsi="Avenir" w:cs="Avenir"/>
          <w:sz w:val="20"/>
          <w:szCs w:val="20"/>
        </w:rPr>
        <w:t xml:space="preserve">, </w:t>
      </w:r>
      <w:proofErr w:type="spellStart"/>
      <w:r>
        <w:rPr>
          <w:rFonts w:ascii="Avenir" w:eastAsia="Avenir" w:hAnsi="Avenir" w:cs="Avenir"/>
          <w:sz w:val="20"/>
          <w:szCs w:val="20"/>
        </w:rPr>
        <w:t>biofertilizantes</w:t>
      </w:r>
      <w:proofErr w:type="spellEnd"/>
      <w:r>
        <w:rPr>
          <w:rFonts w:ascii="Avenir" w:eastAsia="Avenir" w:hAnsi="Avenir" w:cs="Avenir"/>
          <w:sz w:val="20"/>
          <w:szCs w:val="20"/>
        </w:rPr>
        <w:t>,</w:t>
      </w:r>
      <w:r>
        <w:rPr>
          <w:rFonts w:ascii="Avenir" w:eastAsia="Avenir" w:hAnsi="Avenir" w:cs="Avenir"/>
          <w:sz w:val="20"/>
          <w:szCs w:val="20"/>
        </w:rPr>
        <w:t xml:space="preserve"> compostagem, processamento artesanal de alimentos e educação ambiental. </w:t>
      </w:r>
      <w:hyperlink r:id="rId3">
        <w:r>
          <w:rPr>
            <w:rFonts w:ascii="Avenir" w:eastAsia="Avenir" w:hAnsi="Avenir" w:cs="Avenir"/>
            <w:sz w:val="20"/>
            <w:szCs w:val="20"/>
            <w:u w:val="single"/>
          </w:rPr>
          <w:t>https://www.instagram.com/essenciaagrofloresta/</w:t>
        </w:r>
      </w:hyperlink>
      <w:r>
        <w:rPr>
          <w:rFonts w:ascii="Avenir" w:eastAsia="Avenir" w:hAnsi="Avenir" w:cs="Avenir"/>
          <w:sz w:val="20"/>
          <w:szCs w:val="20"/>
        </w:rPr>
        <w:t>. Acesso em 16 de julho de 2023.</w:t>
      </w:r>
    </w:p>
  </w:footnote>
  <w:footnote w:id="6">
    <w:p w:rsidR="00494EA0" w:rsidRDefault="0037537E">
      <w:pPr>
        <w:rPr>
          <w:rFonts w:ascii="Avenir" w:eastAsia="Avenir" w:hAnsi="Avenir" w:cs="Avenir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venir" w:eastAsia="Avenir" w:hAnsi="Avenir" w:cs="Avenir"/>
          <w:sz w:val="20"/>
          <w:szCs w:val="20"/>
        </w:rPr>
        <w:t xml:space="preserve"> A juçara</w:t>
      </w:r>
      <w:r>
        <w:rPr>
          <w:rFonts w:ascii="Avenir" w:eastAsia="Avenir" w:hAnsi="Avenir" w:cs="Avenir"/>
          <w:color w:val="202122"/>
          <w:sz w:val="20"/>
          <w:szCs w:val="20"/>
          <w:highlight w:val="white"/>
        </w:rPr>
        <w:t xml:space="preserve"> é uma </w:t>
      </w:r>
      <w:r>
        <w:rPr>
          <w:rFonts w:ascii="Avenir" w:eastAsia="Avenir" w:hAnsi="Avenir" w:cs="Avenir"/>
          <w:sz w:val="20"/>
          <w:szCs w:val="20"/>
          <w:highlight w:val="white"/>
        </w:rPr>
        <w:t>palmeira</w:t>
      </w:r>
      <w:r>
        <w:rPr>
          <w:rFonts w:ascii="Avenir" w:eastAsia="Avenir" w:hAnsi="Avenir" w:cs="Avenir"/>
          <w:color w:val="202122"/>
          <w:sz w:val="20"/>
          <w:szCs w:val="20"/>
          <w:highlight w:val="white"/>
        </w:rPr>
        <w:t> nativa da </w:t>
      </w:r>
      <w:r>
        <w:rPr>
          <w:rFonts w:ascii="Avenir" w:eastAsia="Avenir" w:hAnsi="Avenir" w:cs="Avenir"/>
          <w:sz w:val="20"/>
          <w:szCs w:val="20"/>
          <w:highlight w:val="white"/>
        </w:rPr>
        <w:t>Mata Atlântica/ Brasil</w:t>
      </w:r>
      <w:r>
        <w:rPr>
          <w:rFonts w:ascii="Avenir" w:eastAsia="Avenir" w:hAnsi="Avenir" w:cs="Avenir"/>
          <w:color w:val="202122"/>
          <w:sz w:val="20"/>
          <w:szCs w:val="20"/>
          <w:highlight w:val="white"/>
        </w:rPr>
        <w:t>, que dá o </w:t>
      </w:r>
      <w:r>
        <w:rPr>
          <w:rFonts w:ascii="Avenir" w:eastAsia="Avenir" w:hAnsi="Avenir" w:cs="Avenir"/>
          <w:sz w:val="20"/>
          <w:szCs w:val="20"/>
          <w:highlight w:val="white"/>
        </w:rPr>
        <w:t>palmito</w:t>
      </w:r>
      <w:r>
        <w:rPr>
          <w:rFonts w:ascii="Avenir" w:eastAsia="Avenir" w:hAnsi="Avenir" w:cs="Avenir"/>
          <w:color w:val="202122"/>
          <w:sz w:val="20"/>
          <w:szCs w:val="20"/>
          <w:highlight w:val="white"/>
        </w:rPr>
        <w:t> do tipo juçara e está ameaçada de </w:t>
      </w:r>
      <w:r>
        <w:rPr>
          <w:rFonts w:ascii="Avenir" w:eastAsia="Avenir" w:hAnsi="Avenir" w:cs="Avenir"/>
          <w:sz w:val="20"/>
          <w:szCs w:val="20"/>
          <w:highlight w:val="white"/>
        </w:rPr>
        <w:t>extinção.</w:t>
      </w:r>
    </w:p>
  </w:footnote>
  <w:footnote w:id="7">
    <w:p w:rsidR="00494EA0" w:rsidRDefault="0037537E">
      <w:pPr>
        <w:rPr>
          <w:rFonts w:ascii="Avenir" w:eastAsia="Avenir" w:hAnsi="Avenir" w:cs="Avenir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venir" w:eastAsia="Avenir" w:hAnsi="Avenir" w:cs="Avenir"/>
          <w:sz w:val="20"/>
          <w:szCs w:val="20"/>
        </w:rPr>
        <w:t xml:space="preserve"> Fala durante </w:t>
      </w:r>
      <w:proofErr w:type="spellStart"/>
      <w:r>
        <w:rPr>
          <w:rFonts w:ascii="Avenir" w:eastAsia="Avenir" w:hAnsi="Avenir" w:cs="Avenir"/>
          <w:i/>
          <w:sz w:val="20"/>
          <w:szCs w:val="20"/>
        </w:rPr>
        <w:t>live</w:t>
      </w:r>
      <w:proofErr w:type="spellEnd"/>
      <w:r>
        <w:rPr>
          <w:rFonts w:ascii="Avenir" w:eastAsia="Avenir" w:hAnsi="Avenir" w:cs="Avenir"/>
          <w:sz w:val="20"/>
          <w:szCs w:val="20"/>
        </w:rPr>
        <w:t xml:space="preserve"> no canal </w:t>
      </w:r>
      <w:proofErr w:type="spellStart"/>
      <w:r>
        <w:rPr>
          <w:rFonts w:ascii="Avenir" w:eastAsia="Avenir" w:hAnsi="Avenir" w:cs="Avenir"/>
          <w:i/>
          <w:sz w:val="20"/>
          <w:szCs w:val="20"/>
        </w:rPr>
        <w:t>Muká</w:t>
      </w:r>
      <w:proofErr w:type="spellEnd"/>
      <w:r>
        <w:rPr>
          <w:rFonts w:ascii="Avenir" w:eastAsia="Avenir" w:hAnsi="Avenir" w:cs="Avenir"/>
          <w:i/>
          <w:sz w:val="20"/>
          <w:szCs w:val="20"/>
        </w:rPr>
        <w:t xml:space="preserve"> Plataforma Agroecológica </w:t>
      </w:r>
      <w:r>
        <w:rPr>
          <w:rFonts w:ascii="Avenir" w:eastAsia="Avenir" w:hAnsi="Avenir" w:cs="Avenir"/>
          <w:sz w:val="20"/>
          <w:szCs w:val="20"/>
        </w:rPr>
        <w:t xml:space="preserve">do </w:t>
      </w:r>
      <w:proofErr w:type="spellStart"/>
      <w:proofErr w:type="gramStart"/>
      <w:r>
        <w:rPr>
          <w:rFonts w:ascii="Avenir" w:eastAsia="Avenir" w:hAnsi="Avenir" w:cs="Avenir"/>
          <w:i/>
          <w:sz w:val="20"/>
          <w:szCs w:val="20"/>
        </w:rPr>
        <w:t>YouTube</w:t>
      </w:r>
      <w:proofErr w:type="spellEnd"/>
      <w:proofErr w:type="gramEnd"/>
      <w:r>
        <w:rPr>
          <w:rFonts w:ascii="Avenir" w:eastAsia="Avenir" w:hAnsi="Avenir" w:cs="Avenir"/>
          <w:sz w:val="20"/>
          <w:szCs w:val="20"/>
        </w:rPr>
        <w:t xml:space="preserve">, em 13 de agosto de 2020, transcrita por Rebeca Rose dos Santos Leandro. Disponível em </w:t>
      </w:r>
      <w:hyperlink r:id="rId4">
        <w:r>
          <w:rPr>
            <w:rFonts w:ascii="Avenir" w:eastAsia="Avenir" w:hAnsi="Avenir" w:cs="Avenir"/>
            <w:sz w:val="20"/>
            <w:szCs w:val="20"/>
            <w:u w:val="single"/>
          </w:rPr>
          <w:t>https://www.youtube.com/watch?v=f49Rv1QveUs</w:t>
        </w:r>
      </w:hyperlink>
      <w:r>
        <w:rPr>
          <w:rFonts w:ascii="Avenir" w:eastAsia="Avenir" w:hAnsi="Avenir" w:cs="Avenir"/>
          <w:sz w:val="20"/>
          <w:szCs w:val="20"/>
        </w:rPr>
        <w:t>. Acesso em 07/07/2023.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6D3" w:rsidRDefault="005256D3">
    <w:pPr>
      <w:pStyle w:val="Cabealho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43ECF674" wp14:editId="74B7884B">
          <wp:simplePos x="0" y="0"/>
          <wp:positionH relativeFrom="column">
            <wp:posOffset>-747395</wp:posOffset>
          </wp:positionH>
          <wp:positionV relativeFrom="paragraph">
            <wp:posOffset>-294640</wp:posOffset>
          </wp:positionV>
          <wp:extent cx="7566660" cy="2136140"/>
          <wp:effectExtent l="0" t="0" r="0" b="0"/>
          <wp:wrapSquare wrapText="bothSides" distT="0" distB="0" distL="114300" distR="114300"/>
          <wp:docPr id="1" name="image1.png" descr="Uma imagem contendo 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Text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6660" cy="2136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94EA0"/>
    <w:rsid w:val="0037537E"/>
    <w:rsid w:val="003A4230"/>
    <w:rsid w:val="00494EA0"/>
    <w:rsid w:val="005256D3"/>
    <w:rsid w:val="00DB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="Trebuchet MS" w:hAnsi="Trebuchet MS" w:cs="Trebuchet MS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408"/>
  </w:style>
  <w:style w:type="paragraph" w:styleId="Ttulo1">
    <w:name w:val="heading 1"/>
    <w:basedOn w:val="Normal"/>
    <w:next w:val="Normal"/>
    <w:link w:val="Ttulo1Char"/>
    <w:uiPriority w:val="9"/>
    <w:qFormat/>
    <w:rsid w:val="00733A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link w:val="Ttulo2Char"/>
    <w:uiPriority w:val="9"/>
    <w:qFormat/>
    <w:rsid w:val="00D4640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3A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A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3A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3A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3A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3A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3A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733A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rsid w:val="00D46408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</w:rPr>
  </w:style>
  <w:style w:type="character" w:styleId="Forte">
    <w:name w:val="Strong"/>
    <w:basedOn w:val="Fontepargpadro"/>
    <w:uiPriority w:val="22"/>
    <w:qFormat/>
    <w:rsid w:val="00D4640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733A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3A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A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33AF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33A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3AF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3A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3AFB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733A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pPr>
      <w:spacing w:after="160"/>
    </w:pPr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33A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33A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33AF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33AF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33A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33A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33AF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33AFB"/>
    <w:rPr>
      <w:b/>
      <w:bCs/>
      <w:smallCaps/>
      <w:color w:val="0F4761" w:themeColor="accent1" w:themeShade="BF"/>
      <w:spacing w:val="5"/>
    </w:rPr>
  </w:style>
  <w:style w:type="paragraph" w:styleId="Reviso">
    <w:name w:val="Revision"/>
    <w:hidden/>
    <w:uiPriority w:val="99"/>
    <w:semiHidden/>
    <w:rsid w:val="00733AFB"/>
  </w:style>
  <w:style w:type="paragraph" w:styleId="SemEspaamento">
    <w:name w:val="No Spacing"/>
    <w:link w:val="SemEspaamentoChar"/>
    <w:uiPriority w:val="1"/>
    <w:qFormat/>
    <w:rsid w:val="0053021A"/>
    <w:rPr>
      <w:rFonts w:eastAsiaTheme="minorEastAsia"/>
      <w:sz w:val="22"/>
      <w:szCs w:val="22"/>
      <w:lang w:val="en-US" w:eastAsia="zh-CN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3021A"/>
    <w:rPr>
      <w:rFonts w:eastAsiaTheme="minorEastAsia"/>
      <w:kern w:val="0"/>
      <w:sz w:val="22"/>
      <w:szCs w:val="22"/>
      <w:lang w:val="en-US" w:eastAsia="zh-CN"/>
    </w:rPr>
  </w:style>
  <w:style w:type="paragraph" w:styleId="Cabealho">
    <w:name w:val="header"/>
    <w:basedOn w:val="Normal"/>
    <w:link w:val="Cabealho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7518C"/>
  </w:style>
  <w:style w:type="paragraph" w:styleId="Rodap">
    <w:name w:val="footer"/>
    <w:basedOn w:val="Normal"/>
    <w:link w:val="Rodap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7518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16EFF"/>
    <w:pPr>
      <w:widowControl w:val="0"/>
    </w:pPr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16EFF"/>
    <w:rPr>
      <w:rFonts w:ascii="Times New Roman" w:eastAsia="Times New Roman" w:hAnsi="Times New Roman" w:cs="Times New Roman"/>
      <w:kern w:val="0"/>
      <w:sz w:val="20"/>
      <w:szCs w:val="20"/>
      <w:lang w:val="pt-PT"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216EFF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56D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56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="Trebuchet MS" w:hAnsi="Trebuchet MS" w:cs="Trebuchet MS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408"/>
  </w:style>
  <w:style w:type="paragraph" w:styleId="Ttulo1">
    <w:name w:val="heading 1"/>
    <w:basedOn w:val="Normal"/>
    <w:next w:val="Normal"/>
    <w:link w:val="Ttulo1Char"/>
    <w:uiPriority w:val="9"/>
    <w:qFormat/>
    <w:rsid w:val="00733A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link w:val="Ttulo2Char"/>
    <w:uiPriority w:val="9"/>
    <w:qFormat/>
    <w:rsid w:val="00D4640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3A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A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3A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3A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3A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3A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3A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733A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rsid w:val="00D46408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</w:rPr>
  </w:style>
  <w:style w:type="character" w:styleId="Forte">
    <w:name w:val="Strong"/>
    <w:basedOn w:val="Fontepargpadro"/>
    <w:uiPriority w:val="22"/>
    <w:qFormat/>
    <w:rsid w:val="00D4640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733A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3A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A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33AF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33A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3AF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3A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3AFB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733A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pPr>
      <w:spacing w:after="160"/>
    </w:pPr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33A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33A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33AF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33AF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33A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33A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33AF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33AFB"/>
    <w:rPr>
      <w:b/>
      <w:bCs/>
      <w:smallCaps/>
      <w:color w:val="0F4761" w:themeColor="accent1" w:themeShade="BF"/>
      <w:spacing w:val="5"/>
    </w:rPr>
  </w:style>
  <w:style w:type="paragraph" w:styleId="Reviso">
    <w:name w:val="Revision"/>
    <w:hidden/>
    <w:uiPriority w:val="99"/>
    <w:semiHidden/>
    <w:rsid w:val="00733AFB"/>
  </w:style>
  <w:style w:type="paragraph" w:styleId="SemEspaamento">
    <w:name w:val="No Spacing"/>
    <w:link w:val="SemEspaamentoChar"/>
    <w:uiPriority w:val="1"/>
    <w:qFormat/>
    <w:rsid w:val="0053021A"/>
    <w:rPr>
      <w:rFonts w:eastAsiaTheme="minorEastAsia"/>
      <w:sz w:val="22"/>
      <w:szCs w:val="22"/>
      <w:lang w:val="en-US" w:eastAsia="zh-CN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3021A"/>
    <w:rPr>
      <w:rFonts w:eastAsiaTheme="minorEastAsia"/>
      <w:kern w:val="0"/>
      <w:sz w:val="22"/>
      <w:szCs w:val="22"/>
      <w:lang w:val="en-US" w:eastAsia="zh-CN"/>
    </w:rPr>
  </w:style>
  <w:style w:type="paragraph" w:styleId="Cabealho">
    <w:name w:val="header"/>
    <w:basedOn w:val="Normal"/>
    <w:link w:val="Cabealho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7518C"/>
  </w:style>
  <w:style w:type="paragraph" w:styleId="Rodap">
    <w:name w:val="footer"/>
    <w:basedOn w:val="Normal"/>
    <w:link w:val="Rodap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7518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16EFF"/>
    <w:pPr>
      <w:widowControl w:val="0"/>
    </w:pPr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16EFF"/>
    <w:rPr>
      <w:rFonts w:ascii="Times New Roman" w:eastAsia="Times New Roman" w:hAnsi="Times New Roman" w:cs="Times New Roman"/>
      <w:kern w:val="0"/>
      <w:sz w:val="20"/>
      <w:szCs w:val="20"/>
      <w:lang w:val="pt-PT"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216EFF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56D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5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ALl3yIJSR0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essenciaagrofloresta/" TargetMode="External"/><Relationship Id="rId2" Type="http://schemas.openxmlformats.org/officeDocument/2006/relationships/hyperlink" Target="mailto:rebecarose@protonmail.com" TargetMode="External"/><Relationship Id="rId1" Type="http://schemas.openxmlformats.org/officeDocument/2006/relationships/hyperlink" Target="mailto:faportilho@ufrrj.br" TargetMode="External"/><Relationship Id="rId4" Type="http://schemas.openxmlformats.org/officeDocument/2006/relationships/hyperlink" Target="https://www.youtube.com/watch?v=f49Rv1Qve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aramond-Trebuchet MS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LxA5Ps5UodrFVBXdURF82KmgqQ==">CgMxLjAaEgoBMBINCgsIB0IHEgVBcmlhbDIOaC5kZzkwYjV5eDRtcjY4AHIhMUdTeUlpRU0xdmNxbUpPSkw2UEtnbURiVFZkM2JjU2Ry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4207</Words>
  <Characters>22723</Characters>
  <Application>Microsoft Office Word</Application>
  <DocSecurity>0</DocSecurity>
  <Lines>189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Tomin</dc:creator>
  <cp:lastModifiedBy>Usuário do Windows</cp:lastModifiedBy>
  <cp:revision>2</cp:revision>
  <dcterms:created xsi:type="dcterms:W3CDTF">2025-04-22T18:13:00Z</dcterms:created>
  <dcterms:modified xsi:type="dcterms:W3CDTF">2025-04-22T18:13:00Z</dcterms:modified>
</cp:coreProperties>
</file>