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604AA89A" w:rsidR="00D22A2A" w:rsidRPr="00B95068" w:rsidRDefault="0038479F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ECO-EVOLUTIONARY </w:t>
      </w:r>
      <w:r w:rsidR="00D87D63">
        <w:rPr>
          <w:rFonts w:ascii="Times" w:hAnsi="Times"/>
          <w:b/>
          <w:sz w:val="24"/>
          <w:szCs w:val="24"/>
          <w:lang w:val="en-US"/>
        </w:rPr>
        <w:t xml:space="preserve">DRIVERS OF INTERACTION TURNOVER IN THE </w:t>
      </w:r>
      <w:proofErr w:type="spellStart"/>
      <w:r w:rsidR="00D87D63">
        <w:rPr>
          <w:rFonts w:ascii="Times" w:hAnsi="Times"/>
          <w:b/>
          <w:i/>
          <w:sz w:val="24"/>
          <w:szCs w:val="24"/>
          <w:lang w:val="en-US"/>
        </w:rPr>
        <w:t>Peltigera</w:t>
      </w:r>
      <w:proofErr w:type="spellEnd"/>
      <w:r w:rsidR="00597FE5">
        <w:rPr>
          <w:rFonts w:ascii="Times" w:hAnsi="Times"/>
          <w:b/>
          <w:i/>
          <w:sz w:val="24"/>
          <w:szCs w:val="24"/>
          <w:lang w:val="en-US"/>
        </w:rPr>
        <w:t>–</w:t>
      </w:r>
      <w:proofErr w:type="spellStart"/>
      <w:r w:rsidR="00D87D63">
        <w:rPr>
          <w:rFonts w:ascii="Times" w:hAnsi="Times"/>
          <w:b/>
          <w:i/>
          <w:sz w:val="24"/>
          <w:szCs w:val="24"/>
          <w:lang w:val="en-US"/>
        </w:rPr>
        <w:t>Nostoc</w:t>
      </w:r>
      <w:proofErr w:type="spellEnd"/>
      <w:r w:rsidR="00D87D63">
        <w:rPr>
          <w:rFonts w:ascii="Times" w:hAnsi="Times"/>
          <w:b/>
          <w:i/>
          <w:sz w:val="24"/>
          <w:szCs w:val="24"/>
          <w:lang w:val="en-US"/>
        </w:rPr>
        <w:t xml:space="preserve"> </w:t>
      </w:r>
      <w:r w:rsidR="00D87D63">
        <w:rPr>
          <w:rFonts w:ascii="Times" w:hAnsi="Times"/>
          <w:b/>
          <w:sz w:val="24"/>
          <w:szCs w:val="24"/>
          <w:lang w:val="en-US"/>
        </w:rPr>
        <w:t>SYMBIOSIS</w:t>
      </w:r>
    </w:p>
    <w:p w14:paraId="2EE6A3BD" w14:textId="35FED931" w:rsidR="00D22A2A" w:rsidRPr="00B95068" w:rsidRDefault="00D87D63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>Carlos J. Pardo-De la Hoz</w:t>
      </w:r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62477E" w:rsidRPr="00B95068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Diane L. Haughland</w:t>
      </w:r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r w:rsidR="0038479F">
        <w:rPr>
          <w:rFonts w:ascii="Times" w:hAnsi="Times"/>
          <w:sz w:val="24"/>
          <w:szCs w:val="24"/>
          <w:lang w:val="en-US"/>
        </w:rPr>
        <w:t>Pierre-Luc Chagnon</w:t>
      </w:r>
      <w:r w:rsidR="0038479F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38479F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Ian D. Medeiros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Jolanta Miadlikowska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François Lutzoni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12446E0" w14:textId="2FFEC70A" w:rsidR="00D22A2A" w:rsidRPr="00E7764D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D87D63">
        <w:rPr>
          <w:rFonts w:ascii="Times" w:hAnsi="Times"/>
          <w:color w:val="000000" w:themeColor="text1"/>
          <w:sz w:val="24"/>
          <w:szCs w:val="24"/>
          <w:lang w:val="en-US"/>
        </w:rPr>
        <w:t>Duke University, USA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D87D63">
        <w:rPr>
          <w:rFonts w:ascii="Times" w:hAnsi="Times"/>
          <w:color w:val="000000" w:themeColor="text1"/>
          <w:sz w:val="24"/>
          <w:szCs w:val="24"/>
          <w:lang w:val="en-US"/>
        </w:rPr>
        <w:t>Alberta Biodiversity Monitoring Institute, Canada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38479F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38479F" w:rsidRPr="007A5425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3</w:t>
      </w:r>
      <w:proofErr w:type="spellStart"/>
      <w:r w:rsidR="0038479F" w:rsidRPr="007A5425">
        <w:rPr>
          <w:rFonts w:ascii="Times Roman" w:hAnsi="Times Roman" w:cs="Times New Roman"/>
          <w:iCs/>
          <w:sz w:val="24"/>
          <w:szCs w:val="24"/>
          <w:lang w:val="es-ES"/>
        </w:rPr>
        <w:t>Université</w:t>
      </w:r>
      <w:proofErr w:type="spellEnd"/>
      <w:r w:rsidR="0038479F" w:rsidRPr="007A5425">
        <w:rPr>
          <w:rFonts w:ascii="Times Roman" w:hAnsi="Times Roman" w:cs="Times New Roman"/>
          <w:iCs/>
          <w:sz w:val="24"/>
          <w:szCs w:val="24"/>
          <w:lang w:val="es-ES"/>
        </w:rPr>
        <w:t xml:space="preserve"> de </w:t>
      </w:r>
      <w:proofErr w:type="spellStart"/>
      <w:r w:rsidR="0038479F" w:rsidRPr="007A5425">
        <w:rPr>
          <w:rFonts w:ascii="Times Roman" w:hAnsi="Times Roman" w:cs="Times New Roman"/>
          <w:iCs/>
          <w:sz w:val="24"/>
          <w:szCs w:val="24"/>
          <w:lang w:val="es-ES"/>
        </w:rPr>
        <w:t>Montréal</w:t>
      </w:r>
      <w:proofErr w:type="spellEnd"/>
      <w:r w:rsidR="0038479F" w:rsidRPr="007A5425">
        <w:rPr>
          <w:rFonts w:ascii="Times Roman" w:hAnsi="Times Roman" w:cs="Times New Roman"/>
          <w:iCs/>
          <w:sz w:val="24"/>
          <w:szCs w:val="24"/>
          <w:lang w:val="es-ES"/>
        </w:rPr>
        <w:t xml:space="preserve">, </w:t>
      </w:r>
      <w:proofErr w:type="spellStart"/>
      <w:r w:rsidR="0038479F" w:rsidRPr="007A5425">
        <w:rPr>
          <w:rFonts w:ascii="Times Roman" w:hAnsi="Times Roman" w:cs="Times New Roman"/>
          <w:iCs/>
          <w:sz w:val="24"/>
          <w:szCs w:val="24"/>
          <w:lang w:val="es-ES"/>
        </w:rPr>
        <w:t>Canada</w:t>
      </w:r>
      <w:proofErr w:type="spellEnd"/>
      <w:r w:rsidR="0038479F" w:rsidRPr="007A5425">
        <w:rPr>
          <w:rFonts w:ascii="Times Roman" w:hAnsi="Times Roman"/>
          <w:color w:val="000000" w:themeColor="text1"/>
          <w:sz w:val="24"/>
          <w:szCs w:val="24"/>
          <w:lang w:val="en-US"/>
        </w:rPr>
        <w:t>;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D87D63">
        <w:rPr>
          <w:rFonts w:ascii="Times" w:hAnsi="Times"/>
          <w:color w:val="000000" w:themeColor="text1"/>
          <w:sz w:val="24"/>
          <w:szCs w:val="24"/>
          <w:lang w:val="en-US"/>
        </w:rPr>
        <w:t>cjp47@duke.edu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29F05407" w14:textId="0E06C6A7" w:rsidR="00B3672E" w:rsidRPr="00B3672E" w:rsidRDefault="00821D3C" w:rsidP="000C0216">
      <w:pPr>
        <w:spacing w:line="276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I</w:t>
      </w:r>
      <w:r w:rsidR="002F41D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nteraction patterns between lichen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-forming fungi and 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their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photobionts</w:t>
      </w:r>
      <w:r w:rsidR="002F41D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vary</w:t>
      </w:r>
      <w:r w:rsidR="00641AB3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across spatial and evolutionary scales.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</w:t>
      </w:r>
      <w:r w:rsidR="00331469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he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eco-evolutionary </w:t>
      </w:r>
      <w:r w:rsidR="00331469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mechanisms driving interaction </w:t>
      </w:r>
      <w:r w:rsidR="002F41D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turnover</w:t>
      </w:r>
      <w:r w:rsidR="00331469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are not fully unders</w:t>
      </w:r>
      <w:r w:rsidR="003A3EC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tood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for lichens, mainly because thorough ecological sampling at multiple nested spatial scales, including at an inter-biome scale, 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has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not been implemented</w:t>
      </w:r>
      <w:r w:rsidR="003A3EC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. A recent study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of the</w:t>
      </w:r>
      <w:r w:rsidR="003A3EC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lichen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genus </w:t>
      </w:r>
      <w:r w:rsidR="0012173F" w:rsidRPr="008B52F6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Peltigera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and its </w:t>
      </w:r>
      <w:r w:rsidR="0012173F" w:rsidRPr="008B52F6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Nostoc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A71ED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cyanobionts </w:t>
      </w:r>
      <w:r w:rsidR="00597FE5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at an intra-biome (boreal) scale 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revealed</w:t>
      </w:r>
      <w:r w:rsidR="00630852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that bioclimatic factors are more limiting than cyanobiont availability for explaining geographic distributions of </w:t>
      </w:r>
      <w:r w:rsidR="0012173F" w:rsidRPr="008B52F6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Peltigera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species.</w:t>
      </w:r>
      <w:r w:rsidR="003A3EC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A71ED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However</w:t>
      </w:r>
      <w:r w:rsidR="002F41D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7F79E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at 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="007F79E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spatial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and bioclimatic</w:t>
      </w:r>
      <w:r w:rsidR="007F79E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scale 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of that study, </w:t>
      </w:r>
      <w:r w:rsidR="007F79E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two main generalist </w:t>
      </w:r>
      <w:proofErr w:type="spellStart"/>
      <w:r w:rsidR="007F79EA" w:rsidRPr="00B909C8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Nostoc</w:t>
      </w:r>
      <w:proofErr w:type="spellEnd"/>
      <w:r w:rsidR="007F79E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phylogroups dominated 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across </w:t>
      </w:r>
      <w:r w:rsidR="007F79E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the boreal biome. Therefore, an </w:t>
      </w:r>
      <w:r w:rsidR="00A71ED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understanding of </w:t>
      </w:r>
      <w:r w:rsidR="002F41D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</w:t>
      </w:r>
      <w:r w:rsidR="00D0697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he </w:t>
      </w:r>
      <w:r w:rsidR="002F41D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spatial </w:t>
      </w:r>
      <w:r w:rsidR="00D0697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scale and drivers of </w:t>
      </w:r>
      <w:r w:rsidR="00D0697F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 xml:space="preserve">Nostoc </w:t>
      </w:r>
      <w:r w:rsidR="00D0697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distribution, as well as the 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effect </w:t>
      </w:r>
      <w:r w:rsidR="00D0697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of environmental gradients and stochasticity on the </w:t>
      </w:r>
      <w:r w:rsidR="002F41D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occurrence of different</w:t>
      </w:r>
      <w:r w:rsidR="00D0697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E31AC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symbiotic</w:t>
      </w:r>
      <w:r w:rsidR="00D0697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pairs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="00D0697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is still lacking. </w:t>
      </w:r>
      <w:r w:rsidR="00840A6E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We </w:t>
      </w:r>
      <w:r w:rsidR="00F50EB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are using 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="0012173F" w:rsidRPr="008B52F6">
        <w:rPr>
          <w:rFonts w:ascii="Times New Roman" w:hAnsi="Times New Roman"/>
          <w:sz w:val="24"/>
          <w:szCs w:val="24"/>
          <w:lang w:val="en-US"/>
        </w:rPr>
        <w:t>large-scale, systematic</w:t>
      </w:r>
      <w:r w:rsidR="00331469">
        <w:rPr>
          <w:rFonts w:ascii="Times New Roman" w:hAnsi="Times New Roman"/>
          <w:sz w:val="24"/>
          <w:szCs w:val="24"/>
          <w:lang w:val="en-US"/>
        </w:rPr>
        <w:t>, multi-biome</w:t>
      </w:r>
      <w:r w:rsidR="00840A6E">
        <w:rPr>
          <w:rFonts w:ascii="Times New Roman" w:hAnsi="Times New Roman"/>
          <w:sz w:val="24"/>
          <w:szCs w:val="24"/>
          <w:lang w:val="en-US"/>
        </w:rPr>
        <w:t xml:space="preserve"> sampling of </w:t>
      </w:r>
      <w:r w:rsidR="00840A6E">
        <w:rPr>
          <w:rFonts w:ascii="Times New Roman" w:hAnsi="Times New Roman"/>
          <w:i/>
          <w:sz w:val="24"/>
          <w:szCs w:val="24"/>
          <w:lang w:val="en-US"/>
        </w:rPr>
        <w:t xml:space="preserve">Peltigera </w:t>
      </w:r>
      <w:r w:rsidR="00840A6E">
        <w:rPr>
          <w:rFonts w:ascii="Times New Roman" w:hAnsi="Times New Roman"/>
          <w:sz w:val="24"/>
          <w:szCs w:val="24"/>
          <w:lang w:val="en-US"/>
        </w:rPr>
        <w:t xml:space="preserve">specimens of the </w:t>
      </w:r>
      <w:r w:rsidR="0012173F" w:rsidRPr="008B52F6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Alberta Biodiversity Monitoring Institute</w:t>
      </w:r>
      <w:r w:rsidR="00840A6E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to</w:t>
      </w:r>
      <w:r w:rsidR="0038479F" w:rsidRP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ask three main questions: (1) What is the spatial scale, and associated environmental factors, of </w:t>
      </w:r>
      <w:r w:rsidR="0038479F" w:rsidRPr="0096151E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Nostoc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phylogroup replacement? (2) </w:t>
      </w:r>
      <w:r w:rsidR="007D3B09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How 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does this shape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the structure of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8479F" w:rsidRPr="0096151E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Peltigera</w:t>
      </w:r>
      <w:proofErr w:type="spellEnd"/>
      <w:r w:rsidR="00597FE5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–</w:t>
      </w:r>
      <w:proofErr w:type="spellStart"/>
      <w:r w:rsidR="0038479F" w:rsidRPr="0096151E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en-US"/>
        </w:rPr>
        <w:t>Nostoc</w:t>
      </w:r>
      <w:proofErr w:type="spellEnd"/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597F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interaction 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networks</w:t>
      </w:r>
      <w:r w:rsidR="00572110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?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(3) </w:t>
      </w:r>
      <w:r w:rsidR="007D3B09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H</w:t>
      </w:r>
      <w:r w:rsidR="003847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ow is this constrained by their evolutionary relationships? </w:t>
      </w:r>
      <w:r w:rsidR="0038479F" w:rsidRPr="00B7505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We expect </w:t>
      </w:r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that the replacement of dominant </w:t>
      </w:r>
      <w:proofErr w:type="spellStart"/>
      <w:r w:rsidR="0038479F" w:rsidRPr="00B7505A">
        <w:rPr>
          <w:rFonts w:ascii="Times New Roman" w:hAnsi="Times New Roman" w:cs="Times New Roman"/>
          <w:i/>
          <w:sz w:val="24"/>
          <w:szCs w:val="24"/>
          <w:lang w:val="en-US"/>
        </w:rPr>
        <w:t>Nostoc</w:t>
      </w:r>
      <w:proofErr w:type="spellEnd"/>
      <w:r w:rsidR="0038479F" w:rsidRPr="00B750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>phylogroup</w:t>
      </w:r>
      <w:r w:rsidR="007D3B09" w:rsidRPr="00B750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 occurs mostly at an inter-biome scale and is correlated with environmental factors that vary across the six biomes included in</w:t>
      </w:r>
      <w:bookmarkStart w:id="0" w:name="_GoBack"/>
      <w:bookmarkEnd w:id="0"/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 our sampling. </w:t>
      </w:r>
      <w:r w:rsidR="00597FE5" w:rsidRPr="00B7505A">
        <w:rPr>
          <w:rFonts w:ascii="Times New Roman" w:hAnsi="Times New Roman" w:cs="Times New Roman"/>
          <w:sz w:val="24"/>
          <w:szCs w:val="24"/>
          <w:lang w:val="en-US"/>
        </w:rPr>
        <w:t>We also</w:t>
      </w:r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 predict that </w:t>
      </w:r>
      <w:r w:rsidR="00597FE5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this inter-biome turnover </w:t>
      </w:r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>will be reflected in the overall network structure</w:t>
      </w:r>
      <w:r w:rsidR="007D3B09" w:rsidRPr="00B750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 where modules will be restricted to specific biomes</w:t>
      </w:r>
      <w:r w:rsidR="00A97601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 and there will be one</w:t>
      </w:r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 main generalist (central) </w:t>
      </w:r>
      <w:proofErr w:type="spellStart"/>
      <w:r w:rsidR="0038479F" w:rsidRPr="00B7505A">
        <w:rPr>
          <w:rFonts w:ascii="Times New Roman" w:hAnsi="Times New Roman" w:cs="Times New Roman"/>
          <w:i/>
          <w:sz w:val="24"/>
          <w:szCs w:val="24"/>
          <w:lang w:val="en-US"/>
        </w:rPr>
        <w:t>Nostoc</w:t>
      </w:r>
      <w:proofErr w:type="spellEnd"/>
      <w:r w:rsidR="0038479F" w:rsidRPr="00B7505A">
        <w:rPr>
          <w:rFonts w:ascii="Times New Roman" w:hAnsi="Times New Roman" w:cs="Times New Roman"/>
          <w:sz w:val="24"/>
          <w:szCs w:val="24"/>
          <w:lang w:val="en-US"/>
        </w:rPr>
        <w:t xml:space="preserve"> phylogroup</w:t>
      </w:r>
      <w:r w:rsidR="0038479F" w:rsidRPr="0096151E">
        <w:rPr>
          <w:rFonts w:ascii="Times New Roman" w:hAnsi="Times New Roman" w:cs="Times New Roman"/>
          <w:sz w:val="24"/>
          <w:szCs w:val="24"/>
        </w:rPr>
        <w:t xml:space="preserve"> per </w:t>
      </w:r>
      <w:r w:rsidR="00597FE5" w:rsidRPr="0096151E">
        <w:rPr>
          <w:rFonts w:ascii="Times New Roman" w:hAnsi="Times New Roman" w:cs="Times New Roman"/>
          <w:sz w:val="24"/>
          <w:szCs w:val="24"/>
        </w:rPr>
        <w:t>modu</w:t>
      </w:r>
      <w:r w:rsidR="00597FE5">
        <w:rPr>
          <w:rFonts w:ascii="Times New Roman" w:hAnsi="Times New Roman" w:cs="Times New Roman"/>
          <w:sz w:val="24"/>
          <w:szCs w:val="24"/>
        </w:rPr>
        <w:t>l</w:t>
      </w:r>
      <w:r w:rsidR="00597FE5" w:rsidRPr="0096151E">
        <w:rPr>
          <w:rFonts w:ascii="Times New Roman" w:hAnsi="Times New Roman" w:cs="Times New Roman"/>
          <w:sz w:val="24"/>
          <w:szCs w:val="24"/>
        </w:rPr>
        <w:t>e</w:t>
      </w:r>
      <w:r w:rsidR="00CE6A8F">
        <w:rPr>
          <w:rFonts w:ascii="Times New Roman" w:hAnsi="Times New Roman" w:cs="Times New Roman"/>
          <w:sz w:val="24"/>
          <w:szCs w:val="24"/>
        </w:rPr>
        <w:t xml:space="preserve">. </w:t>
      </w:r>
      <w:r w:rsidR="00A71ED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Our results highlight the complex interplay between these </w:t>
      </w:r>
      <w:r w:rsidR="00F8627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eco-evolutionary</w:t>
      </w:r>
      <w:r w:rsidR="00A71ED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drivers of interaction turnover at different spatial scales</w:t>
      </w:r>
      <w:r w:rsidR="00F8627C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, shedding light on the assembly process of lichen communities. </w:t>
      </w:r>
    </w:p>
    <w:sectPr w:rsidR="00B3672E" w:rsidRPr="00B3672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23749"/>
    <w:rsid w:val="00051D2B"/>
    <w:rsid w:val="000C0216"/>
    <w:rsid w:val="000F146E"/>
    <w:rsid w:val="0012173F"/>
    <w:rsid w:val="00200EAE"/>
    <w:rsid w:val="00215F6C"/>
    <w:rsid w:val="00226CB5"/>
    <w:rsid w:val="002416A1"/>
    <w:rsid w:val="00260A60"/>
    <w:rsid w:val="002F41DC"/>
    <w:rsid w:val="002F4395"/>
    <w:rsid w:val="00300794"/>
    <w:rsid w:val="00316506"/>
    <w:rsid w:val="00331469"/>
    <w:rsid w:val="0038479F"/>
    <w:rsid w:val="003A3EC7"/>
    <w:rsid w:val="0041562C"/>
    <w:rsid w:val="00572110"/>
    <w:rsid w:val="00597FE5"/>
    <w:rsid w:val="0062477E"/>
    <w:rsid w:val="00630852"/>
    <w:rsid w:val="00641AB3"/>
    <w:rsid w:val="006C6BAE"/>
    <w:rsid w:val="007D3B09"/>
    <w:rsid w:val="007F79EA"/>
    <w:rsid w:val="00821D3C"/>
    <w:rsid w:val="00840A6E"/>
    <w:rsid w:val="00874B09"/>
    <w:rsid w:val="00894CF2"/>
    <w:rsid w:val="008A52EE"/>
    <w:rsid w:val="008B52F6"/>
    <w:rsid w:val="00A50028"/>
    <w:rsid w:val="00A71ED4"/>
    <w:rsid w:val="00A7397C"/>
    <w:rsid w:val="00A97601"/>
    <w:rsid w:val="00AF5D2E"/>
    <w:rsid w:val="00B3672E"/>
    <w:rsid w:val="00B63FA9"/>
    <w:rsid w:val="00B7505A"/>
    <w:rsid w:val="00B909C8"/>
    <w:rsid w:val="00BD2764"/>
    <w:rsid w:val="00C24A4D"/>
    <w:rsid w:val="00C575F8"/>
    <w:rsid w:val="00C85763"/>
    <w:rsid w:val="00CE6A8F"/>
    <w:rsid w:val="00D0697F"/>
    <w:rsid w:val="00D142BC"/>
    <w:rsid w:val="00D22A2A"/>
    <w:rsid w:val="00D33B09"/>
    <w:rsid w:val="00D470A8"/>
    <w:rsid w:val="00D87D63"/>
    <w:rsid w:val="00E213C6"/>
    <w:rsid w:val="00E31AC5"/>
    <w:rsid w:val="00E74D8F"/>
    <w:rsid w:val="00E7764D"/>
    <w:rsid w:val="00ED61B4"/>
    <w:rsid w:val="00F44110"/>
    <w:rsid w:val="00F50EB5"/>
    <w:rsid w:val="00F75B04"/>
    <w:rsid w:val="00F8627C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A2C9AB82-3177-3246-87A8-9B208A68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1D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D3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D3C"/>
    <w:rPr>
      <w:rFonts w:eastAsiaTheme="minorHAnsi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D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D3C"/>
    <w:rPr>
      <w:rFonts w:eastAsiaTheme="minorHAnsi"/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3C"/>
    <w:rPr>
      <w:rFonts w:ascii="Lucida Grande" w:eastAsiaTheme="minorHAnsi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Microsoft Office User</cp:lastModifiedBy>
  <cp:revision>9</cp:revision>
  <dcterms:created xsi:type="dcterms:W3CDTF">2020-01-29T00:42:00Z</dcterms:created>
  <dcterms:modified xsi:type="dcterms:W3CDTF">2020-01-31T21:51:00Z</dcterms:modified>
</cp:coreProperties>
</file>