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3" w:lineRule="auto"/>
        <w:ind w:right="133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PIBID-DANÇA: REFLEXÕES SOBRE A INICIAÇÃO À DOCÊNCIA EM DANÇA NA EDUCAÇÃO BÁSICA PÚBLICA</w:t>
      </w:r>
    </w:p>
    <w:p w:rsidR="00000000" w:rsidDel="00000000" w:rsidP="00000000" w:rsidRDefault="00000000" w:rsidRPr="00000000" w14:paraId="00000002">
      <w:pPr>
        <w:spacing w:before="3" w:lineRule="auto"/>
        <w:ind w:right="1338"/>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before="3" w:lineRule="auto"/>
        <w:ind w:right="1338"/>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before="3" w:lineRule="auto"/>
        <w:ind w:right="1338"/>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4"/>
          <w:szCs w:val="24"/>
          <w:rtl w:val="0"/>
        </w:rPr>
        <w:t xml:space="preserve">Júlia Arruda Simões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 UFPE</w:t>
      </w:r>
    </w:p>
    <w:p w:rsidR="00000000" w:rsidDel="00000000" w:rsidP="00000000" w:rsidRDefault="00000000" w:rsidRPr="00000000" w14:paraId="00000005">
      <w:pPr>
        <w:spacing w:before="3" w:lineRule="auto"/>
        <w:ind w:right="1338"/>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João Marcos de Souza</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-UFPE</w:t>
      </w:r>
    </w:p>
    <w:p w:rsidR="00000000" w:rsidDel="00000000" w:rsidP="00000000" w:rsidRDefault="00000000" w:rsidRPr="00000000" w14:paraId="00000006">
      <w:pPr>
        <w:spacing w:before="3" w:lineRule="auto"/>
        <w:ind w:right="1338"/>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Mariah Santana de Oliveira</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 UFPE</w:t>
      </w:r>
    </w:p>
    <w:p w:rsidR="00000000" w:rsidDel="00000000" w:rsidP="00000000" w:rsidRDefault="00000000" w:rsidRPr="00000000" w14:paraId="00000007">
      <w:pPr>
        <w:spacing w:before="3" w:lineRule="auto"/>
        <w:ind w:right="1338"/>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Matheus de Lima Alves</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-UFPE    </w:t>
      </w:r>
    </w:p>
    <w:p w:rsidR="00000000" w:rsidDel="00000000" w:rsidP="00000000" w:rsidRDefault="00000000" w:rsidRPr="00000000" w14:paraId="00000008">
      <w:pPr>
        <w:spacing w:before="3" w:lineRule="auto"/>
        <w:ind w:right="1338"/>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Profº Ms Diogo Lins de Lima</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 SEDUC-RECIFE</w:t>
      </w:r>
    </w:p>
    <w:p w:rsidR="00000000" w:rsidDel="00000000" w:rsidP="00000000" w:rsidRDefault="00000000" w:rsidRPr="00000000" w14:paraId="00000009">
      <w:pPr>
        <w:spacing w:before="3" w:lineRule="auto"/>
        <w:ind w:right="1338"/>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Profª Drª Letícia Damasceno Barreto</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 UFPE</w:t>
      </w:r>
    </w:p>
    <w:p w:rsidR="00000000" w:rsidDel="00000000" w:rsidP="00000000" w:rsidRDefault="00000000" w:rsidRPr="00000000" w14:paraId="0000000A">
      <w:pPr>
        <w:spacing w:before="3" w:lineRule="auto"/>
        <w:ind w:right="1338"/>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before="3" w:lineRule="auto"/>
        <w:ind w:right="133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Resumo:</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O presente texto tem como objetivo refletir sobre o processo de iniciação à docência, na área de Dança, no âmbito do ensino básico público. As reflexões apresentadas dizem respeito às experiências dos/as pibidianos/as na Escola Municipal em Tempo Integral Pedro Augusto. A metodologia utilizada foi qualitativa com base no método da observação participante. O aporte teórico é constituído de autores como </w:t>
      </w:r>
      <w:r w:rsidDel="00000000" w:rsidR="00000000" w:rsidRPr="00000000">
        <w:rPr>
          <w:rFonts w:ascii="Times New Roman" w:cs="Times New Roman" w:eastAsia="Times New Roman" w:hAnsi="Times New Roman"/>
          <w:highlight w:val="white"/>
          <w:rtl w:val="0"/>
        </w:rPr>
        <w:t xml:space="preserve">Paulo Freire (1996); Ivana Motta (2023), Daniel Munduruku (2012) e bell hooks (2013). As experiências do PIBID-Dança revelam que apesar dos desafios encontrados para a materialização do ensino da Dança na escola pública, o processo contínuo proporcionado pelo programa tem ajudado a identificar estratégias didático-metodológicas para concretizar esta realidade. </w:t>
      </w:r>
      <w:r w:rsidDel="00000000" w:rsidR="00000000" w:rsidRPr="00000000">
        <w:rPr>
          <w:rtl w:val="0"/>
        </w:rPr>
      </w:r>
    </w:p>
    <w:p w:rsidR="00000000" w:rsidDel="00000000" w:rsidP="00000000" w:rsidRDefault="00000000" w:rsidRPr="00000000" w14:paraId="0000000C">
      <w:pPr>
        <w:spacing w:before="3" w:lineRule="auto"/>
        <w:ind w:right="133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before="3" w:lineRule="auto"/>
        <w:ind w:right="133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Pibid-Dança; Formação; Educação básica; Estratégias.</w:t>
      </w:r>
    </w:p>
    <w:p w:rsidR="00000000" w:rsidDel="00000000" w:rsidP="00000000" w:rsidRDefault="00000000" w:rsidRPr="00000000" w14:paraId="0000000E">
      <w:pPr>
        <w:pStyle w:val="Heading3"/>
        <w:keepNext w:val="0"/>
        <w:keepLines w:val="0"/>
        <w:widowControl w:val="1"/>
        <w:spacing w:after="80" w:befor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pStyle w:val="Heading3"/>
        <w:keepNext w:val="0"/>
        <w:keepLines w:val="0"/>
        <w:widowControl w:val="1"/>
        <w:spacing w:after="80" w:before="2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color w:val="000000"/>
          <w:sz w:val="24"/>
          <w:szCs w:val="24"/>
          <w:u w:val="none"/>
          <w:vertAlign w:val="baseline"/>
          <w:rtl w:val="0"/>
        </w:rPr>
        <w:t xml:space="preserve">I</w:t>
      </w:r>
      <w:r w:rsidDel="00000000" w:rsidR="00000000" w:rsidRPr="00000000">
        <w:rPr>
          <w:rFonts w:ascii="Times New Roman" w:cs="Times New Roman" w:eastAsia="Times New Roman" w:hAnsi="Times New Roman"/>
          <w:sz w:val="24"/>
          <w:szCs w:val="24"/>
          <w:rtl w:val="0"/>
        </w:rPr>
        <w:t xml:space="preserve">NTRODUÇÃO</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 presente texto apresenta reflexões sobre a experiência </w:t>
      </w:r>
      <w:r w:rsidDel="00000000" w:rsidR="00000000" w:rsidRPr="00000000">
        <w:rPr>
          <w:rFonts w:ascii="Times New Roman" w:cs="Times New Roman" w:eastAsia="Times New Roman" w:hAnsi="Times New Roman"/>
          <w:sz w:val="24"/>
          <w:szCs w:val="24"/>
          <w:rtl w:val="0"/>
        </w:rPr>
        <w:t xml:space="preserve">de iniciação à docência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dos/as licenciandos/as do Curso de Dança da Universidade Federal de Pernambuco por meio do Programa Institucional de Bolsas de Iniciação à Docência (PIBID). A iniciação à docência em dança na educação básica pública, proporcionada pelo PIBID - Dança, tem </w:t>
      </w:r>
      <w:r w:rsidDel="00000000" w:rsidR="00000000" w:rsidRPr="00000000">
        <w:rPr>
          <w:rFonts w:ascii="Times New Roman" w:cs="Times New Roman" w:eastAsia="Times New Roman" w:hAnsi="Times New Roman"/>
          <w:sz w:val="24"/>
          <w:szCs w:val="24"/>
          <w:rtl w:val="0"/>
        </w:rPr>
        <w:t xml:space="preserve">nos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possibilitado, licenciandos/as do Curso de Dança, a vivência direta com a realidade do ensino de dança na escola pública, revelando tanto os desafios quanto novas possibilidades metodológicas para garantir a efetivação da Dança como área de conhecimento no currículo escolar. </w:t>
      </w:r>
    </w:p>
    <w:p w:rsidR="00000000" w:rsidDel="00000000" w:rsidP="00000000" w:rsidRDefault="00000000" w:rsidRPr="00000000" w14:paraId="00000011">
      <w:pPr>
        <w:spacing w:after="240"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PIBID-Dança permite que os estudantes do Curso de Dança tenham contato direto com o ensino de dança na educação básica, o que é muito rico para nossa formação inicial. Além disso, também possibilita o contato com os alunos e funcionários da rede pública de ensino. É um programa que acontece num tempo alongado, tornando viável que o licenciando faça um acompanhamento contínuo da turma que observa e atua, assim como ocorre com os professores da base, que estão o ano inteiro lecionando para os mesmos alunos.</w:t>
      </w:r>
    </w:p>
    <w:p w:rsidR="00000000" w:rsidDel="00000000" w:rsidP="00000000" w:rsidRDefault="00000000" w:rsidRPr="00000000" w14:paraId="00000012">
      <w:pPr>
        <w:spacing w:after="240"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experiência tem nos possibilitado, licenciandos do Curso de Dança, a vivência direta com a realidade escolar, revelando tanto desafios quanto novas possibilidades metodológicas. Vale ressaltar que a experiência também evidencia aspectos relacionados à materialização do ensino de dança na escola pública, à relação com currículo-conteúdo, bem como os desafios e potencialidades encontrados no processo.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 Dança é uma das linguagens artísticas que constitui o componente curricular da Arte, de acordo com a Lei 13.278/16. Além disso, é reconhecida pela Base Nacional Comum Curricular (BNCC), documento norteador para a criação dos referenciais curriculares em todo território nacional. Entretanto, sua efetiva materialização na escola pública ainda enfrenta problemas relacionados à falta de interesse da gestão pública em garantir o seu ensino e, principalmente, pela escassez de professores formados na área.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72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Utilizou-se do método da observação participante para coletar dados referentes a nossa inserção na escola pública como bolsistas do PIBID-Dança. Os procedimentos metodológicos incluem a produção de diários de campo e narrativas reflexivas sobre nossas vivências em sala de aula, sendo observadas tanto as etapas de acompanhamento do professor supervisor quanto à regência, momento no qual nós assumimos diretamente a condução do ensino, com a  presença constante do professor supervisor Diogo Lins. A coleta de dados baseia-se em relatos escritos pelos próprios participantes, abrangendo observações feitas, desafios enfrentados e processos de adaptação das metodologias de ensino ao perfil de cada turma.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O aporte teórico é constituído de autores que nos ajudam a pensar a relação da dança com a educação a partir de uma perspectiva de mundo não hegemônica, são eles: Paulo Freire (1996);  Ivana Motta (2023), Daniel Munduruku (2012) e bell hooks (2013). Além deles, fez-se necessário a leitura da Política de Ensino da Rede Municipal de Ensino do Recife e da Base Nacional Comum Curricular (BNCC), para fundamentarmos nossas práticas pedagógicas e compreendermos a relação dos saberes </w:t>
      </w:r>
      <w:r w:rsidDel="00000000" w:rsidR="00000000" w:rsidRPr="00000000">
        <w:rPr>
          <w:rFonts w:ascii="Times New Roman" w:cs="Times New Roman" w:eastAsia="Times New Roman" w:hAnsi="Times New Roman"/>
          <w:sz w:val="24"/>
          <w:szCs w:val="24"/>
          <w:highlight w:val="white"/>
          <w:rtl w:val="0"/>
        </w:rPr>
        <w:t xml:space="preserve">que constam no currículo da rede de ensino da Prefeitura do Recife.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MATERIALIZAÇÃO DO ENSINO DE DANÇA NA ESCOLA</w:t>
      </w:r>
    </w:p>
    <w:p w:rsidR="00000000" w:rsidDel="00000000" w:rsidP="00000000" w:rsidRDefault="00000000" w:rsidRPr="00000000" w14:paraId="00000018">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Antes da experiência do PIBID-Dança na Escola Municipal em Tempo Integral Pedro Augusto, a docência em dança era para muitos de nós um campo ainda abstrato, restrito às discussões acadêmicas e às práticas universitárias. Foi no contato com os alunos da rede pública que o ensino da dança se materializou como experiência concreta, revelando a importância da Dança como área de conhecimento no currículo escolar.</w:t>
      </w:r>
    </w:p>
    <w:p w:rsidR="00000000" w:rsidDel="00000000" w:rsidP="00000000" w:rsidRDefault="00000000" w:rsidRPr="00000000" w14:paraId="00000019">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Estar em sala de aula, inicialmente, em observação  foi fundamental para compreendermos como se dá o ensino de dança na escola pública. Ao acompanharmos a prática docente do professor supervisor percebemos como ele constrói didaticamente a sua aula, e como a sua prática docente nos revela estratégias metodológicas que facilitam a realização das aulas. O PIBID-Dança vem nos ajudando a compreender a Dança como área de conhecimento cujas práticas de ensino permite-nos integrá-la ao cotidiano escolar.</w:t>
      </w:r>
    </w:p>
    <w:p w:rsidR="00000000" w:rsidDel="00000000" w:rsidP="00000000" w:rsidRDefault="00000000" w:rsidRPr="00000000" w14:paraId="0000001A">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vivência no PIBID tem nos permitido perceber que a relação entre dança, conteúdo e currículo vai além da simples aplicação de técnicas ou estilos de danças em planos de aula .Ao trabalhar com manifestações culturais locais, como o Caboclinho e o Afoxé, os estudantes puderam reconhecer sua própria cultura e se posicionar como protagonistas do processo de criação. Essa experiência se aproxima das reflexões de Motta (2023), que afirma:</w:t>
      </w:r>
    </w:p>
    <w:p w:rsidR="00000000" w:rsidDel="00000000" w:rsidP="00000000" w:rsidRDefault="00000000" w:rsidRPr="00000000" w14:paraId="0000001B">
      <w:pPr>
        <w:spacing w:after="240" w:before="240" w:line="240" w:lineRule="auto"/>
        <w:ind w:left="2160" w:right="6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fazer em dança é a própria rota de Sankofa, lugar de (re)encontro com potências ancestrais e valorização dos saberes negros”; e aprofunda-se ao afirmar que o “corpa/corpo co-movente” nos convoca a reconhecer as relações entre singularidades, coletividades e as co-movências — visíveis e invisíveis — nas encruzilhadas do corpo e da dança como questões (MOTTA, 2023, p. 2 ).</w:t>
      </w:r>
    </w:p>
    <w:p w:rsidR="00000000" w:rsidDel="00000000" w:rsidP="00000000" w:rsidRDefault="00000000" w:rsidRPr="00000000" w14:paraId="0000001C">
      <w:pPr>
        <w:spacing w:after="240" w:before="240" w:line="240" w:lineRule="auto"/>
        <w:ind w:left="2160" w:right="60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D">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perspectiva evidencia que a dança na escola não se limita à transmissão de passos ou técnicas, mas se configura como um território de partilha, memória e ancestralidade.  As aulas com os alunos permitem que a prática corporal se torne um espaço de (re)encontro com saberes culturais e identitários, reforçando vínculos entre estudantes, comunidade e patrimônio cultural, tal como ocorre na dinâmica das atividades e das improvisações coletivas durante as aulas.</w:t>
      </w:r>
    </w:p>
    <w:p w:rsidR="00000000" w:rsidDel="00000000" w:rsidP="00000000" w:rsidRDefault="00000000" w:rsidRPr="00000000" w14:paraId="0000001E">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Motta (2023), a dança, ao se relacionar com questões de ancestralidade e identidade, amplia a compreensão dos sujeitos sobre si mesmos e sobre o mundo, possibilitando a criação de espaços coletivos de aprendizado e valorização cultural. Nesse sentido, metodologias e dinâmicas das atividades e de improvisações coletivas durante as aulas possibilitaram construir conteúdos que não apenas ensinam passos ou sequências, mas estimulam pensamento crítico, consciência corporal e valorização da diversidade cultural. </w:t>
      </w:r>
    </w:p>
    <w:p w:rsidR="00000000" w:rsidDel="00000000" w:rsidP="00000000" w:rsidRDefault="00000000" w:rsidRPr="00000000" w14:paraId="0000001F">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Complementando essa perspectiva, o pesquisador indígena Daniel Munduruku (2012) afirma que “pensar a ancestralidade é compreender a educação para além dos muros da escola, reconhecendo os saberes transmitidos pela oralidade e pela experiência coletiva” (Munduruku, 2012, p. 70-71) reforçando que a aprendizagem se estende para além do espaço formal, integrando memória, cultura e vivência comunitária. Alinhados com o pensamento desses autores estamos desenvolvendo práticas de ensino de dança,  cujos conteúdos não se restringem às técnicas codificadas de danças, mas, amplia-se para abarcar saberes populares, práticas comunitárias e reflexões identitárias, em consonância com as diretrizes educacionais.</w:t>
      </w:r>
    </w:p>
    <w:p w:rsidR="00000000" w:rsidDel="00000000" w:rsidP="00000000" w:rsidRDefault="00000000" w:rsidRPr="00000000" w14:paraId="00000020">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240" w:before="240"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DESAFIOS E POSSIBILIDADES DA INICIAÇÃO À DOCÊNCIA EM DANÇA</w:t>
      </w:r>
    </w:p>
    <w:p w:rsidR="00000000" w:rsidDel="00000000" w:rsidP="00000000" w:rsidRDefault="00000000" w:rsidRPr="00000000" w14:paraId="00000022">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iniciação à docência em dança na escola pública evidenciou desafios que, mais do que estruturais, foram de ordem formativa e relacional. Um dos primeiros pontos que emergiram foi a questão de como nós, pibidianos, faríamos intervenções nas turmas, já que havia um professor de Arte responsável. Esse movimento levantou reflexões sobre nosso papel, sobre como atuar em parceria sem substituir a docência já estabelecida e como construir um espaço de diálogo com a comunidade escolar e os/as estudantes.</w:t>
      </w:r>
    </w:p>
    <w:p w:rsidR="00000000" w:rsidDel="00000000" w:rsidP="00000000" w:rsidRDefault="00000000" w:rsidRPr="00000000" w14:paraId="00000023">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Iniciar a docência é desafiador, pois estamos falando de seres humanos que estão em formação e esse docente tem uma responsabilidade grande na formação de cada ser que ali está inserido, podendo incentivar cada aluno ou desmotivar também, como diz bell hooks “o aprendizado, em sua forma mais poderosa, tem de fato um potencial libertador” (hooks, 2013). Para nós, um dos principais desafios é transformar o conhecimento teórico em experiências práticas que despertem o interesse e a participação ativa dos estudantes. Nem sempre é fácil conduzir a turma para que todos se sintam à vontade para se expressar corporalmente, principalmente quando se trata de danças-negras, danças afro-diaspóricas.</w:t>
      </w:r>
    </w:p>
    <w:p w:rsidR="00000000" w:rsidDel="00000000" w:rsidP="00000000" w:rsidRDefault="00000000" w:rsidRPr="00000000" w14:paraId="00000024">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Vygotsky (1998) “o conhecimento é construído na interação com o outro.” Isso nos traz para trabalhar conceitos e identificações que vão além do sistema de educação tradicional, que foca somente métodos de avaliação isolados, enquanto a ideia de Vygotsky trata do coletivo, isso cria um conflito. Como avaliar um aluno que aprendeu com um colega — diante da Zona de Desenvolvimento Proximal (ZDP), se as ferramentas priorizam somente o aprendizado e desenvolvimento individual?</w:t>
      </w:r>
    </w:p>
    <w:p w:rsidR="00000000" w:rsidDel="00000000" w:rsidP="00000000" w:rsidRDefault="00000000" w:rsidRPr="00000000" w14:paraId="00000025">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situação em muitos momentos nos trouxe reflexão sobre como poderíamos e deveríamos introduzir o conteúdo e controlar a demanda de potenciais assuntos, principalmente sobre como e enquanto a relação seria confortável ou não aos alunos, visando a extensa gama de conteúdos que poderiam ser abordados de acordo com um determinado tema.</w:t>
      </w:r>
    </w:p>
    <w:p w:rsidR="00000000" w:rsidDel="00000000" w:rsidP="00000000" w:rsidRDefault="00000000" w:rsidRPr="00000000" w14:paraId="00000026">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desafio esteve relacionado à reação dos estudantes. Para muitos de nós, foi a primeira experiência prática e ativa em sala de aula diretamente com os alunos; para outros, já havia vivências anteriores tanto dentro quanto fora da escola básica. Essas diferenças de trajetória influenciaram na forma de lidar com a turma, nas estratégias metodológicas e na segurança em conduzir atividades.</w:t>
      </w:r>
    </w:p>
    <w:p w:rsidR="00000000" w:rsidDel="00000000" w:rsidP="00000000" w:rsidRDefault="00000000" w:rsidRPr="00000000" w14:paraId="00000027">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observou-se em alguns momentos uma resistência por parte de alguns alunos, especialmente quando as propostas demandam envolvimento corporal e exposição diante dos colegas. Essa resistência exigiu a criação de metodologias que despertam interesse, acolhesse inseguranças e valorizassem gradualmente a participação de todos.</w:t>
      </w:r>
    </w:p>
    <w:p w:rsidR="00000000" w:rsidDel="00000000" w:rsidP="00000000" w:rsidRDefault="00000000" w:rsidRPr="00000000" w14:paraId="00000028">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aspecto importante foi a dificuldade em associar os conteúdos discutidos na universidade com a realidade concreta dos alunos da educação básica. Como aponta Freire (1996, p. 30), “ensinar não é transferir conhecimento, mas criar possibilidades para a sua própria produção ou construção”. A transposição didática se mostrou um exercício complexo, que demandou adaptações, simplificações e um olhar sensível para o contexto sociocultural dos estudantes.</w:t>
      </w:r>
    </w:p>
    <w:p w:rsidR="00000000" w:rsidDel="00000000" w:rsidP="00000000" w:rsidRDefault="00000000" w:rsidRPr="00000000" w14:paraId="00000029">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outro lado, esses desafios também abriram possibilidades. A experiência permitiu desenvolver maior consciência sobre o papel docente, exercitar a flexibilidade metodológica e fortalecer a capacidade de diálogo com realidades distintas. Assim, a iniciação à docência se consolida como espaço de formação prática, crítica e colaborativa, que nos prepara para enfrentar a complexidade da escola pública com mais maturidade e criatividade.</w:t>
      </w:r>
    </w:p>
    <w:p w:rsidR="00000000" w:rsidDel="00000000" w:rsidP="00000000" w:rsidRDefault="00000000" w:rsidRPr="00000000" w14:paraId="0000002A">
      <w:pPr>
        <w:spacing w:after="240" w:before="240"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CONSIDERAÇÕES FINAIS</w:t>
      </w:r>
    </w:p>
    <w:p w:rsidR="00000000" w:rsidDel="00000000" w:rsidP="00000000" w:rsidRDefault="00000000" w:rsidRPr="00000000" w14:paraId="0000002B">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A experiência da iniciação à docência em dança na educação básica pública evidenciou um processo de aprendizado mútuo: enquanto nós licenciandos materializamos o ensino da dança no cotidiano escolar, os estudantes também se apropriaram dessa linguagem como forma de expressão e reconhecimento cultural.</w:t>
      </w:r>
    </w:p>
    <w:p w:rsidR="00000000" w:rsidDel="00000000" w:rsidP="00000000" w:rsidRDefault="00000000" w:rsidRPr="00000000" w14:paraId="0000002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por um lado, enfrentamos desafios formativos e relacionais, por outro, descobrimos possibilidades de ressignificar a dança no contexto da escola, fortalecendo sua presença como conhecimento legítimo e necessário. O contato com a realidade da educação básica ampliou nossos referenciais, revelando que o ensino da dança só se efetiva quando dialoga com o currículo, com a cultura local e com as vivências dos alunos. A iniciação à docência, portanto, não apenas prepara futuros professores, mas também contribui para a construção de uma educação pública mais plural, crítica e sensível à diversidade cultural. </w:t>
      </w:r>
    </w:p>
    <w:p w:rsidR="00000000" w:rsidDel="00000000" w:rsidP="00000000" w:rsidRDefault="00000000" w:rsidRPr="00000000" w14:paraId="0000002D">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2E">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Ministério da Educação. Base Nacional Comum Curricular. Brasília: MEC, 2018.</w:t>
      </w:r>
    </w:p>
    <w:p w:rsidR="00000000" w:rsidDel="00000000" w:rsidP="00000000" w:rsidRDefault="00000000" w:rsidRPr="00000000" w14:paraId="0000002F">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FREIRE, Paulo. Pedagogia da autonomia</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saberes necessários à prática educativa. 31ª ed. São Paulo: Paz e Terra, 1996.</w:t>
      </w:r>
    </w:p>
    <w:p w:rsidR="00000000" w:rsidDel="00000000" w:rsidP="00000000" w:rsidRDefault="00000000" w:rsidRPr="00000000" w14:paraId="00000030">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HOOKS, Bell. Ensinando a transgredir: a educação como prática da liberdade. São Paulo: Martins Fontes, 2013.</w:t>
      </w:r>
    </w:p>
    <w:p w:rsidR="00000000" w:rsidDel="00000000" w:rsidP="00000000" w:rsidRDefault="00000000" w:rsidRPr="00000000" w14:paraId="00000031">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IVANA, Motta. "Movências nas rotas de Sankofa:  poéticas, agências e corpa/corpo co-movente na dança". In: ANAIS DO VI CONGRESSO DA ANDA , 2021, Salvador. Anais eletrônicos..., Galoá, 2021. Disponível em: &lt;https://proceedings.science/anda/anda-2021/trabalhos/movencias-nas-rotas-de-sankofa-poeticas-agencias-e-corpacorpo-co-movente-na-danc?lang=pt-br&gt; Acesso em: 17 Set. 2025.</w:t>
      </w:r>
    </w:p>
    <w:p w:rsidR="00000000" w:rsidDel="00000000" w:rsidP="00000000" w:rsidRDefault="00000000" w:rsidRPr="00000000" w14:paraId="00000032">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MUNDURUKU, Daniel. O caráter educativo do movimento indígena brasileiro (1970-1990). Campinas: Paulinas, 2012.</w:t>
      </w:r>
    </w:p>
    <w:p w:rsidR="00000000" w:rsidDel="00000000" w:rsidP="00000000" w:rsidRDefault="00000000" w:rsidRPr="00000000" w14:paraId="00000033">
      <w:pPr>
        <w:spacing w:after="240" w:before="240" w:line="360" w:lineRule="auto"/>
        <w:ind w:left="0" w:firstLine="0"/>
        <w:jc w:val="both"/>
        <w:rPr>
          <w:rFonts w:ascii="Arial" w:cs="Arial" w:eastAsia="Arial" w:hAnsi="Arial"/>
          <w:sz w:val="17"/>
          <w:szCs w:val="17"/>
        </w:rPr>
      </w:pPr>
      <w:r w:rsidDel="00000000" w:rsidR="00000000" w:rsidRPr="00000000">
        <w:rPr>
          <w:rFonts w:ascii="Times New Roman" w:cs="Times New Roman" w:eastAsia="Times New Roman" w:hAnsi="Times New Roman"/>
          <w:sz w:val="24"/>
          <w:szCs w:val="24"/>
          <w:rtl w:val="0"/>
        </w:rPr>
        <w:t xml:space="preserve">VYGOTSKY, Lev Semenovich. </w:t>
      </w:r>
      <w:r w:rsidDel="00000000" w:rsidR="00000000" w:rsidRPr="00000000">
        <w:rPr>
          <w:rFonts w:ascii="Times New Roman" w:cs="Times New Roman" w:eastAsia="Times New Roman" w:hAnsi="Times New Roman"/>
          <w:i w:val="1"/>
          <w:sz w:val="24"/>
          <w:szCs w:val="24"/>
          <w:rtl w:val="0"/>
        </w:rPr>
        <w:t xml:space="preserve">A Formação Social da Mente.</w:t>
      </w:r>
      <w:r w:rsidDel="00000000" w:rsidR="00000000" w:rsidRPr="00000000">
        <w:rPr>
          <w:rFonts w:ascii="Times New Roman" w:cs="Times New Roman" w:eastAsia="Times New Roman" w:hAnsi="Times New Roman"/>
          <w:sz w:val="24"/>
          <w:szCs w:val="24"/>
          <w:rtl w:val="0"/>
        </w:rPr>
        <w:t xml:space="preserve"> 4. ed. São Paulo: Martins.</w:t>
      </w:r>
      <w:r w:rsidDel="00000000" w:rsidR="00000000" w:rsidRPr="00000000">
        <w:rPr>
          <w:rtl w:val="0"/>
        </w:rPr>
      </w:r>
    </w:p>
    <w:sectPr>
      <w:headerReference r:id="rId8" w:type="default"/>
      <w:pgSz w:h="16840" w:w="11900" w:orient="portrait"/>
      <w:pgMar w:bottom="280" w:top="0" w:left="1700" w:right="170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B">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Discente do Curso de Dança e bolsista do PIBID-Dança da UFPE.Email: julia.simoes@ufpe.br</w:t>
      </w:r>
    </w:p>
  </w:footnote>
  <w:footnote w:id="1">
    <w:p w:rsidR="00000000" w:rsidDel="00000000" w:rsidP="00000000" w:rsidRDefault="00000000" w:rsidRPr="00000000" w14:paraId="0000003C">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Discente do Curso de Dança e bolsista do PIBID-Dança da UFPE. Email: j</w:t>
      </w:r>
      <w:r w:rsidDel="00000000" w:rsidR="00000000" w:rsidRPr="00000000">
        <w:rPr>
          <w:sz w:val="20"/>
          <w:szCs w:val="20"/>
          <w:highlight w:val="white"/>
          <w:rtl w:val="0"/>
        </w:rPr>
        <w:t xml:space="preserve">oao.marcossouza@ufpe.b</w:t>
      </w:r>
      <w:r w:rsidDel="00000000" w:rsidR="00000000" w:rsidRPr="00000000">
        <w:rPr>
          <w:color w:val="222222"/>
          <w:sz w:val="20"/>
          <w:szCs w:val="20"/>
          <w:highlight w:val="white"/>
          <w:rtl w:val="0"/>
        </w:rPr>
        <w:t xml:space="preserve">r</w:t>
      </w:r>
      <w:r w:rsidDel="00000000" w:rsidR="00000000" w:rsidRPr="00000000">
        <w:rPr>
          <w:rtl w:val="0"/>
        </w:rPr>
      </w:r>
    </w:p>
  </w:footnote>
  <w:footnote w:id="2">
    <w:p w:rsidR="00000000" w:rsidDel="00000000" w:rsidP="00000000" w:rsidRDefault="00000000" w:rsidRPr="00000000" w14:paraId="0000003D">
      <w:pPr>
        <w:spacing w:before="3" w:lineRule="auto"/>
        <w:ind w:right="1338"/>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Discente do Curso de Dança e bolsista do PIBID-Dança da UFPE. Email: mariah.santana@ufpe.br</w:t>
      </w:r>
    </w:p>
  </w:footnote>
  <w:footnote w:id="3">
    <w:p w:rsidR="00000000" w:rsidDel="00000000" w:rsidP="00000000" w:rsidRDefault="00000000" w:rsidRPr="00000000" w14:paraId="0000003E">
      <w:pPr>
        <w:spacing w:before="3" w:lineRule="auto"/>
        <w:ind w:right="1338"/>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Discente do Curso de Dança e bolsista do PIBID-Dança da UFPE.  Email: lima.alves@ufpe.br     </w:t>
      </w:r>
    </w:p>
  </w:footnote>
  <w:footnote w:id="4">
    <w:p w:rsidR="00000000" w:rsidDel="00000000" w:rsidP="00000000" w:rsidRDefault="00000000" w:rsidRPr="00000000" w14:paraId="0000003F">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Docente da Rede Municipal de Ensino do Recife e Professor Supervisor do PIBID-Dança da UFPE. Email: diogo.1241478@prof.educ.rec.br </w:t>
      </w:r>
    </w:p>
  </w:footnote>
  <w:footnote w:id="5">
    <w:p w:rsidR="00000000" w:rsidDel="00000000" w:rsidP="00000000" w:rsidRDefault="00000000" w:rsidRPr="00000000" w14:paraId="00000040">
      <w:pPr>
        <w:spacing w:before="3" w:lineRule="auto"/>
        <w:ind w:right="16.062992125985716"/>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Docente do Curso de Dança da UFPE e coordenadora do PIBID-Dança da mesma instituição. Email: leticia.damasceno@ufpe.br</w:t>
      </w:r>
    </w:p>
    <w:p w:rsidR="00000000" w:rsidDel="00000000" w:rsidP="00000000" w:rsidRDefault="00000000" w:rsidRPr="00000000" w14:paraId="00000041">
      <w:pPr>
        <w:spacing w:before="3" w:lineRule="auto"/>
        <w:ind w:right="1338"/>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spacing w:before="3" w:lineRule="auto"/>
        <w:ind w:right="1338"/>
        <w:rPr>
          <w:sz w:val="20"/>
          <w:szCs w:val="20"/>
        </w:rPr>
      </w:pPr>
      <w:r w:rsidDel="00000000" w:rsidR="00000000" w:rsidRPr="00000000">
        <w:rPr>
          <w:rtl w:val="0"/>
        </w:rPr>
      </w:r>
    </w:p>
    <w:p w:rsidR="00000000" w:rsidDel="00000000" w:rsidP="00000000" w:rsidRDefault="00000000" w:rsidRPr="00000000" w14:paraId="00000043">
      <w:pPr>
        <w:spacing w:before="3" w:lineRule="auto"/>
        <w:ind w:right="1338"/>
        <w:jc w:val="right"/>
        <w:rPr>
          <w:sz w:val="20"/>
          <w:szCs w:val="20"/>
        </w:rPr>
      </w:pPr>
      <w:r w:rsidDel="00000000" w:rsidR="00000000" w:rsidRPr="00000000">
        <w:rPr>
          <w:rtl w:val="0"/>
        </w:rPr>
      </w:r>
    </w:p>
    <w:p w:rsidR="00000000" w:rsidDel="00000000" w:rsidP="00000000" w:rsidRDefault="00000000" w:rsidRPr="00000000" w14:paraId="00000044">
      <w:pPr>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ind w:left="-141" w:hanging="566"/>
      <w:jc w:val="both"/>
      <w:rPr/>
    </w:pPr>
    <w:r w:rsidDel="00000000" w:rsidR="00000000" w:rsidRPr="00000000">
      <w:rPr/>
      <w:drawing>
        <wp:inline distB="114300" distT="114300" distL="114300" distR="114300">
          <wp:extent cx="5802313" cy="2181225"/>
          <wp:effectExtent b="0" l="0" r="0" t="0"/>
          <wp:docPr id="1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802313" cy="2181225"/>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spacing w:before="3" w:lineRule="auto"/>
      <w:ind w:left="-566" w:right="1338" w:firstLine="0"/>
      <w:jc w:val="center"/>
      <w:rPr>
        <w:rFonts w:ascii="Arial" w:cs="Arial" w:eastAsia="Arial" w:hAnsi="Arial"/>
        <w:sz w:val="17"/>
        <w:szCs w:val="17"/>
      </w:rPr>
    </w:pPr>
    <w:r w:rsidDel="00000000" w:rsidR="00000000" w:rsidRPr="00000000">
      <w:rPr>
        <w:rtl w:val="0"/>
      </w:rPr>
    </w:r>
  </w:p>
  <w:p w:rsidR="00000000" w:rsidDel="00000000" w:rsidP="00000000" w:rsidRDefault="00000000" w:rsidRPr="00000000" w14:paraId="00000038">
    <w:pPr>
      <w:ind w:left="-141" w:hanging="566"/>
      <w:jc w:val="both"/>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pict>
        <v:shape id="WordPictureWatermark1" style="position:absolute;width:478.5pt;height:651.2998425196851pt;rotation:0;z-index:-503316481;mso-position-horizontal-relative:margin;mso-position-horizontal:absolute;margin-left:-27.6pt;mso-position-vertical-relative:margin;mso-position-vertical:absolute;margin-top:21.4pt;" alt="" type="#_x0000_t75">
          <v:imagedata blacklevel="22938f" cropbottom="0f" cropleft="0f" cropright="0f" croptop="0f" gain="19661f" r:id="rId2"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4" w:lineRule="auto"/>
    </w:pPr>
    <w:rPr>
      <w:rFonts w:ascii="Times New Roman" w:cs="Times New Roman" w:eastAsia="Times New Roman" w:hAnsi="Times New Roman"/>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8" w:default="1">
    <w:name w:val="Default Paragraph Font"/>
    <w:uiPriority w:val="1"/>
    <w:semiHidden w:val="1"/>
    <w:unhideWhenUsed w:val="1"/>
  </w:style>
  <w:style w:type="table" w:styleId="9" w:default="1">
    <w:name w:val="Normal Table"/>
    <w:uiPriority w:val="0"/>
    <w:semiHidden w:val="1"/>
    <w:tblPr>
      <w:tblCellMar>
        <w:top w:w="0.0" w:type="dxa"/>
        <w:left w:w="108.0" w:type="dxa"/>
        <w:bottom w:w="0.0" w:type="dxa"/>
        <w:right w:w="108.0" w:type="dxa"/>
      </w:tblCellMar>
    </w:tblPr>
  </w:style>
  <w:style w:type="paragraph" w:styleId="11">
    <w:name w:val="Normal (Web)"/>
    <w:uiPriority w:val="0"/>
    <w:pPr>
      <w:spacing w:after="0" w:afterAutospacing="1" w:before="0" w:beforeAutospacing="1"/>
      <w:ind w:left="0" w:right="0"/>
      <w:jc w:val="left"/>
    </w:pPr>
    <w:rPr>
      <w:kern w:val="0"/>
      <w:szCs w:val="24"/>
      <w:lang w:bidi="ar" w:eastAsia="zh-CN" w:val="en-US"/>
    </w:rPr>
  </w:style>
  <w:style w:type="table" w:styleId="13" w:customStyle="1">
    <w:name w:val="TableNormal"/>
    <w:uiPriority w:val="0"/>
    <w:qFormat w:val="1"/>
    <w:tblPr>
      <w:tblCellMar>
        <w:top w:w="100.0" w:type="dxa"/>
        <w:left w:w="100.0" w:type="dxa"/>
        <w:bottom w:w="100.0" w:type="dxa"/>
        <w:right w:w="100.0" w:type="dxa"/>
      </w:tblCellMar>
    </w:tblPr>
  </w:style>
  <w:style w:type="table" w:styleId="14" w:customStyle="1">
    <w:name w:val="Table Normal"/>
    <w:uiPriority w:val="2"/>
    <w:semiHidden w:val="1"/>
    <w:unhideWhenUsed w:val="1"/>
    <w:qFormat w:val="1"/>
    <w:tblPr>
      <w:tblCellMar>
        <w:top w:w="0.0" w:type="dxa"/>
        <w:left w:w="0.0" w:type="dxa"/>
        <w:bottom w:w="0.0" w:type="dxa"/>
        <w:right w:w="0.0" w:type="dxa"/>
      </w:tblCellMar>
    </w:tblPr>
  </w:style>
  <w:style w:type="paragraph" w:styleId="15">
    <w:name w:val="List Paragraph"/>
    <w:basedOn w:val="1"/>
    <w:uiPriority w:val="1"/>
    <w:qFormat w:val="1"/>
  </w:style>
  <w:style w:type="paragraph" w:styleId="16" w:customStyle="1">
    <w:name w:val="Table Paragraph"/>
    <w:basedOn w:val="1"/>
    <w:uiPriority w:val="1"/>
    <w:qFormat w:val="1"/>
  </w:style>
  <w:style w:type="table" w:styleId="17" w:customStyle="1">
    <w:name w:val="_Style 29"/>
    <w:basedOn w:val="13"/>
    <w:uiPriority w:val="0"/>
    <w:tblPr>
      <w:tblCellMar>
        <w:top w:w="100.0" w:type="dxa"/>
        <w:left w:w="100.0" w:type="dxa"/>
        <w:bottom w:w="100.0" w:type="dxa"/>
        <w:right w:w="100.0" w:type="dxa"/>
      </w:tblCellMar>
    </w:tblPr>
  </w:style>
  <w:style w:type="table" w:styleId="18" w:customStyle="1">
    <w:name w:val="_Style 30"/>
    <w:basedOn w:val="13"/>
    <w:uiPriority w:val="0"/>
    <w:tblPr>
      <w:tblCellMar>
        <w:top w:w="100.0" w:type="dxa"/>
        <w:left w:w="100.0" w:type="dxa"/>
        <w:bottom w:w="100.0" w:type="dxa"/>
        <w:right w:w="100.0" w:type="dxa"/>
      </w:tblCellMar>
    </w:tblPr>
  </w:style>
  <w:style w:type="table" w:styleId="19" w:customStyle="1">
    <w:name w:val="_Style 31"/>
    <w:uiPriority w:val="0"/>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il4xt76dtqxtIL4VqBfSvDXz0Q==">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2025-01-10T21:27:00Z</dcterms:created>
  <dc:creator>Educação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LastSaved">
    <vt:filetime>2025-01-10T00:00:00Z</vt:filetime>
  </property>
  <property fmtid="{D5CDD505-2E9C-101B-9397-08002B2CF9AE}" pid="4" name="Producer">
    <vt:lpwstr>iLovePDF</vt:lpwstr>
  </property>
  <property fmtid="{D5CDD505-2E9C-101B-9397-08002B2CF9AE}" pid="5" name="KSOProductBuildVer">
    <vt:lpwstr>1046-12.2.0.22549</vt:lpwstr>
  </property>
  <property fmtid="{D5CDD505-2E9C-101B-9397-08002B2CF9AE}" pid="6" name="ICV">
    <vt:lpwstr>EF559337D902457FA8E692F04EE100FF_12</vt:lpwstr>
  </property>
</Properties>
</file>