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jc w:val="center"/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bCs w:val="1"/>
          <w:rtl w:val="0"/>
          <w:b/>
          <w:rFonts w:ascii="Times New Roman" w:cs="Times New Roman" w:eastAsia="Times New Roman" w:hAnsi="Times New Roman"/>
          <w:sz w:val="24"/>
          <w:szCs w:val="24"/>
        </w:rPr>
        <w:t xml:space="preserve">FORMAÇÃO E SABERES DOCENTES NO ENSINO DE MATEMÁTICA: A EXPERIÊNCIA DA ESCOLA POLIVALENTE DE MONTES CLAROS (1972–1996) </w:t>
      </w:r>
    </w:p>
    <w:p w:rsidR="00000000" w:rsidDel="00000000" w:rsidRDefault="00000000" w14:paraId="00000002" w:rsidP="00000000" w:rsidRPr="00000000">
      <w:pPr>
        <w:jc w:val="center"/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03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Emanoel Lopes Ferreira</w:t>
      </w:r>
    </w:p>
    <w:p w:rsidR="00000000" w:rsidDel="00000000" w:rsidRDefault="00000000" w14:paraId="00000004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Universidade Estadual de Montes Claros - UNIMONTES</w:t>
      </w:r>
    </w:p>
    <w:p w:rsidR="00000000" w:rsidDel="00000000" w:rsidRDefault="00000000" w14:paraId="00000005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emanoellopesferreira@gmail.com</w:t>
      </w:r>
    </w:p>
    <w:p w:rsidR="00000000" w:rsidDel="00000000" w:rsidRDefault="00000000" w14:paraId="00000006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Dr. Lailson dos Reis Pereira Lopes</w:t>
      </w:r>
    </w:p>
    <w:p w:rsidR="00000000" w:rsidDel="00000000" w:rsidRDefault="00000000" w14:paraId="00000007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Universidade Estadual de Montes Claros - UNIMONTES</w:t>
      </w:r>
    </w:p>
    <w:p w:rsidR="00000000" w:rsidDel="00000000" w:rsidRDefault="00000000" w14:paraId="00000008" w:rsidP="00000000" w:rsidRPr="00000000">
      <w:pPr>
        <w:jc w:val="righ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lailson.lopes@unimontes.br</w:t>
      </w:r>
    </w:p>
    <w:p w:rsidR="00000000" w:rsidDel="00000000" w:rsidRDefault="00000000" w14:paraId="00000009" w:rsidP="00000000" w:rsidRPr="00000000">
      <w:pPr>
        <w:ind w:right="120"/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bCs w:val="1"/>
          <w:rtl w:val="0"/>
          <w:b/>
          <w:rFonts w:ascii="Times New Roman" w:cs="Times New Roman" w:eastAsia="Times New Roman" w:hAnsi="Times New Roman"/>
          <w:sz w:val="24"/>
          <w:szCs w:val="24"/>
        </w:rPr>
        <w:t xml:space="preserve">Eixo: </w:t>
      </w: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Educação Matemática</w:t>
      </w:r>
    </w:p>
    <w:p w:rsidR="00000000" w:rsidDel="00000000" w:rsidRDefault="00000000" w14:paraId="0000000A" w:rsidP="00000000" w:rsidRPr="00000000">
      <w:pPr>
        <w:jc w:val="left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bCs w:val="1"/>
          <w:rtl w:val="0"/>
          <w:b/>
          <w:rFonts w:ascii="Times New Roman" w:cs="Times New Roman" w:eastAsia="Times New Roman" w:hAnsi="Times New Roman"/>
          <w:sz w:val="24"/>
          <w:szCs w:val="24"/>
        </w:rPr>
        <w:t>Palavras-chave</w:t>
      </w: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: Educação Matemática; Formação de Professores; História Oral.</w:t>
      </w:r>
    </w:p>
    <w:p w:rsidR="00000000" w:rsidDel="00000000" w:rsidRDefault="00000000" w14:paraId="0000000B" w:rsidP="00000000" w:rsidRPr="00000000">
      <w:pPr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0C" w:rsidP="00000000" w:rsidRPr="00000000">
      <w:pPr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bCs w:val="1"/>
          <w:rtl w:val="0"/>
          <w:b/>
          <w:rFonts w:ascii="Times New Roman" w:cs="Times New Roman" w:eastAsia="Times New Roman" w:hAnsi="Times New Roman"/>
          <w:sz w:val="24"/>
          <w:szCs w:val="24"/>
        </w:rPr>
        <w:t>Resumo Simples</w:t>
      </w:r>
    </w:p>
    <w:p w:rsidR="00000000" w:rsidDel="00000000" w:rsidRDefault="00000000" w14:paraId="0000000D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A pesquisa em andamento, investiga as práticas pedagógicas e os saberes no ensino da Matemática na Escola Estadual Professor Alcides de Carvalho, antiga Escola Polivalente, no município de Montes Claros/MG, abrangendo o período histórico entre 1972 e 1996. A justificativa da pesquisa está na sua relevância social e acadêmica de resgatar as memórias educacionais dessa instituição e de compreender as tensões existentes entre o modelo de ensino tecnicista predominante na época e as perspectivas críticas do processo de ensino da Matemática, analisando como a atuação e os saberes dos professores de Matemática foram determinantes para consolidar a escola como uma referência regional. Como problema de pesquisa, a investigação levanta a seguinte questão central: como as práticas pedagógicas de Matemática foram organizadas, transformadas e significadas no contexto do projeto Polivalente, e de que modo impactaram a formação discente? Para responder a essa problemática, o objetivo principal é analisar as práticas pedagógicas desenvolvidas, articulando narrativas históricas de ex-docentes e ex-alunos com o fim de compreender as continuidades, rupturas e a real contribuição do saber matemático para a formação escolar, profissional e social dos estudantes inseridos no contexto das heranças desse projeto. O referencial teórico da dissertação encontra-se amparado nas concepções sobre a identidade docente e a pluralidade dos saberes propostas por Tardif (2012) e Nóvoa (2000), nas reflexões de Shulman (1986) sobre o conhecimento pedagógico do conteúdo - PCK, bem como nas premissas fundamentais de D’Ambrosio (2001) com a Etnomatemática e de Skovsmose (2001) com a Educação Matemática. Os procedimentos metodológicos ancoram-se em uma pesquisa qualitativa de cunho histórico-documental, empregando principalmente o método da História Oral por meio da realização de entrevistas semi-estruturadas com ex-professores e ex-alunos, e integrando a pesquisa documental que envolve registros institucionais e o Projeto Político-Pedagógico da época. Os resultados parciais obtidos até o momento apontam que a docência na instituição foi muito além da mera reprodução de técnicas oficiais pré-estabelecidas, demonstrando uma apropriação ativa pelos docentes que almejavam alinhar os conteúdos de Matemática às realidades e necessidades locais dos alunos, impactando profundamente na aprovação dos egressos no ensino superior e sua inserção bem-sucedida em carreiras profissionais, a exemplo de bancos e setores de administração. Com isso, atesta alta relevância social ao ilustrar na prática como o ensino público da Matemática pode superar uma concepção de dificuldades para assumir, de fato, um caráter formativo, socialmente funcional e de emancipação pessoal. </w:t>
      </w:r>
    </w:p>
    <w:p w:rsidR="00000000" w:rsidDel="00000000" w:rsidRDefault="00000000" w14:paraId="0000000E" w:rsidP="00000000" w:rsidRPr="00000000">
      <w:pPr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0F" w:rsidP="00000000" w:rsidRPr="00000000">
      <w:pPr>
        <w:jc w:val="both"/>
        <w:spacing w:after="0" w:line="240" w:lineRule="auto"/>
        <w:rPr>
          <w:bCs w:val="1"/>
          <w:b/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nom1gcpubxn" w:id="0"/>
      <w:bookmarkEnd w:id="0"/>
      <w:r w:rsidR="00000000" w:rsidDel="00000000" w:rsidRPr="00000000">
        <w:rPr>
          <w:bCs w:val="1"/>
          <w:rtl w:val="0"/>
          <w:b/>
          <w:rFonts w:ascii="Times New Roman" w:cs="Times New Roman" w:eastAsia="Times New Roman" w:hAnsi="Times New Roman"/>
          <w:sz w:val="24"/>
          <w:szCs w:val="24"/>
        </w:rPr>
        <w:t>Referências</w:t>
      </w:r>
    </w:p>
    <w:p w:rsidR="00000000" w:rsidDel="00000000" w:rsidRDefault="00000000" w14:paraId="00000010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>ALBERTI, V. História oral: a experiência do CPDOC. 2. ed. Rio de Janeiro: FGV, 2004.</w:t>
      </w:r>
    </w:p>
    <w:p w:rsidR="00000000" w:rsidDel="00000000" w:rsidRDefault="00000000" w14:paraId="00000011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D’AMBROSIO, U. Etnomatemática: elo entre as tradições e a modernidade. Belo Horizonte: Autêntica, 2001. </w:t>
      </w:r>
    </w:p>
    <w:p w:rsidR="00000000" w:rsidDel="00000000" w:rsidRDefault="00000000" w14:paraId="00000012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MINAYO, M. C. S. O desafio do conhecimento: pesquisa qualitativa em saúde. 10. ed. São Paulo: Hucitec, 2007. </w:t>
      </w:r>
    </w:p>
    <w:p w:rsidR="00000000" w:rsidDel="00000000" w:rsidRDefault="00000000" w14:paraId="00000013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NÓVOA, A. Vidas de professores. 2. ed. Porto: Porto Editora, 2000. </w:t>
      </w:r>
    </w:p>
    <w:p w:rsidR="00000000" w:rsidDel="00000000" w:rsidRDefault="00000000" w14:paraId="00000014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SHULMAN, L. S. Those who understand: Knowledge growth in teaching. Educational Researcher, 15(2), 1986. </w:t>
      </w:r>
    </w:p>
    <w:p w:rsidR="00000000" w:rsidDel="00000000" w:rsidRDefault="00000000" w14:paraId="00000015" w:rsidP="00000000" w:rsidRPr="00000000">
      <w:pPr>
        <w:jc w:val="both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SKOVSMOSE, O. Educação Matemática Crítica. Campinas: Papirus, 2001. </w:t>
      </w:r>
    </w:p>
    <w:p w:rsidR="00000000" w:rsidDel="00000000" w:rsidRDefault="00000000" w14:paraId="00000016" w:rsidP="00000000" w:rsidRPr="00000000">
      <w:pPr>
        <w:jc w:val="both"/>
        <w:spacing w:after="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Calibri" w:cs="Calibri" w:eastAsia="Calibri" w:hAnsi="Calibri"/>
          <w:sz w:val="22"/>
          <w:szCs w:val="22"/>
          <w:smallCaps w:val="0"/>
          <w:shd w:fill="auto" w:val="clear"/>
        </w:rPr>
      </w:pPr>
      <w:r w:rsidR="00000000" w:rsidDel="00000000" w:rsidRPr="00000000">
        <w:rPr>
          <w:rtl w:val="0"/>
          <w:rFonts w:ascii="Times New Roman" w:cs="Times New Roman" w:eastAsia="Times New Roman" w:hAnsi="Times New Roman"/>
          <w:sz w:val="24"/>
          <w:szCs w:val="24"/>
        </w:rPr>
        <w:t xml:space="preserve">TARDIF, M. Saberes docentes e formação profissional. 13. ed. Petrópolis: Vozes, 2012. </w:t>
      </w:r>
      <w:r w:rsidR="00000000" w:rsidDel="00000000" w:rsidRPr="00000000">
        <w:rPr>
          <w:rtl w:val="0"/>
        </w:rPr>
      </w:r>
    </w:p>
    <w:p w:rsidR="00000000" w:rsidDel="00000000" w:rsidRDefault="00000000" w14:paraId="00000017" w:rsidP="00000000" w:rsidRPr="00000000">
      <w:pPr>
        <w:keepNext w:val="0"/>
        <w:keepLines w:val="0"/>
        <w:widowControl w:val="1"/>
        <w:pBdr>
          <w:top w:val="nil" w:sz="0" w:color="auto" w:space="0"/>
          <w:bottom w:val="nil" w:sz="0" w:color="auto" w:space="0"/>
          <w:left w:val="nil" w:sz="0" w:color="auto" w:space="0"/>
          <w:right w:val="nil" w:sz="0" w:color="auto" w:space="0"/>
          <w:between w:val="nil" w:sz="0" w:color="auto" w:space="0"/>
        </w:pBdr>
        <w:shd w:fill="auto" w:val="clear"/>
        <w:jc w:val="left"/>
        <w:ind w:left="0"/>
        <w:ind w:right="0"/>
        <w:ind w:firstLine="0"/>
        <w:pageBreakBefore w:val="0"/>
        <w:spacing w:before="0" w:after="160" w:line="240" w:lineRule="auto"/>
        <w:rPr>
          <w:bCs w:val="0"/>
          <w:iCs w:val="0"/>
          <w:b w:val="0"/>
          <w:i w:val="0"/>
          <w:u w:val="none"/>
          <w:strike w:val="0"/>
          <w:color w:val="000000"/>
          <w:rFonts w:ascii="Times New Roman" w:cs="Times New Roman" w:eastAsia="Times New Roman" w:hAnsi="Times New Roman"/>
          <w:sz w:val="24"/>
          <w:szCs w:val="24"/>
          <w:smallCaps w:val="0"/>
          <w:shd w:fill="auto" w:val="clear"/>
        </w:rPr>
      </w:pPr>
      <w:r w:rsidR="00000000" w:rsidDel="00000000" w:rsidRPr="00000000">
        <w:rPr>
          <w:rtl w:val="0"/>
        </w:rPr>
      </w:r>
    </w:p>
    <w:p w:rsidR="00000000" w:rsidDel="00000000" w:rsidRDefault="00000000" w14:paraId="00000018" w:rsidP="00000000" w:rsidRPr="00000000">
      <w:pPr/>
      <w:r w:rsidR="00000000" w:rsidDel="00000000" w:rsidRPr="00000000">
        <w:rPr>
          <w:rtl w:val="0"/>
        </w:rPr>
      </w:r>
    </w:p>
    <w:sectPr>
      <w:headerReference r:id="rId6" w:type="default"/>
      <w:pgNumType w:start="1"/>
      <w:pgSz w:w="11906" w:h="16838" w:orient="portrait"/>
      <w:pgMar w:left="1701" w:right="1134" w:top="1701" w:bottom="1134" w:header="708" w:footer="709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/>
  <w:font w:name="Times New Roman"/>
  <w:font w:name="Cambria"/>
  <w:font w:name="Symbol"/>
  <w:font w:name="Courier New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="http://schemas.microsoft.com/office/tasks/2019/documenttasks" xmlns:a="http://schemas.openxmlformats.org/drawingml/2006/main" xmlns:c="http://schemas.openxmlformats.org/drawingml/2006/chart" xmlns:cr="http://schemas.microsoft.com/office/comments/2020/reactions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