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CF31D49" w14:textId="77777777" w:rsidR="004C513D" w:rsidRPr="004C513D" w:rsidRDefault="004C513D" w:rsidP="004C513D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4C513D">
        <w:rPr>
          <w:rFonts w:ascii="Arial" w:hAnsi="Arial" w:cs="Arial"/>
          <w:b/>
          <w:bCs/>
          <w:color w:val="002F3C"/>
        </w:rPr>
        <w:t>CONHECIMENTO PODEROSO E CULTURA MAKER: UM ENCONTRO POSSÍVEL NO CURRÍCULO ESCOLAR</w:t>
      </w:r>
    </w:p>
    <w:p w14:paraId="5634CCE0" w14:textId="53EED0FE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0AF6AE7A" w:rsidR="00674210" w:rsidRPr="004B1D01" w:rsidRDefault="004C513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William Santos da Costa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0F271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653A3" w:rsidRPr="000F2715">
        <w:rPr>
          <w:rFonts w:ascii="Arial" w:hAnsi="Arial" w:cs="Arial"/>
          <w:b/>
          <w:bCs/>
          <w:color w:val="002F3C"/>
          <w:sz w:val="20"/>
          <w:szCs w:val="20"/>
        </w:rPr>
        <w:t>Mestrando no</w:t>
      </w:r>
      <w:r w:rsidR="000F2715">
        <w:rPr>
          <w:rFonts w:ascii="Arial" w:hAnsi="Arial" w:cs="Arial"/>
          <w:b/>
          <w:bCs/>
          <w:color w:val="002F3C"/>
          <w:sz w:val="20"/>
          <w:szCs w:val="20"/>
        </w:rPr>
        <w:t xml:space="preserve"> Programa de Pós Graduação em Educação em Ciências na Amazônia </w:t>
      </w:r>
      <w:r w:rsidR="008653A3">
        <w:rPr>
          <w:rFonts w:ascii="Arial" w:hAnsi="Arial" w:cs="Arial"/>
          <w:b/>
          <w:bCs/>
          <w:color w:val="002F3C"/>
          <w:sz w:val="20"/>
          <w:szCs w:val="20"/>
        </w:rPr>
        <w:t xml:space="preserve">-- </w:t>
      </w:r>
      <w:r w:rsidR="008653A3" w:rsidRPr="004B1D01"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wsdc.mca25@uea.edu.br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6820E8D9" w:rsidR="00674210" w:rsidRPr="004B1D01" w:rsidRDefault="004C513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Josefina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Diosdada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Barrera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Kalhil</w:t>
      </w:r>
      <w:proofErr w:type="spell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0F2715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8653A3" w:rsidRPr="000F2715">
        <w:rPr>
          <w:rFonts w:ascii="Arial" w:hAnsi="Arial" w:cs="Arial"/>
          <w:b/>
          <w:bCs/>
          <w:color w:val="002F3C"/>
          <w:sz w:val="20"/>
          <w:szCs w:val="20"/>
        </w:rPr>
        <w:t>Doutora em Ciências Pedagógicas (Educação) pela Universidade d</w:t>
      </w:r>
      <w:r w:rsidR="008653A3">
        <w:rPr>
          <w:rFonts w:ascii="Arial" w:hAnsi="Arial" w:cs="Arial"/>
          <w:b/>
          <w:bCs/>
          <w:color w:val="002F3C"/>
          <w:sz w:val="20"/>
          <w:szCs w:val="20"/>
        </w:rPr>
        <w:t>e</w:t>
      </w:r>
      <w:r w:rsidR="008653A3" w:rsidRPr="000F2715">
        <w:rPr>
          <w:rFonts w:ascii="Arial" w:hAnsi="Arial" w:cs="Arial"/>
          <w:b/>
          <w:bCs/>
          <w:color w:val="002F3C"/>
          <w:sz w:val="20"/>
          <w:szCs w:val="20"/>
        </w:rPr>
        <w:t xml:space="preserve"> Havana (</w:t>
      </w:r>
      <w:r w:rsidR="000F2715" w:rsidRPr="000F2715">
        <w:rPr>
          <w:rFonts w:ascii="Arial" w:hAnsi="Arial" w:cs="Arial"/>
          <w:b/>
          <w:bCs/>
          <w:color w:val="002F3C"/>
          <w:sz w:val="20"/>
          <w:szCs w:val="20"/>
        </w:rPr>
        <w:t>UH)</w:t>
      </w:r>
      <w:r w:rsidR="000F2715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jbkalhil@uea.ed.br</w:t>
      </w:r>
    </w:p>
    <w:p w14:paraId="0043C29F" w14:textId="03B6BE02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15D72322" w:rsidR="004B646F" w:rsidRDefault="00EF3058" w:rsidP="008653A3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4C513D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4C513D" w:rsidRPr="004C513D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  <w:r w:rsidR="000F2715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2D7E0591" w14:textId="77777777" w:rsidR="000F2715" w:rsidRPr="00822323" w:rsidRDefault="000F2715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55D98BDB" w:rsidR="00EF3058" w:rsidRDefault="00EF3058" w:rsidP="006E087F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91CDB57" w14:textId="45DFE1C8" w:rsidR="000F2715" w:rsidRPr="008653A3" w:rsidRDefault="000F2715" w:rsidP="000A793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b/>
          <w:bCs/>
          <w:color w:val="000000" w:themeColor="text1"/>
        </w:rPr>
        <w:t>RESUMO:</w:t>
      </w:r>
      <w:r w:rsidRPr="008653A3">
        <w:rPr>
          <w:rFonts w:ascii="Arial" w:hAnsi="Arial" w:cs="Arial"/>
          <w:color w:val="000000" w:themeColor="text1"/>
        </w:rPr>
        <w:t xml:space="preserve"> </w:t>
      </w:r>
      <w:r w:rsidR="006D4641" w:rsidRPr="006D4641">
        <w:rPr>
          <w:rFonts w:ascii="Arial" w:hAnsi="Arial" w:cs="Arial"/>
          <w:color w:val="000000" w:themeColor="text1"/>
        </w:rPr>
        <w:t xml:space="preserve">O presente artigo tem como objetivo analisar como a Educação </w:t>
      </w:r>
      <w:proofErr w:type="spellStart"/>
      <w:r w:rsidR="006D4641" w:rsidRPr="006D4641">
        <w:rPr>
          <w:rFonts w:ascii="Arial" w:hAnsi="Arial" w:cs="Arial"/>
          <w:color w:val="000000" w:themeColor="text1"/>
        </w:rPr>
        <w:t>Maker</w:t>
      </w:r>
      <w:proofErr w:type="spellEnd"/>
      <w:r w:rsidR="006D4641" w:rsidRPr="006D4641">
        <w:rPr>
          <w:rFonts w:ascii="Arial" w:hAnsi="Arial" w:cs="Arial"/>
          <w:color w:val="000000" w:themeColor="text1"/>
        </w:rPr>
        <w:t xml:space="preserve"> pode ser integrada ao currículo escolar para promover o “conhecimento poderoso”, conceito desenvolvido por Michael Young. A pesquisa é um estudo qualitativo, do tipo bibliográfico, baseando-se em autores como </w:t>
      </w:r>
      <w:proofErr w:type="spellStart"/>
      <w:r w:rsidR="006D4641" w:rsidRPr="006D4641">
        <w:rPr>
          <w:rFonts w:ascii="Arial" w:hAnsi="Arial" w:cs="Arial"/>
          <w:color w:val="000000" w:themeColor="text1"/>
        </w:rPr>
        <w:t>Blikstein</w:t>
      </w:r>
      <w:proofErr w:type="spellEnd"/>
      <w:r w:rsidR="006D4641" w:rsidRPr="006D4641">
        <w:rPr>
          <w:rFonts w:ascii="Arial" w:hAnsi="Arial" w:cs="Arial"/>
          <w:color w:val="000000" w:themeColor="text1"/>
        </w:rPr>
        <w:t xml:space="preserve"> e Young. </w:t>
      </w:r>
      <w:r w:rsidR="006D4641">
        <w:rPr>
          <w:rFonts w:ascii="Arial" w:hAnsi="Arial" w:cs="Arial"/>
          <w:color w:val="000000" w:themeColor="text1"/>
        </w:rPr>
        <w:t>A</w:t>
      </w:r>
      <w:r w:rsidR="006D4641" w:rsidRPr="006D4641">
        <w:rPr>
          <w:rFonts w:ascii="Arial" w:hAnsi="Arial" w:cs="Arial"/>
          <w:color w:val="000000" w:themeColor="text1"/>
        </w:rPr>
        <w:t>rgumentam</w:t>
      </w:r>
      <w:r w:rsidR="006D4641">
        <w:rPr>
          <w:rFonts w:ascii="Arial" w:hAnsi="Arial" w:cs="Arial"/>
          <w:color w:val="000000" w:themeColor="text1"/>
        </w:rPr>
        <w:t>os</w:t>
      </w:r>
      <w:r w:rsidR="006D4641" w:rsidRPr="006D4641">
        <w:rPr>
          <w:rFonts w:ascii="Arial" w:hAnsi="Arial" w:cs="Arial"/>
          <w:color w:val="000000" w:themeColor="text1"/>
        </w:rPr>
        <w:t xml:space="preserve"> que a relação entre a Educação </w:t>
      </w:r>
      <w:proofErr w:type="spellStart"/>
      <w:r w:rsidR="006D4641" w:rsidRPr="006D4641">
        <w:rPr>
          <w:rFonts w:ascii="Arial" w:hAnsi="Arial" w:cs="Arial"/>
          <w:color w:val="000000" w:themeColor="text1"/>
        </w:rPr>
        <w:t>Maker</w:t>
      </w:r>
      <w:proofErr w:type="spellEnd"/>
      <w:r w:rsidR="006D4641" w:rsidRPr="006D4641">
        <w:rPr>
          <w:rFonts w:ascii="Arial" w:hAnsi="Arial" w:cs="Arial"/>
          <w:color w:val="000000" w:themeColor="text1"/>
        </w:rPr>
        <w:t xml:space="preserve"> e o currículo é fundamental para que os alunos tenham acesso ao conhecimento disciplinar especializado, o que é essencial para que eles possam avançar além de seu conhecimento prévio. O estudo conclui que o professor desempenha um papel crucial na </w:t>
      </w:r>
      <w:proofErr w:type="spellStart"/>
      <w:r w:rsidR="006D4641" w:rsidRPr="006D4641">
        <w:rPr>
          <w:rFonts w:ascii="Arial" w:hAnsi="Arial" w:cs="Arial"/>
          <w:color w:val="000000" w:themeColor="text1"/>
        </w:rPr>
        <w:t>recontextualização</w:t>
      </w:r>
      <w:proofErr w:type="spellEnd"/>
      <w:r w:rsidR="006D4641" w:rsidRPr="006D4641">
        <w:rPr>
          <w:rFonts w:ascii="Arial" w:hAnsi="Arial" w:cs="Arial"/>
          <w:color w:val="000000" w:themeColor="text1"/>
        </w:rPr>
        <w:t xml:space="preserve"> do conhecimento, garantindo que as práticas </w:t>
      </w:r>
      <w:proofErr w:type="spellStart"/>
      <w:r w:rsidR="006D4641" w:rsidRPr="006D4641">
        <w:rPr>
          <w:rFonts w:ascii="Arial" w:hAnsi="Arial" w:cs="Arial"/>
          <w:color w:val="000000" w:themeColor="text1"/>
        </w:rPr>
        <w:t>maker</w:t>
      </w:r>
      <w:proofErr w:type="spellEnd"/>
      <w:r w:rsidR="006D4641" w:rsidRPr="006D4641">
        <w:rPr>
          <w:rFonts w:ascii="Arial" w:hAnsi="Arial" w:cs="Arial"/>
          <w:color w:val="000000" w:themeColor="text1"/>
        </w:rPr>
        <w:t xml:space="preserve"> sirvam como uma ponte entre a teoria e a prática. Para que isso ocorra, são necessários planejamento pedagógico, formação docente adequada e uma visão crítica do currículo como uma ferramenta para a justiça social e a democratização do saber. </w:t>
      </w:r>
    </w:p>
    <w:p w14:paraId="53175B11" w14:textId="77777777" w:rsidR="000F2715" w:rsidRPr="008653A3" w:rsidRDefault="000F2715" w:rsidP="000F271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20D7970" w14:textId="77777777" w:rsidR="000F2715" w:rsidRPr="008653A3" w:rsidRDefault="000F2715" w:rsidP="000F2715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bookmarkStart w:id="0" w:name="_Hlk60574038"/>
      <w:r w:rsidRPr="008653A3">
        <w:rPr>
          <w:rFonts w:ascii="Arial" w:hAnsi="Arial" w:cs="Arial"/>
          <w:b/>
          <w:color w:val="000000" w:themeColor="text1"/>
        </w:rPr>
        <w:t xml:space="preserve">Palavras-chave: </w:t>
      </w:r>
      <w:r w:rsidRPr="008653A3">
        <w:rPr>
          <w:rFonts w:ascii="Arial" w:hAnsi="Arial" w:cs="Arial"/>
          <w:color w:val="000000" w:themeColor="text1"/>
        </w:rPr>
        <w:t xml:space="preserve">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>, Conhecimento poderoso, currículo.</w:t>
      </w:r>
    </w:p>
    <w:bookmarkEnd w:id="0"/>
    <w:p w14:paraId="3B741356" w14:textId="77777777" w:rsidR="000F2715" w:rsidRDefault="000F2715" w:rsidP="006E087F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4ECD39A9" w14:textId="0C192383" w:rsidR="006E087F" w:rsidRPr="008653A3" w:rsidRDefault="004C513D" w:rsidP="006E087F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653A3">
        <w:rPr>
          <w:rFonts w:ascii="Arial" w:hAnsi="Arial" w:cs="Arial"/>
          <w:b/>
          <w:bCs/>
          <w:color w:val="000000" w:themeColor="text1"/>
        </w:rPr>
        <w:t>1 INTRODUÇÃO</w:t>
      </w:r>
    </w:p>
    <w:p w14:paraId="3B023C18" w14:textId="77777777" w:rsidR="004C513D" w:rsidRPr="008653A3" w:rsidRDefault="004C513D" w:rsidP="006E08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>A integração da tecnologia e da engenharia aos currículos de ciências da educação básica ainda é um desafio, especialmente pela natureza das soluções que cada uma dessas áreas propõe. Enquanto a ciência busca leis universais (uma solução) que se apliquem ao maior número de situações possíveis, a engenharia e a tecnologia buscam o maior número de soluções otimizadas possíveis para uma única situação.</w:t>
      </w:r>
    </w:p>
    <w:p w14:paraId="5FC832CB" w14:textId="5BAE8720" w:rsidR="004C513D" w:rsidRPr="008653A3" w:rsidRDefault="004C513D" w:rsidP="006E08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spellStart"/>
      <w:r w:rsidRPr="008653A3">
        <w:rPr>
          <w:rFonts w:ascii="Arial" w:hAnsi="Arial" w:cs="Arial"/>
          <w:color w:val="000000" w:themeColor="text1"/>
        </w:rPr>
        <w:t>Blikstein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(2020, p. 525) observa que as tecnologias digitais estão presentes na escola, mas ainda ausentes nas práticas pedagógicas de professores, contudo, no </w:t>
      </w:r>
      <w:r w:rsidRPr="008653A3">
        <w:rPr>
          <w:rFonts w:ascii="Arial" w:hAnsi="Arial" w:cs="Arial"/>
          <w:color w:val="000000" w:themeColor="text1"/>
        </w:rPr>
        <w:lastRenderedPageBreak/>
        <w:t>contexto de uma sociedade cada vez mais digital, tecnológica e conectada</w:t>
      </w:r>
      <w:r w:rsidR="006E087F" w:rsidRPr="008653A3">
        <w:rPr>
          <w:rFonts w:ascii="Arial" w:hAnsi="Arial" w:cs="Arial"/>
          <w:color w:val="000000" w:themeColor="text1"/>
        </w:rPr>
        <w:t xml:space="preserve">, </w:t>
      </w:r>
      <w:r w:rsidRPr="008653A3">
        <w:rPr>
          <w:rFonts w:ascii="Arial" w:hAnsi="Arial" w:cs="Arial"/>
          <w:color w:val="000000" w:themeColor="text1"/>
        </w:rPr>
        <w:t xml:space="preserve">as tecnologias </w:t>
      </w:r>
      <w:r w:rsidR="006E087F" w:rsidRPr="008653A3">
        <w:rPr>
          <w:rFonts w:ascii="Arial" w:hAnsi="Arial" w:cs="Arial"/>
          <w:color w:val="000000" w:themeColor="text1"/>
        </w:rPr>
        <w:t>devem se integrar às atividades pedagógicas desenvolvidas em sala de aula.</w:t>
      </w:r>
      <w:r w:rsidRPr="008653A3">
        <w:rPr>
          <w:rFonts w:ascii="Arial" w:hAnsi="Arial" w:cs="Arial"/>
          <w:color w:val="000000" w:themeColor="text1"/>
        </w:rPr>
        <w:t> </w:t>
      </w:r>
    </w:p>
    <w:p w14:paraId="1E5179ED" w14:textId="0413A6EE" w:rsidR="004C513D" w:rsidRPr="008653A3" w:rsidRDefault="004C513D" w:rsidP="006E08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 xml:space="preserve">Cesar Coll entende necessária uma nova ecologia de aprendizagem na Sociedade da Informação com novos desafios para a educação escolar que se manifestam intensamente no currículo, afetando “(...) </w:t>
      </w:r>
      <w:r w:rsidR="006E087F" w:rsidRPr="008653A3">
        <w:rPr>
          <w:rFonts w:ascii="Arial" w:hAnsi="Arial" w:cs="Arial"/>
          <w:color w:val="000000" w:themeColor="text1"/>
        </w:rPr>
        <w:t>praticamente, a todos os parâmetros da aprendizagem: onde, quando, com quem e de quem, como, o que e até para que se aprende.</w:t>
      </w:r>
      <w:r w:rsidRPr="008653A3">
        <w:rPr>
          <w:rFonts w:ascii="Arial" w:hAnsi="Arial" w:cs="Arial"/>
          <w:color w:val="000000" w:themeColor="text1"/>
        </w:rPr>
        <w:t>” (2013, p. 31</w:t>
      </w:r>
      <w:r w:rsidR="006E087F" w:rsidRPr="008653A3">
        <w:rPr>
          <w:rFonts w:ascii="Arial" w:hAnsi="Arial" w:cs="Arial"/>
          <w:color w:val="000000" w:themeColor="text1"/>
        </w:rPr>
        <w:t>, tradução nossa</w:t>
      </w:r>
      <w:r w:rsidRPr="008653A3">
        <w:rPr>
          <w:rFonts w:ascii="Arial" w:hAnsi="Arial" w:cs="Arial"/>
          <w:color w:val="000000" w:themeColor="text1"/>
        </w:rPr>
        <w:t>). </w:t>
      </w:r>
    </w:p>
    <w:p w14:paraId="36BF4D51" w14:textId="45BACB5F" w:rsidR="004C513D" w:rsidRPr="008653A3" w:rsidRDefault="004C513D" w:rsidP="006E087F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 xml:space="preserve">Nesse contexto, 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possui o potencial de corresponder a essa nova ecologia de aprendizagem. </w:t>
      </w:r>
      <w:proofErr w:type="spellStart"/>
      <w:r w:rsidRPr="008653A3">
        <w:rPr>
          <w:rFonts w:ascii="Arial" w:hAnsi="Arial" w:cs="Arial"/>
          <w:color w:val="000000" w:themeColor="text1"/>
        </w:rPr>
        <w:t>Halverson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e Sheridan (2014, p. 503) entendem que “</w:t>
      </w:r>
      <w:r w:rsidR="006E087F" w:rsidRPr="008653A3">
        <w:rPr>
          <w:rFonts w:ascii="Arial" w:hAnsi="Arial" w:cs="Arial"/>
          <w:color w:val="000000" w:themeColor="text1"/>
        </w:rPr>
        <w:t xml:space="preserve">Trazer o movimento </w:t>
      </w:r>
      <w:proofErr w:type="spellStart"/>
      <w:r w:rsidR="006E087F" w:rsidRPr="008653A3">
        <w:rPr>
          <w:rFonts w:ascii="Arial" w:hAnsi="Arial" w:cs="Arial"/>
          <w:color w:val="000000" w:themeColor="text1"/>
        </w:rPr>
        <w:t>maker</w:t>
      </w:r>
      <w:proofErr w:type="spellEnd"/>
      <w:r w:rsidR="006E087F" w:rsidRPr="008653A3">
        <w:rPr>
          <w:rFonts w:ascii="Arial" w:hAnsi="Arial" w:cs="Arial"/>
          <w:color w:val="000000" w:themeColor="text1"/>
        </w:rPr>
        <w:t xml:space="preserve"> para a conversa sobre educação tem o potencial de transformar a forma como entendemos "o que conta" como aprendizagem, como aprendiz e como ambiente de </w:t>
      </w:r>
      <w:proofErr w:type="gramStart"/>
      <w:r w:rsidR="006E087F" w:rsidRPr="008653A3">
        <w:rPr>
          <w:rFonts w:ascii="Arial" w:hAnsi="Arial" w:cs="Arial"/>
          <w:color w:val="000000" w:themeColor="text1"/>
        </w:rPr>
        <w:t>aprendizagem.</w:t>
      </w:r>
      <w:r w:rsidRPr="008653A3">
        <w:rPr>
          <w:rFonts w:ascii="Arial" w:hAnsi="Arial" w:cs="Arial"/>
          <w:color w:val="000000" w:themeColor="text1"/>
        </w:rPr>
        <w:t>.</w:t>
      </w:r>
      <w:proofErr w:type="gramEnd"/>
      <w:r w:rsidRPr="008653A3">
        <w:rPr>
          <w:rFonts w:ascii="Arial" w:hAnsi="Arial" w:cs="Arial"/>
          <w:color w:val="000000" w:themeColor="text1"/>
        </w:rPr>
        <w:t>”.</w:t>
      </w:r>
    </w:p>
    <w:p w14:paraId="6405FC8F" w14:textId="77777777" w:rsidR="004C513D" w:rsidRPr="008653A3" w:rsidRDefault="004C513D" w:rsidP="006E08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ab/>
        <w:t xml:space="preserve">As atividades propostas pela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combinam ciência e tecnologia em suas atividades, trazendo aos estudantes a possibilidade de solucionar problemas de maneira coletiva, com apoio de tecnologias e suporte do conhecimento científico, isto é, inserindo o conhecimento científico presente no currículo para a solução de problemas reais do estudante que será o protagonista de seu aprendizado.</w:t>
      </w:r>
    </w:p>
    <w:p w14:paraId="54B6D583" w14:textId="77777777" w:rsidR="004C513D" w:rsidRPr="008653A3" w:rsidRDefault="004C513D" w:rsidP="006E08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ab/>
        <w:t xml:space="preserve">O que se sabe até então é que 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possui um grande potencial para a integração da ciência, tecnologia e engenharia ao currículo com vistas ao desenvolvimento de habilidades nos estudantes. Porém, é necessário compreender como as atividades </w:t>
      </w:r>
      <w:proofErr w:type="spellStart"/>
      <w:r w:rsidRPr="008653A3">
        <w:rPr>
          <w:rFonts w:ascii="Arial" w:hAnsi="Arial" w:cs="Arial"/>
          <w:color w:val="000000" w:themeColor="text1"/>
        </w:rPr>
        <w:t>makers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são desenvolvidas no ambiente escolar e quais relações são estabelecidas entre tais atividades e o currículo de ciências para responder ao seguinte questionamento: 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integrada ao currículo pode promover o “conhecimento poderoso”?</w:t>
      </w:r>
    </w:p>
    <w:p w14:paraId="6FDE659C" w14:textId="0529DB16" w:rsidR="004C513D" w:rsidRPr="008653A3" w:rsidRDefault="004C513D" w:rsidP="006E08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653A3">
        <w:rPr>
          <w:rFonts w:ascii="Arial" w:hAnsi="Arial" w:cs="Arial"/>
          <w:color w:val="000000" w:themeColor="text1"/>
        </w:rPr>
        <w:tab/>
        <w:t xml:space="preserve">O objetivo do presente estudo teórico é compreender como 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pode se integrar ao currículo para promover o “conhecimento poderoso”. Para isso, propõe-se um estudo teórico, por meio da análise da Educação </w:t>
      </w:r>
      <w:proofErr w:type="spellStart"/>
      <w:r w:rsidRPr="008653A3">
        <w:rPr>
          <w:rFonts w:ascii="Arial" w:hAnsi="Arial" w:cs="Arial"/>
          <w:color w:val="000000" w:themeColor="text1"/>
        </w:rPr>
        <w:t>Maker</w:t>
      </w:r>
      <w:proofErr w:type="spellEnd"/>
      <w:r w:rsidRPr="008653A3">
        <w:rPr>
          <w:rFonts w:ascii="Arial" w:hAnsi="Arial" w:cs="Arial"/>
          <w:color w:val="000000" w:themeColor="text1"/>
        </w:rPr>
        <w:t xml:space="preserve"> em diálogo e tensão com a Teoria de Michael Young sobre o conhecimento poderoso.</w:t>
      </w:r>
    </w:p>
    <w:p w14:paraId="3124E85F" w14:textId="77777777" w:rsidR="006E087F" w:rsidRPr="008653A3" w:rsidRDefault="006E087F" w:rsidP="006E08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22A07DB5" w14:textId="08180C31" w:rsidR="00733BD2" w:rsidRPr="008653A3" w:rsidRDefault="00733BD2" w:rsidP="006E087F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653A3">
        <w:rPr>
          <w:rFonts w:ascii="Arial" w:hAnsi="Arial" w:cs="Arial"/>
          <w:b/>
          <w:bCs/>
          <w:color w:val="000000" w:themeColor="text1"/>
        </w:rPr>
        <w:lastRenderedPageBreak/>
        <w:t>2 METODOLOGIA</w:t>
      </w:r>
    </w:p>
    <w:p w14:paraId="3C8E5FB3" w14:textId="7DD6B5EF" w:rsidR="002E0F55" w:rsidRPr="002E0F55" w:rsidRDefault="002E0F55" w:rsidP="002E0F5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Trata-se de um estudo qualitativo do tipo bibliográfico</w:t>
      </w:r>
      <w:r w:rsidRPr="002E0F55">
        <w:rPr>
          <w:rFonts w:ascii="Arial" w:hAnsi="Arial" w:cs="Arial"/>
          <w:color w:val="000000" w:themeColor="text1"/>
        </w:rPr>
        <w:t xml:space="preserve">, pautado na investigação e análise crítica de conceitos e abordagens a partir da literatura especializada. Propõe-se compreender como a Educação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pode se integrar ao currículo para promover o "conhecimento poderoso". Para tanto, está baseado na análise e articulação de referenciais teóricos distintos.</w:t>
      </w:r>
    </w:p>
    <w:p w14:paraId="3CFA3184" w14:textId="77777777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Inicialmente, realizamos a revisão bibliográfica sobre a Educação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>, abordando sua história, princípios (</w:t>
      </w:r>
      <w:proofErr w:type="spellStart"/>
      <w:r w:rsidRPr="002E0F55">
        <w:rPr>
          <w:rFonts w:ascii="Arial" w:hAnsi="Arial" w:cs="Arial"/>
          <w:color w:val="000000" w:themeColor="text1"/>
        </w:rPr>
        <w:t>construcionismo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de Seymour </w:t>
      </w:r>
      <w:proofErr w:type="spellStart"/>
      <w:r w:rsidRPr="002E0F55">
        <w:rPr>
          <w:rFonts w:ascii="Arial" w:hAnsi="Arial" w:cs="Arial"/>
          <w:color w:val="000000" w:themeColor="text1"/>
        </w:rPr>
        <w:t>Papert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e cultura "faça você mesmo" – DIY), e sua relação com as tecnologias digitais e a Base Nacional Comum Curricular (BNCC). Com o objetivo de tensionar e dialogar com a teoria do currículo de Michael Young, com foco particular em seu conceito de "conhecimento poderoso" e a importância do currículo como mecanismo de distribuição social do conhecimento especializado.</w:t>
      </w:r>
    </w:p>
    <w:p w14:paraId="654A6679" w14:textId="667FE0C9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A centralidade da metodologia consistiu na articulação crítica entre esses dois campos teóricos. Essa reflexão permitiu argumentar sobre as condições necessárias para que as práticas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sirvam, de fato, como ponte entre teoria e prática, visando a superação da limitação da experiência prévia dos estudantes e o acesso a um conhecimento que lhes permita transformar a realidade.</w:t>
      </w:r>
    </w:p>
    <w:p w14:paraId="724A21C5" w14:textId="0A456C2C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Tendo em vista os paradigmas que conduzem a educação, questionamos:  a educação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pode ser integrada ao currículo para promover o “conhecimento poderoso”? E buscamos junto </w:t>
      </w:r>
      <w:r>
        <w:rPr>
          <w:rFonts w:ascii="Arial" w:hAnsi="Arial" w:cs="Arial"/>
          <w:color w:val="000000" w:themeColor="text1"/>
        </w:rPr>
        <w:t>aos teóricos</w:t>
      </w:r>
      <w:r w:rsidRPr="002E0F55">
        <w:rPr>
          <w:rFonts w:ascii="Arial" w:hAnsi="Arial" w:cs="Arial"/>
          <w:color w:val="000000" w:themeColor="text1"/>
        </w:rPr>
        <w:t xml:space="preserve"> dialogar sobre as lógicas existentes nessa vertente, estabelecendo uma visão crítica e construtiva no campo científico.</w:t>
      </w:r>
    </w:p>
    <w:p w14:paraId="315B843E" w14:textId="77777777" w:rsidR="002E0F55" w:rsidRDefault="002E0F55" w:rsidP="006E08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A9D5306" w14:textId="77777777" w:rsidR="002E0F55" w:rsidRDefault="002E0F55" w:rsidP="006E087F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E0F55">
        <w:rPr>
          <w:rFonts w:ascii="Arial" w:hAnsi="Arial" w:cs="Arial"/>
          <w:b/>
          <w:bCs/>
          <w:color w:val="000000" w:themeColor="text1"/>
        </w:rPr>
        <w:t>3 DISCUSSÃO</w:t>
      </w:r>
    </w:p>
    <w:p w14:paraId="10CDF27F" w14:textId="77777777" w:rsidR="00F75D03" w:rsidRPr="00F51A02" w:rsidRDefault="00F75D03" w:rsidP="00F75D0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51A02">
        <w:rPr>
          <w:rFonts w:ascii="Arial" w:hAnsi="Arial" w:cs="Arial"/>
          <w:color w:val="000000" w:themeColor="text1"/>
        </w:rPr>
        <w:tab/>
      </w:r>
      <w:r w:rsidRPr="00F51A02">
        <w:rPr>
          <w:rFonts w:ascii="Arial" w:hAnsi="Arial" w:cs="Arial"/>
          <w:color w:val="000000" w:themeColor="text1"/>
        </w:rPr>
        <w:t xml:space="preserve">Na segunda metade da década de 1970, no Vale do Silício, Califórnia, Estados Unidos, um grupo de jovens, situados à margem do sistema tradicional, passou a protagonizar um movimento de transformação tecnológica, impulsionado pelos avanços da informática. Este contexto foi favorecido por uma confluência de fatores históricos e socioculturais: a presença de movimentos de contestação, como o movimento hippie dos anos 1960, o desenvolvimento da indústria eletrônica e a </w:t>
      </w:r>
      <w:r w:rsidRPr="00F51A02">
        <w:rPr>
          <w:rFonts w:ascii="Arial" w:hAnsi="Arial" w:cs="Arial"/>
          <w:color w:val="000000" w:themeColor="text1"/>
        </w:rPr>
        <w:lastRenderedPageBreak/>
        <w:t xml:space="preserve">atuação de instituições científicas e universitárias inovadoras. Tais elementos configuraram um ecossistema propício à experimentação, no qual ideias, práticas e objetos circulavam intensamente. Esses jovens, movidos por um espírito de inovação e transgressão, engajavam-se em práticas de bricolagem e tecnologia — ou high-tech </w:t>
      </w:r>
      <w:proofErr w:type="spellStart"/>
      <w:r w:rsidRPr="00F51A02">
        <w:rPr>
          <w:rFonts w:ascii="Arial" w:hAnsi="Arial" w:cs="Arial"/>
          <w:color w:val="000000" w:themeColor="text1"/>
        </w:rPr>
        <w:t>bricolage</w:t>
      </w:r>
      <w:proofErr w:type="spellEnd"/>
      <w:r w:rsidRPr="00F51A02">
        <w:rPr>
          <w:rFonts w:ascii="Arial" w:hAnsi="Arial" w:cs="Arial"/>
          <w:color w:val="000000" w:themeColor="text1"/>
        </w:rPr>
        <w:t xml:space="preserve"> — como forma de explorar e testar os novos recursos eletrônicos então disponíveis.</w:t>
      </w:r>
    </w:p>
    <w:p w14:paraId="47DCA77C" w14:textId="77777777" w:rsidR="00F75D03" w:rsidRPr="00F75D03" w:rsidRDefault="00F75D03" w:rsidP="00F51A0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75D03">
        <w:rPr>
          <w:rFonts w:ascii="Arial" w:hAnsi="Arial" w:cs="Arial"/>
          <w:color w:val="000000" w:themeColor="text1"/>
        </w:rPr>
        <w:t xml:space="preserve">É nesse ambiente que se insere o surgimento do primeiro computador pessoal, ainda sem conexão à internet. Apesar de representar um marco na revolução tecnológica, o acesso a esses dispositivos era restrito a uma parcela reduzida da população. Embora os princípios que hoje caracterizam o movimento </w:t>
      </w:r>
      <w:proofErr w:type="spellStart"/>
      <w:r w:rsidRPr="00F75D03">
        <w:rPr>
          <w:rFonts w:ascii="Arial" w:hAnsi="Arial" w:cs="Arial"/>
          <w:color w:val="000000" w:themeColor="text1"/>
        </w:rPr>
        <w:t>maker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 (valorização da contracultura, da bricolagem e do uso criativo da tecnologia) já estivessem presentes, a colaboração em escala global ainda era inviável devido à ausência de conectividade em rede. Assim, embora o espírito inovador fosse marcante, o potencial de articulação coletiva ainda se restringia a contextos locais e comunidades específicas.</w:t>
      </w:r>
    </w:p>
    <w:p w14:paraId="5D0D4660" w14:textId="71F52FD8" w:rsidR="00F75D03" w:rsidRPr="00F51A02" w:rsidRDefault="00F75D03" w:rsidP="00F51A0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F75D03">
        <w:rPr>
          <w:rFonts w:ascii="Arial" w:hAnsi="Arial" w:cs="Arial"/>
          <w:color w:val="000000" w:themeColor="text1"/>
        </w:rPr>
        <w:t xml:space="preserve">Paralelamente, entre as décadas de 1980 e 1990, na costa leste dos Estados Unidos, o pesquisador Seymour </w:t>
      </w:r>
      <w:proofErr w:type="spellStart"/>
      <w:r w:rsidRPr="00F75D03">
        <w:rPr>
          <w:rFonts w:ascii="Arial" w:hAnsi="Arial" w:cs="Arial"/>
          <w:color w:val="000000" w:themeColor="text1"/>
        </w:rPr>
        <w:t>Papert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 desenvolveu, no Massachusetts </w:t>
      </w:r>
      <w:proofErr w:type="spellStart"/>
      <w:r w:rsidRPr="00F75D03">
        <w:rPr>
          <w:rFonts w:ascii="Arial" w:hAnsi="Arial" w:cs="Arial"/>
          <w:color w:val="000000" w:themeColor="text1"/>
        </w:rPr>
        <w:t>Institute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75D03">
        <w:rPr>
          <w:rFonts w:ascii="Arial" w:hAnsi="Arial" w:cs="Arial"/>
          <w:color w:val="000000" w:themeColor="text1"/>
        </w:rPr>
        <w:t>of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 Technology (MIT), a teoria da aprendizagem </w:t>
      </w:r>
      <w:proofErr w:type="spellStart"/>
      <w:r w:rsidRPr="00F75D03">
        <w:rPr>
          <w:rFonts w:ascii="Arial" w:hAnsi="Arial" w:cs="Arial"/>
          <w:color w:val="000000" w:themeColor="text1"/>
        </w:rPr>
        <w:t>construcionista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. Essa abordagem teórica propõe que a construção do conhecimento ocorre de maneira mais significativa quando os indivíduos estão ativamente engajados na criação de artefatos tangíveis, especialmente por meio do uso da tecnologia. Ao desenvolver a linguagem de programação Logo, voltada ao público infantil, </w:t>
      </w:r>
      <w:proofErr w:type="spellStart"/>
      <w:r w:rsidRPr="00F75D03">
        <w:rPr>
          <w:rFonts w:ascii="Arial" w:hAnsi="Arial" w:cs="Arial"/>
          <w:color w:val="000000" w:themeColor="text1"/>
        </w:rPr>
        <w:t>Papert</w:t>
      </w:r>
      <w:proofErr w:type="spellEnd"/>
      <w:r w:rsidRPr="00F75D03">
        <w:rPr>
          <w:rFonts w:ascii="Arial" w:hAnsi="Arial" w:cs="Arial"/>
          <w:color w:val="000000" w:themeColor="text1"/>
        </w:rPr>
        <w:t xml:space="preserve"> buscou aliar a prática da programação à aprendizagem criativa, fundamentando sua proposta na premissa de que o "fazer com tecnologia" potencializa o desenvolvimento cognitivo. Sua contribuição foi fundamental para estabelecer as bases pedagógicas que mais tarde influenciariam práticas educativas no contexto da cultura digital e do movimento </w:t>
      </w:r>
      <w:proofErr w:type="spellStart"/>
      <w:r w:rsidRPr="00F75D03">
        <w:rPr>
          <w:rFonts w:ascii="Arial" w:hAnsi="Arial" w:cs="Arial"/>
          <w:color w:val="000000" w:themeColor="text1"/>
        </w:rPr>
        <w:t>maker</w:t>
      </w:r>
      <w:proofErr w:type="spellEnd"/>
      <w:r w:rsidRPr="00F75D03">
        <w:rPr>
          <w:rFonts w:ascii="Arial" w:hAnsi="Arial" w:cs="Arial"/>
          <w:color w:val="000000" w:themeColor="text1"/>
        </w:rPr>
        <w:t>.</w:t>
      </w:r>
    </w:p>
    <w:p w14:paraId="10869F94" w14:textId="77777777" w:rsidR="002E0F55" w:rsidRPr="002E0F55" w:rsidRDefault="008653A3" w:rsidP="002E0F5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2E0F55" w:rsidRPr="002E0F55">
        <w:rPr>
          <w:rFonts w:ascii="Arial" w:hAnsi="Arial" w:cs="Arial"/>
          <w:color w:val="000000" w:themeColor="text1"/>
        </w:rPr>
        <w:t xml:space="preserve">O movimento </w:t>
      </w:r>
      <w:proofErr w:type="spellStart"/>
      <w:r w:rsidR="002E0F55" w:rsidRPr="002E0F55">
        <w:rPr>
          <w:rFonts w:ascii="Arial" w:hAnsi="Arial" w:cs="Arial"/>
          <w:color w:val="000000" w:themeColor="text1"/>
        </w:rPr>
        <w:t>maker</w:t>
      </w:r>
      <w:proofErr w:type="spellEnd"/>
      <w:r w:rsidR="002E0F55" w:rsidRPr="002E0F55">
        <w:rPr>
          <w:rFonts w:ascii="Arial" w:hAnsi="Arial" w:cs="Arial"/>
          <w:color w:val="000000" w:themeColor="text1"/>
        </w:rPr>
        <w:t xml:space="preserve"> possui uma íntima relação histórica com a cultura do “Faça você mesmo” ou Do-it-</w:t>
      </w:r>
      <w:proofErr w:type="spellStart"/>
      <w:r w:rsidR="002E0F55" w:rsidRPr="002E0F55">
        <w:rPr>
          <w:rFonts w:ascii="Arial" w:hAnsi="Arial" w:cs="Arial"/>
          <w:color w:val="000000" w:themeColor="text1"/>
        </w:rPr>
        <w:t>yourself</w:t>
      </w:r>
      <w:proofErr w:type="spellEnd"/>
      <w:r w:rsidR="002E0F55" w:rsidRPr="002E0F55">
        <w:rPr>
          <w:rFonts w:ascii="Arial" w:hAnsi="Arial" w:cs="Arial"/>
          <w:color w:val="000000" w:themeColor="text1"/>
        </w:rPr>
        <w:t xml:space="preserve"> (DIY), movimento que atingiu o seu auge na década de 1990. O DIY é um movimento cultural que preza pela autonomia do criador que busca em sua comunidade a cooperação necessária para completar projetos de seu </w:t>
      </w:r>
      <w:r w:rsidR="002E0F55" w:rsidRPr="002E0F55">
        <w:rPr>
          <w:rFonts w:ascii="Arial" w:hAnsi="Arial" w:cs="Arial"/>
          <w:color w:val="000000" w:themeColor="text1"/>
        </w:rPr>
        <w:lastRenderedPageBreak/>
        <w:t xml:space="preserve">interesse. A cultura </w:t>
      </w:r>
      <w:proofErr w:type="spellStart"/>
      <w:r w:rsidR="002E0F55" w:rsidRPr="002E0F55">
        <w:rPr>
          <w:rFonts w:ascii="Arial" w:hAnsi="Arial" w:cs="Arial"/>
          <w:color w:val="000000" w:themeColor="text1"/>
        </w:rPr>
        <w:t>maker</w:t>
      </w:r>
      <w:proofErr w:type="spellEnd"/>
      <w:r w:rsidR="002E0F55" w:rsidRPr="002E0F55">
        <w:rPr>
          <w:rFonts w:ascii="Arial" w:hAnsi="Arial" w:cs="Arial"/>
          <w:color w:val="000000" w:themeColor="text1"/>
        </w:rPr>
        <w:t xml:space="preserve"> é a expansão da cultura DIY a partir do momento que envolve o uso das tecnologias digitais (Bullock; </w:t>
      </w:r>
      <w:proofErr w:type="spellStart"/>
      <w:r w:rsidR="002E0F55" w:rsidRPr="002E0F55">
        <w:rPr>
          <w:rFonts w:ascii="Arial" w:hAnsi="Arial" w:cs="Arial"/>
          <w:color w:val="000000" w:themeColor="text1"/>
        </w:rPr>
        <w:t>Sator</w:t>
      </w:r>
      <w:proofErr w:type="spellEnd"/>
      <w:r w:rsidR="002E0F55" w:rsidRPr="002E0F55">
        <w:rPr>
          <w:rFonts w:ascii="Arial" w:hAnsi="Arial" w:cs="Arial"/>
          <w:color w:val="000000" w:themeColor="text1"/>
        </w:rPr>
        <w:t>, 2015, p. 67-68).</w:t>
      </w:r>
    </w:p>
    <w:p w14:paraId="17A4B4A7" w14:textId="77777777" w:rsid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Os valores da cultura do “Faça você mesmo” em desenvolver novas habilidades e competências é absorvida pela Cultura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que carrega consigo a inovação e a mudança, transformando o “faça você mesmo” em um “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”. O </w:t>
      </w:r>
      <w:proofErr w:type="spellStart"/>
      <w:r w:rsidRPr="002E0F55">
        <w:rPr>
          <w:rFonts w:ascii="Arial" w:hAnsi="Arial" w:cs="Arial"/>
          <w:color w:val="000000" w:themeColor="text1"/>
        </w:rPr>
        <w:t>ethos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do Movimento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pode ser sintetizado em: fazer, compartilhar, doar, aprender, equipar-se com as ferramentas adequadas, brincar, participar, apoiar e mudar. </w:t>
      </w:r>
    </w:p>
    <w:p w14:paraId="216E4F75" w14:textId="77777777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Os espaços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na educação escolar são ambientes de aprendizagem fundamentados no </w:t>
      </w:r>
      <w:proofErr w:type="spellStart"/>
      <w:r w:rsidRPr="002E0F55">
        <w:rPr>
          <w:rFonts w:ascii="Arial" w:hAnsi="Arial" w:cs="Arial"/>
          <w:color w:val="000000" w:themeColor="text1"/>
        </w:rPr>
        <w:t>Construcionismo</w:t>
      </w:r>
      <w:proofErr w:type="spellEnd"/>
      <w:r w:rsidRPr="002E0F55">
        <w:rPr>
          <w:rFonts w:ascii="Arial" w:hAnsi="Arial" w:cs="Arial"/>
          <w:color w:val="000000" w:themeColor="text1"/>
        </w:rPr>
        <w:t>, projetados para a solução de problemas reais por meio da prototipagem e criação. Para tanto, dispõem de um conjunto de ferramentas convencionais e de fabricação digital (e.g., impressoras 3D, cortadoras a laser, eletrônica embarcada). A metodologia privilegia a colaboração, a expressão e o engajamento prático ("mão na massa"), em que alunos e professores atuam como coautores. Nessa abordagem, o papel do professor é o de mediador do processo de aprendizagem, corresponsável pela problematização e pela integração entre teoria e prática. </w:t>
      </w:r>
    </w:p>
    <w:p w14:paraId="1FEAF2BA" w14:textId="77777777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>É inegável que o espaço escolar está em plena transformação. As abordagens pedagógicas convencionais mostram-se insuficientes para atender às demandas de uma sociedade digitalmente integrada, na qual a tecnologia transcende a sala de aula como único ambiente de aprendizagem. Tal cenário impõe às instituições educacionais a necessidade de adotar uma mentalidade dinâmica, empreendedora e de antecipação às mudanças.</w:t>
      </w:r>
    </w:p>
    <w:p w14:paraId="6C1409E8" w14:textId="77777777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2E0F55">
        <w:rPr>
          <w:rFonts w:ascii="Arial" w:hAnsi="Arial" w:cs="Arial"/>
          <w:color w:val="000000" w:themeColor="text1"/>
        </w:rPr>
        <w:t xml:space="preserve">A educação </w:t>
      </w:r>
      <w:proofErr w:type="spellStart"/>
      <w:r w:rsidRPr="002E0F55">
        <w:rPr>
          <w:rFonts w:ascii="Arial" w:hAnsi="Arial" w:cs="Arial"/>
          <w:color w:val="000000" w:themeColor="text1"/>
        </w:rPr>
        <w:t>maker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, com sua abordagem prática do "faça você mesmo", destaca-se como uma metodologia ativa capaz de transformar o espaço de aprendizagem. Ao posicionar o aluno para colocar a "mão na massa", ela promove o protagonismo, a resolução de problemas e a produção de conhecimento de forma inovadora. </w:t>
      </w:r>
      <w:proofErr w:type="spellStart"/>
      <w:r w:rsidRPr="002E0F55">
        <w:rPr>
          <w:rFonts w:ascii="Arial" w:hAnsi="Arial" w:cs="Arial"/>
          <w:color w:val="000000" w:themeColor="text1"/>
        </w:rPr>
        <w:t>Raabe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(2018) aponta que os estudantes não permanecem no papel de meros consumidores de tecnologia e se tornam efetivamente produtores de artefatos tecnológicos.</w:t>
      </w:r>
    </w:p>
    <w:p w14:paraId="57CCF69A" w14:textId="77777777" w:rsidR="002E0F55" w:rsidRPr="002E0F55" w:rsidRDefault="002E0F55" w:rsidP="002E0F55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spellStart"/>
      <w:r w:rsidRPr="002E0F55">
        <w:rPr>
          <w:rFonts w:ascii="Arial" w:hAnsi="Arial" w:cs="Arial"/>
          <w:color w:val="000000" w:themeColor="text1"/>
        </w:rPr>
        <w:lastRenderedPageBreak/>
        <w:t>Raabe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(2018) e Gondim (2022) identificam que muitas escolas ainda se apegam a um currículo tradicional que não responde às demandas do século XXI, gerando dificuldades para a implementação de projetos inovadores que envolvem interação e construção. Consequentemente, o maior desafio para a adoção de práticas </w:t>
      </w:r>
      <w:proofErr w:type="spellStart"/>
      <w:r w:rsidRPr="002E0F55">
        <w:rPr>
          <w:rFonts w:ascii="Arial" w:hAnsi="Arial" w:cs="Arial"/>
          <w:color w:val="000000" w:themeColor="text1"/>
        </w:rPr>
        <w:t>makers</w:t>
      </w:r>
      <w:proofErr w:type="spellEnd"/>
      <w:r w:rsidRPr="002E0F55">
        <w:rPr>
          <w:rFonts w:ascii="Arial" w:hAnsi="Arial" w:cs="Arial"/>
          <w:color w:val="000000" w:themeColor="text1"/>
        </w:rPr>
        <w:t xml:space="preserve"> é precisamente a superação desse paradigma, viabilizando uma cultura escolar que aposte no engajamento, na criatividade e no protagonismo do aluno (</w:t>
      </w:r>
      <w:proofErr w:type="spellStart"/>
      <w:r w:rsidRPr="002E0F55">
        <w:rPr>
          <w:rFonts w:ascii="Arial" w:hAnsi="Arial" w:cs="Arial"/>
          <w:color w:val="000000" w:themeColor="text1"/>
        </w:rPr>
        <w:t>Raabe</w:t>
      </w:r>
      <w:proofErr w:type="spellEnd"/>
      <w:r w:rsidRPr="002E0F55">
        <w:rPr>
          <w:rFonts w:ascii="Arial" w:hAnsi="Arial" w:cs="Arial"/>
          <w:color w:val="000000" w:themeColor="text1"/>
        </w:rPr>
        <w:t>, 2018).</w:t>
      </w:r>
    </w:p>
    <w:p w14:paraId="63F109AE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Na sociedade do século XXI, a tecnologia domina diversos setores da sociedade e mesmo assim não se encontra nas práticas pedagógicas desenvolvidas pelos professores em sala de aula. A dificuldade em integrar a tecnologia ao currículo pode ter uma solução pela via da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>, porém é necessário alguns cuidados na sua aplicação para que não se torne um obstáculo para o acesso ao conhecimento que o faça avançar em relação aos seus conhecimentos prévios.</w:t>
      </w:r>
    </w:p>
    <w:p w14:paraId="310D3546" w14:textId="2F2FCF40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Young (1980, p. 25) afirma que o currículo é o mecanismo que distribui socialmente o conhecimento. O autor entende que o conhecimento no currículo é um conhecimento especializado e transmitido entre diversas gerações. Young (2016, p. 34) entende que o currículo “é um recurso para guiar os objetivos do professor, da escola e do país - o que é valorizado para todos os estudantes terem acesso.”. </w:t>
      </w:r>
    </w:p>
    <w:p w14:paraId="62C188D5" w14:textId="1678B120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Young (2016, p. 34) a partir do trabalho de Bernstein sobre o processo de </w:t>
      </w:r>
      <w:proofErr w:type="spellStart"/>
      <w:r w:rsidRPr="00634ECB">
        <w:rPr>
          <w:rFonts w:ascii="Arial" w:hAnsi="Arial" w:cs="Arial"/>
          <w:color w:val="000000" w:themeColor="text1"/>
        </w:rPr>
        <w:t>recontextualização</w:t>
      </w:r>
      <w:proofErr w:type="spellEnd"/>
      <w:r w:rsidRPr="00634ECB">
        <w:rPr>
          <w:rFonts w:ascii="Arial" w:hAnsi="Arial" w:cs="Arial"/>
          <w:color w:val="000000" w:themeColor="text1"/>
        </w:rPr>
        <w:t>, que significa “o movimento de tirar o conhecimento especializado do contexto acadêmico para colocá-lo em um novo contexto, o da disciplina escolar”, revela a maneira pela qual os especialistas nas disciplinas em conjunto com professores selecionam o conhecimento que é elencado no currículo.</w:t>
      </w:r>
    </w:p>
    <w:p w14:paraId="35AB3B61" w14:textId="29381F03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O conhecimento prescrito no currículo deve ter como princípio o “conhecimento poderoso” e para atender ao citado princípio</w:t>
      </w:r>
      <w:r w:rsidR="00A735A0">
        <w:rPr>
          <w:rFonts w:ascii="Arial" w:hAnsi="Arial" w:cs="Arial"/>
          <w:color w:val="000000" w:themeColor="text1"/>
        </w:rPr>
        <w:t>,</w:t>
      </w:r>
      <w:r w:rsidRPr="00634ECB">
        <w:rPr>
          <w:rFonts w:ascii="Arial" w:hAnsi="Arial" w:cs="Arial"/>
          <w:color w:val="000000" w:themeColor="text1"/>
        </w:rPr>
        <w:t xml:space="preserve"> Young (2016, p. 33) propõe ter em mente que existe um “melhor conhecimento” em todas as áreas e que existem diferentes tipos de conhecimento, como por exemplo o conhecimento escolar, o conhecimento prévio dos alunos </w:t>
      </w:r>
      <w:r w:rsidR="007529F2" w:rsidRPr="00634ECB">
        <w:rPr>
          <w:rFonts w:ascii="Arial" w:hAnsi="Arial" w:cs="Arial"/>
          <w:color w:val="000000" w:themeColor="text1"/>
        </w:rPr>
        <w:t>e o</w:t>
      </w:r>
      <w:r w:rsidRPr="00634ECB">
        <w:rPr>
          <w:rFonts w:ascii="Arial" w:hAnsi="Arial" w:cs="Arial"/>
          <w:color w:val="000000" w:themeColor="text1"/>
        </w:rPr>
        <w:t xml:space="preserve"> conhecimento do dia a dia. Os tipos de conhecimento são diferentes entre si e possuem finalidades e objetivos diferentes. Young (2016, p. 34) afirma que o “conhecimento curricular - ou disciplinar - independe do contexto”.</w:t>
      </w:r>
    </w:p>
    <w:p w14:paraId="0511D694" w14:textId="690A8DAE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lastRenderedPageBreak/>
        <w:t xml:space="preserve">Young (2014, p. 201) entende que o currículo é “um corpo complexo de conhecimento especializado e está relacionado a saber se </w:t>
      </w:r>
      <w:proofErr w:type="gramStart"/>
      <w:r w:rsidRPr="00634ECB">
        <w:rPr>
          <w:rFonts w:ascii="Arial" w:hAnsi="Arial" w:cs="Arial"/>
          <w:color w:val="000000" w:themeColor="text1"/>
        </w:rPr>
        <w:t>e</w:t>
      </w:r>
      <w:proofErr w:type="gramEnd"/>
      <w:r w:rsidRPr="00634ECB">
        <w:rPr>
          <w:rFonts w:ascii="Arial" w:hAnsi="Arial" w:cs="Arial"/>
          <w:color w:val="000000" w:themeColor="text1"/>
        </w:rPr>
        <w:t xml:space="preserve"> em que medida um currículo representa ‘conhecimento poderoso’(...)”. Tal “conhecimento poderoso” está relacionado à capacidade do aluno em pensar alternativas e prover explicações em qualquer área do conhecimento.</w:t>
      </w:r>
    </w:p>
    <w:p w14:paraId="1861932E" w14:textId="1C5B0B2F" w:rsid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As oportunidades sociais são produzidas no campo do currículo através do conhecimento poderoso, de modo que os alunos possam influenciar o mundo em que vivem:</w:t>
      </w:r>
    </w:p>
    <w:p w14:paraId="03134CDF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2F303CCF" w14:textId="6899A4BE" w:rsidR="00634ECB" w:rsidRPr="00634ECB" w:rsidRDefault="00634ECB" w:rsidP="00634ECB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4ECB">
        <w:rPr>
          <w:rFonts w:ascii="Arial" w:hAnsi="Arial" w:cs="Arial"/>
          <w:color w:val="000000" w:themeColor="text1"/>
          <w:sz w:val="20"/>
          <w:szCs w:val="20"/>
        </w:rPr>
        <w:t>As escolas devem perguntar: “Este currículo é um meio para que os alunos possam adquirir conhecimento poderoso?”. Para crianças de lares desfavorecidos, a participação ativa na escola pode ser a única oportunidade de adquirirem conhecimento poderoso e serem capazes de caminhar, ao menos intelectualmente, para além de suas circunstâncias locais e particulares. Não há nenhuma utilidade para os alunos em se construir um currículo em torno da sua experiência, para que este currículo possa ser validado e, como resultado, deixá-los sempre na mesma condição. (Young, 2007, p. 1297)</w:t>
      </w:r>
    </w:p>
    <w:p w14:paraId="091D7AEA" w14:textId="77777777" w:rsid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AB1CFE7" w14:textId="6951FB2A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Portanto, a preocupação do currículo passa a ser de fornecer aos alunos conhecimento para além do seu conhecimento cotidiano, para que possa elaborar explicações sobre o mundo em que vive, para que possa transformar ativamente a sua realidade. A escola não pode ser negligente nesse papel.</w:t>
      </w:r>
    </w:p>
    <w:p w14:paraId="1281D578" w14:textId="54EA3303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O conhecimento especializado deve derivar dos centros de produção de conhecimento especializado, pois “Ao adquirirem conhecimentos das disciplinas, [os estudantes] estão ingressando naquelas ‘comunidades de especialistas’, cada uma com suas diferentes histórias, tradições e modos de trabalhar.” (Young, 2011, p. 617)</w:t>
      </w:r>
    </w:p>
    <w:p w14:paraId="19E71C83" w14:textId="37B3DC06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aliada ao conhecimento especializado do currículo pode se destacar na realização do acesso ao “conhecimento poderoso”, o professor pode criar condições para que o aluno se envolva com os conceitos do currículo para a solução de situações práticas da realidade do aluno, para que ele produza artefatos que solucionem um problema real.</w:t>
      </w:r>
    </w:p>
    <w:p w14:paraId="523D7EBE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Apesar da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parecer ser incentivada para atender a uma demanda do capitalismo do século XXI, ao mesmo tempo, 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possui </w:t>
      </w:r>
      <w:r w:rsidRPr="00634ECB">
        <w:rPr>
          <w:rFonts w:ascii="Arial" w:hAnsi="Arial" w:cs="Arial"/>
          <w:color w:val="000000" w:themeColor="text1"/>
        </w:rPr>
        <w:lastRenderedPageBreak/>
        <w:t xml:space="preserve">um potencial emancipador, democratizando o acesso a ferramentas tecnológicas de maneira integrada ao conhecimento poderoso. Em escolas públicas podemos observar a implantação de Laboratórios </w:t>
      </w:r>
      <w:proofErr w:type="spellStart"/>
      <w:r w:rsidRPr="00634ECB">
        <w:rPr>
          <w:rFonts w:ascii="Arial" w:hAnsi="Arial" w:cs="Arial"/>
          <w:color w:val="000000" w:themeColor="text1"/>
        </w:rPr>
        <w:t>Makers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, a exemplo da iniciativa do Estado do Amazonas com o Projeto Fazer Para Aprender, que garante a uma parcela vulnerável da população o acesso a ferramentas tecnológicas com o </w:t>
      </w:r>
      <w:proofErr w:type="spellStart"/>
      <w:r w:rsidRPr="00634ECB">
        <w:rPr>
          <w:rFonts w:ascii="Arial" w:hAnsi="Arial" w:cs="Arial"/>
          <w:color w:val="000000" w:themeColor="text1"/>
        </w:rPr>
        <w:t>ethos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da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>.</w:t>
      </w:r>
    </w:p>
    <w:p w14:paraId="1C341EDC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>Young (2016, p. 36) afirma que “É justo e equitativo que todas as crianças devam ter acesso a esse conhecimento. O conhecimento poderoso abre portas: deve estar disponível a todas as crianças.”</w:t>
      </w:r>
    </w:p>
    <w:p w14:paraId="16909D9D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Young (2016, p. 36) destaca que “O conhecimento poderoso é cognitivamente superior àquele necessário para a vida diária. Ele transcende e liberta as crianças da experiência cotidiana.”. 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proporciona uma nova postura perante os problemas cotidianos, aliando tecnologia e conhecimento científico para a sua solução.</w:t>
      </w:r>
    </w:p>
    <w:p w14:paraId="44FB52A5" w14:textId="77777777" w:rsidR="00634ECB" w:rsidRPr="00634ECB" w:rsidRDefault="00634ECB" w:rsidP="00634EC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34ECB">
        <w:rPr>
          <w:rFonts w:ascii="Arial" w:hAnsi="Arial" w:cs="Arial"/>
          <w:color w:val="000000" w:themeColor="text1"/>
        </w:rPr>
        <w:t xml:space="preserve">Assim, a educação </w:t>
      </w:r>
      <w:proofErr w:type="spellStart"/>
      <w:r w:rsidRPr="00634ECB">
        <w:rPr>
          <w:rFonts w:ascii="Arial" w:hAnsi="Arial" w:cs="Arial"/>
          <w:color w:val="000000" w:themeColor="text1"/>
        </w:rPr>
        <w:t>maker</w:t>
      </w:r>
      <w:proofErr w:type="spellEnd"/>
      <w:r w:rsidRPr="00634ECB">
        <w:rPr>
          <w:rFonts w:ascii="Arial" w:hAnsi="Arial" w:cs="Arial"/>
          <w:color w:val="000000" w:themeColor="text1"/>
        </w:rPr>
        <w:t xml:space="preserve"> desenvolvida com objetivos de aprendizagem bem definidos aliados ao currículo escolar possui o potencial de integrar tecnologia, engenharia e ciência para promover o conhecimento poderoso aos alunos, para que eles desenvolvam a capacidade de transformar a sua realidade com esse conhecimento.</w:t>
      </w:r>
    </w:p>
    <w:p w14:paraId="0C0C600E" w14:textId="77777777" w:rsidR="002E0F55" w:rsidRDefault="002E0F55" w:rsidP="00634EC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D31C23C" w14:textId="507207D6" w:rsidR="00634ECB" w:rsidRDefault="00634ECB" w:rsidP="00634EC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735A0">
        <w:rPr>
          <w:rFonts w:ascii="Arial" w:hAnsi="Arial" w:cs="Arial"/>
          <w:b/>
          <w:bCs/>
          <w:color w:val="000000" w:themeColor="text1"/>
        </w:rPr>
        <w:t>4 CONCLUSÕES</w:t>
      </w:r>
    </w:p>
    <w:p w14:paraId="5A4306DC" w14:textId="77777777" w:rsidR="00F75D03" w:rsidRPr="00A735A0" w:rsidRDefault="00F75D03" w:rsidP="00634EC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4847B1D" w14:textId="1BA11117" w:rsidR="006D4641" w:rsidRPr="006D4641" w:rsidRDefault="006D4641" w:rsidP="006D4641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presente estudo conclui</w:t>
      </w:r>
      <w:r w:rsidRPr="006D4641">
        <w:rPr>
          <w:rFonts w:ascii="Arial" w:hAnsi="Arial" w:cs="Arial"/>
          <w:color w:val="000000" w:themeColor="text1"/>
        </w:rPr>
        <w:t xml:space="preserve"> que a Educação </w:t>
      </w:r>
      <w:proofErr w:type="spellStart"/>
      <w:r w:rsidRPr="006D4641">
        <w:rPr>
          <w:rFonts w:ascii="Arial" w:hAnsi="Arial" w:cs="Arial"/>
          <w:color w:val="000000" w:themeColor="text1"/>
        </w:rPr>
        <w:t>Maker</w:t>
      </w:r>
      <w:proofErr w:type="spellEnd"/>
      <w:r w:rsidRPr="006D4641">
        <w:rPr>
          <w:rFonts w:ascii="Arial" w:hAnsi="Arial" w:cs="Arial"/>
          <w:color w:val="000000" w:themeColor="text1"/>
        </w:rPr>
        <w:t>, quando utilizada com objetivos de aprendizado bem definidos e alinhada ao currículo escolar, pode integrar tecnologia, engenharia e ciência para promover o "conhecimento poderoso" nos alunos. Esse tipo de conhecimento, que é superior ao conhecimento cotidiano, capacita os alunos a pensarem de forma alternativa e a oferecerem explicações em qualquer área, liberando-os de sua experiência diária.</w:t>
      </w:r>
    </w:p>
    <w:p w14:paraId="3973D683" w14:textId="0D1964E4" w:rsidR="006D4641" w:rsidRPr="006D4641" w:rsidRDefault="006D4641" w:rsidP="006D4641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D4641">
        <w:rPr>
          <w:rFonts w:ascii="Arial" w:hAnsi="Arial" w:cs="Arial"/>
          <w:color w:val="000000" w:themeColor="text1"/>
        </w:rPr>
        <w:t xml:space="preserve">O papel do professor é essencial nesse processo, atuando como mediador e </w:t>
      </w:r>
      <w:proofErr w:type="spellStart"/>
      <w:r w:rsidRPr="006D4641">
        <w:rPr>
          <w:rFonts w:ascii="Arial" w:hAnsi="Arial" w:cs="Arial"/>
          <w:color w:val="000000" w:themeColor="text1"/>
        </w:rPr>
        <w:t>recontextualizando</w:t>
      </w:r>
      <w:proofErr w:type="spellEnd"/>
      <w:r w:rsidRPr="006D4641">
        <w:rPr>
          <w:rFonts w:ascii="Arial" w:hAnsi="Arial" w:cs="Arial"/>
          <w:color w:val="000000" w:themeColor="text1"/>
        </w:rPr>
        <w:t xml:space="preserve"> o conhecimento, o que garante que as atividades </w:t>
      </w:r>
      <w:proofErr w:type="spellStart"/>
      <w:r w:rsidRPr="006D4641">
        <w:rPr>
          <w:rFonts w:ascii="Arial" w:hAnsi="Arial" w:cs="Arial"/>
          <w:color w:val="000000" w:themeColor="text1"/>
        </w:rPr>
        <w:t>maker</w:t>
      </w:r>
      <w:proofErr w:type="spellEnd"/>
      <w:r w:rsidRPr="006D4641">
        <w:rPr>
          <w:rFonts w:ascii="Arial" w:hAnsi="Arial" w:cs="Arial"/>
          <w:color w:val="000000" w:themeColor="text1"/>
        </w:rPr>
        <w:t xml:space="preserve"> sirvam como uma ponte eficaz entre a teoria e a prática. Um exemplo disso é a implantação </w:t>
      </w:r>
      <w:r w:rsidRPr="006D4641">
        <w:rPr>
          <w:rFonts w:ascii="Arial" w:hAnsi="Arial" w:cs="Arial"/>
          <w:color w:val="000000" w:themeColor="text1"/>
        </w:rPr>
        <w:lastRenderedPageBreak/>
        <w:t xml:space="preserve">de Laboratórios </w:t>
      </w:r>
      <w:proofErr w:type="spellStart"/>
      <w:r w:rsidRPr="006D4641">
        <w:rPr>
          <w:rFonts w:ascii="Arial" w:hAnsi="Arial" w:cs="Arial"/>
          <w:color w:val="000000" w:themeColor="text1"/>
        </w:rPr>
        <w:t>Makers</w:t>
      </w:r>
      <w:proofErr w:type="spellEnd"/>
      <w:r w:rsidRPr="006D4641">
        <w:rPr>
          <w:rFonts w:ascii="Arial" w:hAnsi="Arial" w:cs="Arial"/>
          <w:color w:val="000000" w:themeColor="text1"/>
        </w:rPr>
        <w:t xml:space="preserve"> em escolas públicas do Amazonas, que oferece a alunos de populações vulneráveis a oportunidade de acessar essas ferramentas.</w:t>
      </w:r>
    </w:p>
    <w:p w14:paraId="20AD0CA7" w14:textId="77777777" w:rsidR="006D4641" w:rsidRDefault="006D4641" w:rsidP="006D4641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D4641">
        <w:rPr>
          <w:rFonts w:ascii="Arial" w:hAnsi="Arial" w:cs="Arial"/>
          <w:color w:val="000000" w:themeColor="text1"/>
        </w:rPr>
        <w:t xml:space="preserve">Para que a implementação seja bem-sucedida, é preciso superar o modelo curricular tradicional, que não atende às demandas do século XXI. É necessário um planejamento pedagógico cuidadoso e uma formação docente adequada. O currículo, por sua vez, deve ser visto como um instrumento de justiça social que distribui socialmente o conhecimento e assegura que todos os alunos, especialmente aqueles de lares menos favorecidos, tenham a chance de adquirir um "conhecimento poderoso" que os permita ir além de suas circunstâncias. </w:t>
      </w:r>
    </w:p>
    <w:p w14:paraId="2BF9244D" w14:textId="0938346A" w:rsidR="006D4641" w:rsidRPr="006D4641" w:rsidRDefault="006D4641" w:rsidP="006D4641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D4641">
        <w:rPr>
          <w:rFonts w:ascii="Arial" w:hAnsi="Arial" w:cs="Arial"/>
          <w:color w:val="000000" w:themeColor="text1"/>
        </w:rPr>
        <w:t xml:space="preserve">Em suma, a educação </w:t>
      </w:r>
      <w:proofErr w:type="spellStart"/>
      <w:r w:rsidRPr="006D4641">
        <w:rPr>
          <w:rFonts w:ascii="Arial" w:hAnsi="Arial" w:cs="Arial"/>
          <w:color w:val="000000" w:themeColor="text1"/>
        </w:rPr>
        <w:t>maker</w:t>
      </w:r>
      <w:proofErr w:type="spellEnd"/>
      <w:r w:rsidRPr="006D4641">
        <w:rPr>
          <w:rFonts w:ascii="Arial" w:hAnsi="Arial" w:cs="Arial"/>
          <w:color w:val="000000" w:themeColor="text1"/>
        </w:rPr>
        <w:t xml:space="preserve"> proporciona uma nova abordagem para a solução de problemas cotidianos, unindo tecnologia e conhecimento científico para capacitar os alunos a transformarem ativamente a sua realidade.</w:t>
      </w:r>
      <w:r>
        <w:rPr>
          <w:rFonts w:ascii="Arial" w:hAnsi="Arial" w:cs="Arial"/>
          <w:color w:val="000000" w:themeColor="text1"/>
        </w:rPr>
        <w:t xml:space="preserve"> É necessário que estudos com práticas pedagógicas </w:t>
      </w:r>
      <w:proofErr w:type="spellStart"/>
      <w:r>
        <w:rPr>
          <w:rFonts w:ascii="Arial" w:hAnsi="Arial" w:cs="Arial"/>
          <w:color w:val="000000" w:themeColor="text1"/>
        </w:rPr>
        <w:t>maker</w:t>
      </w:r>
      <w:proofErr w:type="spellEnd"/>
      <w:r>
        <w:rPr>
          <w:rFonts w:ascii="Arial" w:hAnsi="Arial" w:cs="Arial"/>
          <w:color w:val="000000" w:themeColor="text1"/>
        </w:rPr>
        <w:t xml:space="preserve"> aliadas com o currículo aprofundem essa discussão.</w:t>
      </w:r>
    </w:p>
    <w:p w14:paraId="36CF8663" w14:textId="77777777" w:rsidR="00634ECB" w:rsidRPr="00A735A0" w:rsidRDefault="00634ECB" w:rsidP="00634EC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94CF9F1" w14:textId="77777777" w:rsidR="00634ECB" w:rsidRPr="00A735A0" w:rsidRDefault="00634ECB" w:rsidP="00634EC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7BD368B" w14:textId="50F50BE0" w:rsidR="00634ECB" w:rsidRPr="00A735A0" w:rsidRDefault="00634ECB" w:rsidP="00634EC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735A0">
        <w:rPr>
          <w:rFonts w:ascii="Arial" w:hAnsi="Arial" w:cs="Arial"/>
          <w:b/>
          <w:bCs/>
          <w:color w:val="000000" w:themeColor="text1"/>
        </w:rPr>
        <w:t>REFERÊNCIAS</w:t>
      </w:r>
    </w:p>
    <w:p w14:paraId="6F971CFD" w14:textId="77777777" w:rsidR="00634ECB" w:rsidRPr="00A735A0" w:rsidRDefault="00634ECB" w:rsidP="00634E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164B2BF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BLIKSTEIN, Paulo; VALENTE, José; MOURA,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Éliton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Meireles de. Educação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maker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: onde está o currículo?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Revista e-Curriculum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São Paulo, v. 18, n. 2, p. 523-544, abr./jun. 2020. Disponível em: </w:t>
      </w:r>
      <w:hyperlink r:id="rId7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https://revistas.pucsp.br/curriculum/article/view/48127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>. Acesso em: 16 jun. 2025.</w:t>
      </w:r>
    </w:p>
    <w:p w14:paraId="0F2A02EF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9BF517B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BULLOCK, Shawn M.; SATOR, Andrea J.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Maker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pedagogy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science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teacher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education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Journal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Canadian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Association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for Curriculum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Studies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Lakehead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, Ontario, </w:t>
      </w:r>
      <w:proofErr w:type="gramStart"/>
      <w:r w:rsidRPr="00A735A0">
        <w:rPr>
          <w:rFonts w:ascii="Arial" w:hAnsi="Arial" w:cs="Arial"/>
          <w:color w:val="000000"/>
          <w:sz w:val="24"/>
          <w:szCs w:val="24"/>
        </w:rPr>
        <w:t>Canada</w:t>
      </w:r>
      <w:proofErr w:type="gramEnd"/>
      <w:r w:rsidRPr="00A735A0">
        <w:rPr>
          <w:rFonts w:ascii="Arial" w:hAnsi="Arial" w:cs="Arial"/>
          <w:color w:val="000000"/>
          <w:sz w:val="24"/>
          <w:szCs w:val="24"/>
        </w:rPr>
        <w:t xml:space="preserve">, v. 13, n. 1, 2015. Disponível em: </w:t>
      </w:r>
      <w:hyperlink r:id="rId8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https://jcacs.journals.yorku.ca/index.php/jcacs/article/view/40246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>. Acesso em: 1 jul. 2025.</w:t>
      </w:r>
    </w:p>
    <w:p w14:paraId="1BA5CC0B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2917074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COLL, César. El currículo escolar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el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marco de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la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nueva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ecología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del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aprendizaje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Aula de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Innovación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Educativa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Barcelona, n. 219, p. 31-36, fev. 2013. Disponível em: </w:t>
      </w:r>
      <w:hyperlink r:id="rId9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https://diposit.ub.edu/dspace/bitstream/2445/53975/1/627963.pdf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>. Acesso em: 11 jul. 2025.</w:t>
      </w:r>
    </w:p>
    <w:p w14:paraId="688D1160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06E087C4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HALVERSON, Erica Rosenfeld; SHERIDAN, Kimberly M. The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maker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movement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education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Harvard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Educational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Review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v. 84, n. 4, p. 495-504, inverno 2014. DOI: </w:t>
      </w:r>
      <w:hyperlink r:id="rId10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https://doi.org/10.17763/haer.84.4.34j1g68140382063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>.</w:t>
      </w:r>
    </w:p>
    <w:p w14:paraId="2B84E5A3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46A58D0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lastRenderedPageBreak/>
        <w:t xml:space="preserve">MOREIRA, Antônio F. B.; SILVA, Tomaz T. Sociologia e teoria crítica do currículo: uma introdução. In: MOREIRA, Antônio F. B.; SILVA, Tomaz T. (org.).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Currículo, cultura e sociedade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. São Paulo: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Cortez</w:t>
      </w:r>
      <w:r w:rsidRPr="00A735A0">
        <w:rPr>
          <w:rFonts w:ascii="Arial" w:hAnsi="Arial" w:cs="Arial"/>
          <w:color w:val="000000"/>
          <w:sz w:val="24"/>
          <w:szCs w:val="24"/>
        </w:rPr>
        <w:t>, 2002. p. 7-37.</w:t>
      </w:r>
    </w:p>
    <w:p w14:paraId="1EDDD8B0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FCEA976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RAABE, A.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Maker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: uma nova abordagem para tecnologia na educação. In: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CONGRESSO SOBRE TECNOLOGIAS NA EDUCAÇÃO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2018,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Fortaleza-CE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Anais [...].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 Fortaleza: [s. n.], 2018.</w:t>
      </w:r>
    </w:p>
    <w:p w14:paraId="7D086620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642E0F2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YOUNG, M.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An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approach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study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curricula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as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socially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organized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color w:val="000000"/>
          <w:sz w:val="24"/>
          <w:szCs w:val="24"/>
        </w:rPr>
        <w:t>knowledge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In: YOUNG, M. (ed.).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Knowledge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and</w:t>
      </w:r>
      <w:proofErr w:type="spellEnd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control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 xml:space="preserve">. 6. ed. London: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 xml:space="preserve">Collier </w:t>
      </w:r>
      <w:proofErr w:type="spellStart"/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Macmillan</w:t>
      </w:r>
      <w:proofErr w:type="spellEnd"/>
      <w:r w:rsidRPr="00A735A0">
        <w:rPr>
          <w:rFonts w:ascii="Arial" w:hAnsi="Arial" w:cs="Arial"/>
          <w:color w:val="000000"/>
          <w:sz w:val="24"/>
          <w:szCs w:val="24"/>
        </w:rPr>
        <w:t>, 1980. p. 19-46.</w:t>
      </w:r>
    </w:p>
    <w:p w14:paraId="0EBC7F8E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07623AE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YOUNG, Michael F. D. O futuro da educação em uma sociedade de conhecimento: o argumento radical em defesa de um currículo centrado em disciplinas.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Revista Brasileira de Educação</w:t>
      </w:r>
      <w:r w:rsidRPr="00A735A0">
        <w:rPr>
          <w:rFonts w:ascii="Arial" w:hAnsi="Arial" w:cs="Arial"/>
          <w:color w:val="000000"/>
          <w:sz w:val="24"/>
          <w:szCs w:val="24"/>
        </w:rPr>
        <w:t>, São Paulo, v. 16, n. 48, p. 609-623, set./dez. 2011.</w:t>
      </w:r>
    </w:p>
    <w:p w14:paraId="7F43B3C8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354FD4F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YOUNG, Michael F. D. Para que servem as escolas?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Educação &amp; Sociedade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Campinas, v. 28, n. 101, p. 1287-1302, set./dez. 2007. Disponível em: </w:t>
      </w:r>
      <w:hyperlink r:id="rId11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http://www.cedes.unicamp.br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E86B111" w14:textId="77777777" w:rsidR="00634ECB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0EAC43" w14:textId="0335263B" w:rsidR="00C510B0" w:rsidRPr="00A735A0" w:rsidRDefault="00634ECB" w:rsidP="00634ECB">
      <w:pPr>
        <w:pStyle w:val="Textodecomentrio"/>
        <w:spacing w:after="0"/>
        <w:rPr>
          <w:rFonts w:ascii="Arial" w:hAnsi="Arial" w:cs="Arial"/>
          <w:color w:val="000000"/>
          <w:sz w:val="24"/>
          <w:szCs w:val="24"/>
        </w:rPr>
      </w:pPr>
      <w:r w:rsidRPr="00A735A0">
        <w:rPr>
          <w:rFonts w:ascii="Arial" w:hAnsi="Arial" w:cs="Arial"/>
          <w:color w:val="000000"/>
          <w:sz w:val="24"/>
          <w:szCs w:val="24"/>
        </w:rPr>
        <w:t xml:space="preserve">YOUNG, M. F. D. Por que o conhecimento é importante para as escolas do século XXI? </w:t>
      </w:r>
      <w:r w:rsidRPr="00A735A0">
        <w:rPr>
          <w:rFonts w:ascii="Arial" w:hAnsi="Arial" w:cs="Arial"/>
          <w:b/>
          <w:bCs/>
          <w:color w:val="000000"/>
          <w:sz w:val="24"/>
          <w:szCs w:val="24"/>
        </w:rPr>
        <w:t>Cadernos de Pesquisa</w:t>
      </w:r>
      <w:r w:rsidRPr="00A735A0">
        <w:rPr>
          <w:rFonts w:ascii="Arial" w:hAnsi="Arial" w:cs="Arial"/>
          <w:color w:val="000000"/>
          <w:sz w:val="24"/>
          <w:szCs w:val="24"/>
        </w:rPr>
        <w:t xml:space="preserve">, São Paulo, v. 46, n. 159, p. 18–37, 2016. Disponível em: </w:t>
      </w:r>
      <w:hyperlink r:id="rId12" w:tgtFrame="_new" w:history="1">
        <w:r w:rsidRPr="00A735A0">
          <w:rPr>
            <w:rStyle w:val="Hyperlink"/>
            <w:rFonts w:ascii="Arial" w:hAnsi="Arial" w:cs="Arial"/>
            <w:sz w:val="24"/>
            <w:szCs w:val="24"/>
          </w:rPr>
          <w:t>https://publicacoes.fcc.org.br/cp/article/view/3533</w:t>
        </w:r>
      </w:hyperlink>
      <w:r w:rsidRPr="00A735A0">
        <w:rPr>
          <w:rFonts w:ascii="Arial" w:hAnsi="Arial" w:cs="Arial"/>
          <w:color w:val="000000"/>
          <w:sz w:val="24"/>
          <w:szCs w:val="24"/>
        </w:rPr>
        <w:t>. Acesso em: 17 jul. 2025.</w:t>
      </w:r>
    </w:p>
    <w:sectPr w:rsidR="00C510B0" w:rsidRPr="00A735A0" w:rsidSect="00D536D8">
      <w:headerReference w:type="default" r:id="rId13"/>
      <w:footerReference w:type="default" r:id="rId14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F1251" w14:textId="77777777" w:rsidR="005273ED" w:rsidRDefault="005273ED" w:rsidP="00D61F18">
      <w:pPr>
        <w:spacing w:after="0" w:line="240" w:lineRule="auto"/>
      </w:pPr>
      <w:r>
        <w:separator/>
      </w:r>
    </w:p>
  </w:endnote>
  <w:endnote w:type="continuationSeparator" w:id="0">
    <w:p w14:paraId="3E00456A" w14:textId="77777777" w:rsidR="005273ED" w:rsidRDefault="005273E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81B2" w14:textId="77777777" w:rsidR="005273ED" w:rsidRDefault="005273ED" w:rsidP="00D61F18">
      <w:pPr>
        <w:spacing w:after="0" w:line="240" w:lineRule="auto"/>
      </w:pPr>
      <w:r>
        <w:separator/>
      </w:r>
    </w:p>
  </w:footnote>
  <w:footnote w:type="continuationSeparator" w:id="0">
    <w:p w14:paraId="771DB3C7" w14:textId="77777777" w:rsidR="005273ED" w:rsidRDefault="005273E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A793D"/>
    <w:rsid w:val="000F2715"/>
    <w:rsid w:val="00120498"/>
    <w:rsid w:val="001314EF"/>
    <w:rsid w:val="00174ECF"/>
    <w:rsid w:val="001750B6"/>
    <w:rsid w:val="001B6ECA"/>
    <w:rsid w:val="001D3EEB"/>
    <w:rsid w:val="00242EEC"/>
    <w:rsid w:val="002C1EB4"/>
    <w:rsid w:val="002E0F55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13D"/>
    <w:rsid w:val="004C5576"/>
    <w:rsid w:val="004D6E26"/>
    <w:rsid w:val="004E0C7C"/>
    <w:rsid w:val="00520890"/>
    <w:rsid w:val="005239FA"/>
    <w:rsid w:val="005273ED"/>
    <w:rsid w:val="00594C2E"/>
    <w:rsid w:val="005A7B60"/>
    <w:rsid w:val="0063142D"/>
    <w:rsid w:val="00634ECB"/>
    <w:rsid w:val="00642304"/>
    <w:rsid w:val="00660095"/>
    <w:rsid w:val="00674210"/>
    <w:rsid w:val="006D4641"/>
    <w:rsid w:val="006E087F"/>
    <w:rsid w:val="006E4C52"/>
    <w:rsid w:val="00733BD2"/>
    <w:rsid w:val="00734F8B"/>
    <w:rsid w:val="007529F2"/>
    <w:rsid w:val="00760152"/>
    <w:rsid w:val="007657CF"/>
    <w:rsid w:val="007838DA"/>
    <w:rsid w:val="007954BA"/>
    <w:rsid w:val="007A4F1E"/>
    <w:rsid w:val="007B29E8"/>
    <w:rsid w:val="008107E8"/>
    <w:rsid w:val="00812218"/>
    <w:rsid w:val="00822323"/>
    <w:rsid w:val="00827B86"/>
    <w:rsid w:val="00832246"/>
    <w:rsid w:val="008653A3"/>
    <w:rsid w:val="00913B6E"/>
    <w:rsid w:val="009363CF"/>
    <w:rsid w:val="00942D4D"/>
    <w:rsid w:val="00964F52"/>
    <w:rsid w:val="009727FA"/>
    <w:rsid w:val="00990F61"/>
    <w:rsid w:val="009F2F7E"/>
    <w:rsid w:val="00A668AF"/>
    <w:rsid w:val="00A735A0"/>
    <w:rsid w:val="00A81B22"/>
    <w:rsid w:val="00B7130B"/>
    <w:rsid w:val="00B7405F"/>
    <w:rsid w:val="00B83CB5"/>
    <w:rsid w:val="00C1690B"/>
    <w:rsid w:val="00C510B0"/>
    <w:rsid w:val="00C82AF9"/>
    <w:rsid w:val="00C91957"/>
    <w:rsid w:val="00D00C12"/>
    <w:rsid w:val="00D10917"/>
    <w:rsid w:val="00D536D8"/>
    <w:rsid w:val="00D61F18"/>
    <w:rsid w:val="00EB7930"/>
    <w:rsid w:val="00EC0930"/>
    <w:rsid w:val="00EF3058"/>
    <w:rsid w:val="00F51A02"/>
    <w:rsid w:val="00F75D0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comentrio">
    <w:name w:val="annotation text"/>
    <w:basedOn w:val="Normal"/>
    <w:link w:val="TextodecomentrioChar"/>
    <w:unhideWhenUsed/>
    <w:rsid w:val="004C51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C513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C513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4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acs.journals.yorku.ca/index.php/jcacs/article/view/4024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pucsp.br/curriculum/article/view/48127" TargetMode="External"/><Relationship Id="rId12" Type="http://schemas.openxmlformats.org/officeDocument/2006/relationships/hyperlink" Target="https://publicacoes.fcc.org.br/cp/article/view/35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es.unicamp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7763/haer.84.4.34j1g68140382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posit.ub.edu/dspace/bitstream/2445/53975/1/627963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3240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WILLIAM COSTA</cp:lastModifiedBy>
  <cp:revision>29</cp:revision>
  <cp:lastPrinted>2025-06-10T18:30:00Z</cp:lastPrinted>
  <dcterms:created xsi:type="dcterms:W3CDTF">2025-06-11T23:40:00Z</dcterms:created>
  <dcterms:modified xsi:type="dcterms:W3CDTF">2025-09-11T14:04:00Z</dcterms:modified>
</cp:coreProperties>
</file>