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DEB33" w14:textId="075BFB35" w:rsidR="0017312F" w:rsidRDefault="00720F09"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</w:t>
      </w:r>
      <w:r w:rsidR="003C0BE3">
        <w:rPr>
          <w:b/>
          <w:sz w:val="24"/>
          <w:szCs w:val="24"/>
        </w:rPr>
        <w:t>ONEAMENTO DE APTIDÃO</w:t>
      </w:r>
      <w:r w:rsidR="00DD7835">
        <w:rPr>
          <w:b/>
          <w:sz w:val="24"/>
          <w:szCs w:val="24"/>
        </w:rPr>
        <w:t xml:space="preserve"> DE</w:t>
      </w:r>
      <w:r w:rsidR="003C0BE3">
        <w:rPr>
          <w:b/>
          <w:sz w:val="24"/>
          <w:szCs w:val="24"/>
        </w:rPr>
        <w:t xml:space="preserve"> SISTEMAS AGROFLORES</w:t>
      </w:r>
      <w:r>
        <w:rPr>
          <w:b/>
          <w:sz w:val="24"/>
          <w:szCs w:val="24"/>
        </w:rPr>
        <w:t>TAIS</w:t>
      </w:r>
      <w:r w:rsidR="003C0BE3">
        <w:rPr>
          <w:b/>
          <w:sz w:val="24"/>
          <w:szCs w:val="24"/>
        </w:rPr>
        <w:t xml:space="preserve"> NA REGIÃO SUDOESTE DO PARÁ</w:t>
      </w:r>
    </w:p>
    <w:p w14:paraId="0B14BE20" w14:textId="77777777" w:rsidR="0017312F" w:rsidRDefault="0017312F">
      <w:pPr>
        <w:widowControl/>
        <w:jc w:val="center"/>
        <w:rPr>
          <w:b/>
          <w:sz w:val="24"/>
          <w:szCs w:val="24"/>
        </w:rPr>
      </w:pPr>
      <w:bookmarkStart w:id="0" w:name="_heading=h.gjdgxs" w:colFirst="0" w:colLast="0"/>
      <w:bookmarkEnd w:id="0"/>
    </w:p>
    <w:p w14:paraId="35CE86C0" w14:textId="18C42F0B" w:rsidR="0017312F" w:rsidRDefault="003E093F">
      <w:pPr>
        <w:spacing w:line="276" w:lineRule="auto"/>
        <w:ind w:left="221" w:right="214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Yasmim Guedes da Silva</w:t>
      </w:r>
      <w:r>
        <w:rPr>
          <w:b/>
          <w:sz w:val="20"/>
          <w:szCs w:val="20"/>
          <w:vertAlign w:val="superscript"/>
        </w:rPr>
        <w:t>1</w:t>
      </w:r>
      <w:r>
        <w:rPr>
          <w:b/>
          <w:color w:val="000000"/>
          <w:sz w:val="20"/>
          <w:szCs w:val="20"/>
        </w:rPr>
        <w:t>,</w:t>
      </w:r>
      <w:r>
        <w:rPr>
          <w:b/>
          <w:sz w:val="20"/>
          <w:szCs w:val="20"/>
        </w:rPr>
        <w:t xml:space="preserve"> </w:t>
      </w:r>
      <w:r w:rsidR="003C0BE3">
        <w:rPr>
          <w:b/>
          <w:sz w:val="20"/>
          <w:szCs w:val="20"/>
        </w:rPr>
        <w:t>José Maria Franco Santos Júnior</w:t>
      </w:r>
      <w:r w:rsidR="003C0BE3">
        <w:rPr>
          <w:b/>
          <w:sz w:val="20"/>
          <w:szCs w:val="20"/>
          <w:vertAlign w:val="superscript"/>
        </w:rPr>
        <w:t>1</w:t>
      </w:r>
      <w:r w:rsidR="00684E49">
        <w:rPr>
          <w:b/>
          <w:sz w:val="20"/>
          <w:szCs w:val="20"/>
        </w:rPr>
        <w:t xml:space="preserve">, </w:t>
      </w:r>
      <w:proofErr w:type="spellStart"/>
      <w:r w:rsidR="003C0BE3">
        <w:rPr>
          <w:b/>
          <w:color w:val="000000"/>
          <w:sz w:val="20"/>
          <w:szCs w:val="20"/>
        </w:rPr>
        <w:t>Duanne</w:t>
      </w:r>
      <w:proofErr w:type="spellEnd"/>
      <w:r w:rsidR="003C0BE3">
        <w:rPr>
          <w:b/>
          <w:color w:val="000000"/>
          <w:sz w:val="20"/>
          <w:szCs w:val="20"/>
        </w:rPr>
        <w:t xml:space="preserve"> Karine dos Anjos Colares</w:t>
      </w:r>
      <w:r w:rsidR="003C0BE3">
        <w:rPr>
          <w:b/>
          <w:sz w:val="20"/>
          <w:szCs w:val="20"/>
          <w:vertAlign w:val="superscript"/>
        </w:rPr>
        <w:t>1</w:t>
      </w:r>
      <w:r w:rsidR="003C0BE3">
        <w:rPr>
          <w:b/>
          <w:sz w:val="20"/>
          <w:szCs w:val="20"/>
        </w:rPr>
        <w:t xml:space="preserve">, </w:t>
      </w:r>
      <w:proofErr w:type="spellStart"/>
      <w:r w:rsidR="003C0BE3">
        <w:rPr>
          <w:b/>
          <w:color w:val="000000"/>
          <w:sz w:val="20"/>
          <w:szCs w:val="20"/>
        </w:rPr>
        <w:t>Hana</w:t>
      </w:r>
      <w:proofErr w:type="spellEnd"/>
      <w:r w:rsidR="003C0BE3">
        <w:rPr>
          <w:b/>
          <w:color w:val="000000"/>
          <w:sz w:val="20"/>
          <w:szCs w:val="20"/>
        </w:rPr>
        <w:t xml:space="preserve"> </w:t>
      </w:r>
      <w:proofErr w:type="spellStart"/>
      <w:r w:rsidR="003C0BE3">
        <w:rPr>
          <w:b/>
          <w:color w:val="000000"/>
          <w:sz w:val="20"/>
          <w:szCs w:val="20"/>
        </w:rPr>
        <w:t>Saiumy</w:t>
      </w:r>
      <w:proofErr w:type="spellEnd"/>
      <w:r w:rsidR="003C0BE3">
        <w:rPr>
          <w:b/>
          <w:color w:val="000000"/>
          <w:sz w:val="20"/>
          <w:szCs w:val="20"/>
        </w:rPr>
        <w:t xml:space="preserve"> Favacho</w:t>
      </w:r>
      <w:r w:rsidR="003C0BE3">
        <w:rPr>
          <w:color w:val="000000"/>
          <w:sz w:val="20"/>
          <w:szCs w:val="20"/>
        </w:rPr>
        <w:t xml:space="preserve"> </w:t>
      </w:r>
      <w:r w:rsidR="003C0BE3">
        <w:rPr>
          <w:b/>
          <w:color w:val="000000"/>
          <w:sz w:val="20"/>
          <w:szCs w:val="20"/>
        </w:rPr>
        <w:t>dos Santos</w:t>
      </w:r>
      <w:r w:rsidR="003C0BE3">
        <w:rPr>
          <w:b/>
          <w:sz w:val="20"/>
          <w:szCs w:val="20"/>
          <w:vertAlign w:val="superscript"/>
        </w:rPr>
        <w:t>1</w:t>
      </w:r>
      <w:r w:rsidR="003C0BE3">
        <w:rPr>
          <w:b/>
          <w:sz w:val="20"/>
          <w:szCs w:val="20"/>
        </w:rPr>
        <w:t xml:space="preserve">, </w:t>
      </w:r>
      <w:r w:rsidR="003C0BE3">
        <w:rPr>
          <w:b/>
          <w:color w:val="000000"/>
          <w:sz w:val="20"/>
          <w:szCs w:val="20"/>
        </w:rPr>
        <w:t>Wesley Lopes Pinto</w:t>
      </w:r>
      <w:r w:rsidR="003C0BE3">
        <w:rPr>
          <w:b/>
          <w:color w:val="000000"/>
          <w:sz w:val="20"/>
          <w:szCs w:val="20"/>
          <w:vertAlign w:val="superscript"/>
        </w:rPr>
        <w:t>1</w:t>
      </w:r>
      <w:r w:rsidR="003C0BE3">
        <w:rPr>
          <w:b/>
          <w:color w:val="000000"/>
          <w:sz w:val="20"/>
          <w:szCs w:val="20"/>
        </w:rPr>
        <w:t>,</w:t>
      </w:r>
      <w:r>
        <w:rPr>
          <w:b/>
          <w:color w:val="000000"/>
          <w:sz w:val="20"/>
          <w:szCs w:val="20"/>
        </w:rPr>
        <w:t xml:space="preserve"> </w:t>
      </w:r>
      <w:r w:rsidR="003C0BE3">
        <w:rPr>
          <w:b/>
          <w:sz w:val="20"/>
          <w:szCs w:val="20"/>
        </w:rPr>
        <w:t>Camila Vitória Santos Aquino</w:t>
      </w:r>
      <w:r w:rsidR="003C0BE3">
        <w:rPr>
          <w:b/>
          <w:sz w:val="20"/>
          <w:szCs w:val="20"/>
          <w:vertAlign w:val="superscript"/>
        </w:rPr>
        <w:t>1</w:t>
      </w:r>
      <w:r w:rsidR="003C0BE3">
        <w:rPr>
          <w:b/>
          <w:color w:val="000000"/>
          <w:sz w:val="20"/>
          <w:szCs w:val="20"/>
        </w:rPr>
        <w:t xml:space="preserve">, </w:t>
      </w:r>
      <w:r w:rsidR="003C0BE3">
        <w:rPr>
          <w:b/>
          <w:sz w:val="20"/>
          <w:szCs w:val="20"/>
        </w:rPr>
        <w:t>João Gabriel Ferreira Colares</w:t>
      </w:r>
      <w:r w:rsidR="003C0BE3">
        <w:rPr>
          <w:b/>
          <w:sz w:val="20"/>
          <w:szCs w:val="20"/>
          <w:vertAlign w:val="superscript"/>
        </w:rPr>
        <w:t>1</w:t>
      </w:r>
      <w:r w:rsidR="003C0BE3">
        <w:rPr>
          <w:b/>
          <w:sz w:val="20"/>
          <w:szCs w:val="20"/>
        </w:rPr>
        <w:t>,</w:t>
      </w:r>
      <w:r w:rsidR="003C0BE3">
        <w:rPr>
          <w:b/>
          <w:color w:val="000000"/>
          <w:sz w:val="20"/>
          <w:szCs w:val="20"/>
        </w:rPr>
        <w:t xml:space="preserve"> </w:t>
      </w:r>
      <w:proofErr w:type="spellStart"/>
      <w:r w:rsidR="003C0BE3">
        <w:rPr>
          <w:b/>
          <w:color w:val="000000"/>
          <w:sz w:val="20"/>
          <w:szCs w:val="20"/>
        </w:rPr>
        <w:t>Giovanne</w:t>
      </w:r>
      <w:proofErr w:type="spellEnd"/>
      <w:r w:rsidR="003C0BE3">
        <w:rPr>
          <w:b/>
          <w:color w:val="000000"/>
          <w:sz w:val="20"/>
          <w:szCs w:val="20"/>
        </w:rPr>
        <w:t xml:space="preserve"> Figueiredo da Rocha</w:t>
      </w:r>
      <w:r w:rsidR="003C0BE3">
        <w:rPr>
          <w:b/>
          <w:color w:val="000000"/>
          <w:sz w:val="20"/>
          <w:szCs w:val="20"/>
          <w:vertAlign w:val="superscript"/>
        </w:rPr>
        <w:t>1</w:t>
      </w:r>
      <w:r w:rsidR="003C0BE3">
        <w:rPr>
          <w:b/>
          <w:color w:val="000000"/>
          <w:sz w:val="20"/>
          <w:szCs w:val="20"/>
        </w:rPr>
        <w:t xml:space="preserve">, Flávio </w:t>
      </w:r>
      <w:proofErr w:type="spellStart"/>
      <w:r w:rsidR="003C0BE3">
        <w:rPr>
          <w:b/>
          <w:color w:val="000000"/>
          <w:sz w:val="20"/>
          <w:szCs w:val="20"/>
        </w:rPr>
        <w:t>Hebert</w:t>
      </w:r>
      <w:proofErr w:type="spellEnd"/>
      <w:r w:rsidR="003C0BE3">
        <w:rPr>
          <w:b/>
          <w:color w:val="000000"/>
          <w:sz w:val="20"/>
          <w:szCs w:val="20"/>
        </w:rPr>
        <w:t xml:space="preserve"> da Silva Fonseca</w:t>
      </w:r>
      <w:r w:rsidR="003C0BE3">
        <w:rPr>
          <w:b/>
          <w:color w:val="000000"/>
          <w:sz w:val="20"/>
          <w:szCs w:val="20"/>
          <w:vertAlign w:val="superscript"/>
        </w:rPr>
        <w:t>1</w:t>
      </w:r>
      <w:r w:rsidR="003C0BE3">
        <w:rPr>
          <w:b/>
          <w:sz w:val="20"/>
          <w:szCs w:val="20"/>
        </w:rPr>
        <w:t xml:space="preserve">, </w:t>
      </w:r>
      <w:r w:rsidR="003C0BE3">
        <w:rPr>
          <w:b/>
          <w:color w:val="000000"/>
          <w:sz w:val="20"/>
          <w:szCs w:val="20"/>
        </w:rPr>
        <w:t>Antonio Henrique Cordeiro Ramalho</w:t>
      </w:r>
      <w:r w:rsidR="003C0BE3">
        <w:rPr>
          <w:b/>
          <w:color w:val="000000"/>
          <w:sz w:val="20"/>
          <w:szCs w:val="20"/>
          <w:vertAlign w:val="superscript"/>
        </w:rPr>
        <w:t>1</w:t>
      </w:r>
    </w:p>
    <w:p w14:paraId="4F1450C6" w14:textId="77777777" w:rsidR="0017312F" w:rsidRDefault="003C0BE3">
      <w:pPr>
        <w:spacing w:line="276" w:lineRule="auto"/>
        <w:ind w:left="221" w:right="214"/>
        <w:jc w:val="center"/>
        <w:rPr>
          <w:sz w:val="20"/>
          <w:szCs w:val="20"/>
        </w:rPr>
      </w:pPr>
      <w:r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>Universidade Federal do Oeste do Pará, Instituto de Biodiversidade e Florestas</w:t>
      </w:r>
    </w:p>
    <w:p w14:paraId="596B95FE" w14:textId="6B28561C" w:rsidR="0017312F" w:rsidRDefault="00314701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*</w:t>
      </w:r>
      <w:r w:rsidR="00653737">
        <w:rPr>
          <w:color w:val="000000"/>
          <w:sz w:val="20"/>
          <w:szCs w:val="20"/>
        </w:rPr>
        <w:t>yasmimguedes.eng@gmail.com</w:t>
      </w:r>
    </w:p>
    <w:p w14:paraId="0F6617DB" w14:textId="77777777" w:rsidR="0017312F" w:rsidRPr="00471A57" w:rsidRDefault="003C0BE3">
      <w:pPr>
        <w:jc w:val="center"/>
        <w:rPr>
          <w:sz w:val="20"/>
          <w:szCs w:val="20"/>
          <w:u w:val="single"/>
        </w:rPr>
      </w:pPr>
      <w:bookmarkStart w:id="1" w:name="_heading=h.yp96iwu2o7wg" w:colFirst="0" w:colLast="0"/>
      <w:bookmarkEnd w:id="1"/>
      <w:r w:rsidRPr="00471A57">
        <w:rPr>
          <w:sz w:val="20"/>
          <w:szCs w:val="20"/>
          <w:u w:val="single"/>
        </w:rPr>
        <w:t>________________________________________________________________________________________</w:t>
      </w:r>
    </w:p>
    <w:p w14:paraId="5AADD338" w14:textId="77777777" w:rsidR="0017312F" w:rsidRDefault="0017312F">
      <w:pPr>
        <w:jc w:val="both"/>
        <w:rPr>
          <w:sz w:val="20"/>
          <w:szCs w:val="20"/>
        </w:rPr>
      </w:pPr>
    </w:p>
    <w:p w14:paraId="598D010E" w14:textId="77777777" w:rsidR="0017312F" w:rsidRDefault="003C0BE3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  <w:r>
        <w:rPr>
          <w:sz w:val="20"/>
          <w:szCs w:val="20"/>
        </w:rPr>
        <w:t xml:space="preserve"> </w:t>
      </w:r>
    </w:p>
    <w:p w14:paraId="116E5DA4" w14:textId="77777777" w:rsidR="0017312F" w:rsidRPr="00BA61D3" w:rsidRDefault="003C0BE3">
      <w:pPr>
        <w:ind w:left="567" w:right="567"/>
        <w:jc w:val="both"/>
        <w:rPr>
          <w:sz w:val="20"/>
          <w:szCs w:val="20"/>
        </w:rPr>
      </w:pPr>
      <w:r w:rsidRPr="00BA61D3">
        <w:rPr>
          <w:color w:val="000000"/>
          <w:sz w:val="20"/>
          <w:szCs w:val="20"/>
        </w:rPr>
        <w:t xml:space="preserve">O desmatamento ilegal na Amazônia é uma agravante, motivado pelo histórico extrativista da região, aumentando a vulnerabilidade dos ecossistemas. Para enfrentar esse problema, é essencial desenvolver estratégias. Nesse cenário, os Sistemas Agroflorestais se destacam como alternativa, promovendo resiliência climática e gerando benefícios sociais, ambientais e econômicos. Contudo, seu sucesso depende </w:t>
      </w:r>
      <w:r w:rsidRPr="00BA61D3">
        <w:rPr>
          <w:sz w:val="20"/>
          <w:szCs w:val="20"/>
        </w:rPr>
        <w:t>do planejamento</w:t>
      </w:r>
      <w:r w:rsidRPr="00BA61D3">
        <w:rPr>
          <w:color w:val="000000"/>
          <w:sz w:val="20"/>
          <w:szCs w:val="20"/>
        </w:rPr>
        <w:t xml:space="preserve"> das operações. Desta forma, </w:t>
      </w:r>
      <w:r w:rsidRPr="00BA61D3">
        <w:rPr>
          <w:sz w:val="20"/>
          <w:szCs w:val="20"/>
        </w:rPr>
        <w:t>o objetivo com a presente pesquisa foi desenvolver um zoneamento de áreas ótimas para a implantação de Sistemas Agroflorestais com Cacau (</w:t>
      </w:r>
      <w:proofErr w:type="spellStart"/>
      <w:r w:rsidRPr="00BA61D3">
        <w:rPr>
          <w:i/>
          <w:sz w:val="20"/>
          <w:szCs w:val="20"/>
        </w:rPr>
        <w:t>Theobroma</w:t>
      </w:r>
      <w:proofErr w:type="spellEnd"/>
      <w:r w:rsidRPr="00BA61D3">
        <w:rPr>
          <w:i/>
          <w:sz w:val="20"/>
          <w:szCs w:val="20"/>
        </w:rPr>
        <w:t xml:space="preserve"> </w:t>
      </w:r>
      <w:proofErr w:type="spellStart"/>
      <w:r w:rsidRPr="00BA61D3">
        <w:rPr>
          <w:i/>
          <w:sz w:val="20"/>
          <w:szCs w:val="20"/>
        </w:rPr>
        <w:t>cacao</w:t>
      </w:r>
      <w:proofErr w:type="spellEnd"/>
      <w:r w:rsidRPr="00BA61D3">
        <w:rPr>
          <w:i/>
          <w:sz w:val="20"/>
          <w:szCs w:val="20"/>
        </w:rPr>
        <w:t xml:space="preserve"> </w:t>
      </w:r>
      <w:r w:rsidRPr="00BA61D3">
        <w:rPr>
          <w:sz w:val="20"/>
          <w:szCs w:val="20"/>
        </w:rPr>
        <w:t>L.) e Mogno Africano (</w:t>
      </w:r>
      <w:r w:rsidRPr="00BA61D3">
        <w:rPr>
          <w:i/>
          <w:sz w:val="20"/>
          <w:szCs w:val="20"/>
        </w:rPr>
        <w:t xml:space="preserve">Khaya </w:t>
      </w:r>
      <w:proofErr w:type="spellStart"/>
      <w:r w:rsidRPr="00BA61D3">
        <w:rPr>
          <w:i/>
          <w:sz w:val="20"/>
          <w:szCs w:val="20"/>
        </w:rPr>
        <w:t>ivorensis</w:t>
      </w:r>
      <w:proofErr w:type="spellEnd"/>
      <w:r w:rsidRPr="00BA61D3">
        <w:rPr>
          <w:sz w:val="20"/>
          <w:szCs w:val="20"/>
        </w:rPr>
        <w:t xml:space="preserve"> A.) na região Sudoeste do estado do Pará, utilizando geotecnologias, com ênfase na lógica </w:t>
      </w:r>
      <w:proofErr w:type="spellStart"/>
      <w:r w:rsidRPr="00BA61D3">
        <w:rPr>
          <w:sz w:val="20"/>
          <w:szCs w:val="20"/>
        </w:rPr>
        <w:t>Fuzzy</w:t>
      </w:r>
      <w:proofErr w:type="spellEnd"/>
      <w:r w:rsidRPr="00BA61D3">
        <w:rPr>
          <w:sz w:val="20"/>
          <w:szCs w:val="20"/>
        </w:rPr>
        <w:t xml:space="preserve">. A metodologia abrange o levantamento de informações como: exigências edafoclimáticas, a criação de um banco de dados para a região, reclassificação das variáveis de acordo com as exigências das culturas para modelagem </w:t>
      </w:r>
      <w:proofErr w:type="spellStart"/>
      <w:r w:rsidRPr="00BA61D3">
        <w:rPr>
          <w:sz w:val="20"/>
          <w:szCs w:val="20"/>
        </w:rPr>
        <w:t>Fuzzy</w:t>
      </w:r>
      <w:proofErr w:type="spellEnd"/>
      <w:r w:rsidRPr="00BA61D3">
        <w:rPr>
          <w:sz w:val="20"/>
          <w:szCs w:val="20"/>
        </w:rPr>
        <w:t xml:space="preserve">. As áreas foram reclassificadas em categorias que vão de muito baixa aptidão, baixa, moderada alta e muito alta, com exclusão de áreas protegidas. </w:t>
      </w:r>
      <w:r w:rsidRPr="00BA61D3">
        <w:rPr>
          <w:color w:val="000000"/>
          <w:sz w:val="20"/>
          <w:szCs w:val="20"/>
        </w:rPr>
        <w:t xml:space="preserve">Os resultados do zoneamento para o cultivo, </w:t>
      </w:r>
      <w:r w:rsidRPr="00BA61D3">
        <w:rPr>
          <w:sz w:val="20"/>
          <w:szCs w:val="20"/>
        </w:rPr>
        <w:t xml:space="preserve">se deu em </w:t>
      </w:r>
      <w:r w:rsidRPr="00BA61D3">
        <w:rPr>
          <w:color w:val="000000"/>
          <w:sz w:val="20"/>
          <w:szCs w:val="20"/>
        </w:rPr>
        <w:t xml:space="preserve">distribuição espacial em </w:t>
      </w:r>
      <w:r w:rsidRPr="00BA61D3">
        <w:rPr>
          <w:sz w:val="20"/>
          <w:szCs w:val="20"/>
        </w:rPr>
        <w:t xml:space="preserve">km² nas </w:t>
      </w:r>
      <w:r w:rsidRPr="00BA61D3">
        <w:rPr>
          <w:color w:val="000000"/>
          <w:sz w:val="20"/>
          <w:szCs w:val="20"/>
        </w:rPr>
        <w:t xml:space="preserve">classes: alta aptidão 19.392.330,390 km², boa aptidão 10.447.413,86 km², aptidão regular 16.533.751,52 km², baixa aptidão 10.928.502,520 km² e inapto 21.093.959,77km². </w:t>
      </w:r>
      <w:r w:rsidRPr="00BA61D3">
        <w:rPr>
          <w:sz w:val="20"/>
          <w:szCs w:val="20"/>
        </w:rPr>
        <w:t>As variáveis precipitação e temperatura mostraram destaque para o estudo. A presença de florestas foi um fator inacessível para algumas áreas. Entretanto, a proximidade de estradas é importante variável, pois facilita o escoamento da produção. Contudo, o estudo oferece informações valiosas para o ordenamento territorial, o que promove a possibilidade de integrar conservação e desenvolvimento produtivo sustentável na região.</w:t>
      </w:r>
      <w:r w:rsidRPr="00BA61D3">
        <w:rPr>
          <w:color w:val="000000"/>
          <w:sz w:val="20"/>
          <w:szCs w:val="20"/>
        </w:rPr>
        <w:t xml:space="preserve"> </w:t>
      </w:r>
    </w:p>
    <w:p w14:paraId="520B111A" w14:textId="735CCC33" w:rsidR="0017312F" w:rsidRDefault="003C0BE3">
      <w:pPr>
        <w:widowControl/>
        <w:ind w:left="567" w:right="4" w:hanging="567"/>
        <w:rPr>
          <w:sz w:val="20"/>
          <w:szCs w:val="20"/>
        </w:rPr>
      </w:pPr>
      <w:r w:rsidRPr="00EF4A1A">
        <w:rPr>
          <w:i/>
          <w:iCs/>
          <w:sz w:val="20"/>
          <w:szCs w:val="20"/>
        </w:rPr>
        <w:t>Palavras-chave</w:t>
      </w:r>
      <w:r>
        <w:rPr>
          <w:sz w:val="20"/>
          <w:szCs w:val="20"/>
        </w:rPr>
        <w:t>:</w:t>
      </w:r>
      <w:r w:rsidR="00DD7835">
        <w:rPr>
          <w:sz w:val="20"/>
          <w:szCs w:val="20"/>
        </w:rPr>
        <w:t xml:space="preserve"> Cultivo misto</w:t>
      </w:r>
      <w:r>
        <w:rPr>
          <w:sz w:val="20"/>
          <w:szCs w:val="20"/>
        </w:rPr>
        <w:t>,</w:t>
      </w:r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Theobroma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cacao</w:t>
      </w:r>
      <w:proofErr w:type="spellEnd"/>
      <w:r>
        <w:rPr>
          <w:i/>
          <w:sz w:val="20"/>
          <w:szCs w:val="20"/>
        </w:rPr>
        <w:t xml:space="preserve">, Khaya </w:t>
      </w:r>
      <w:proofErr w:type="spellStart"/>
      <w:r>
        <w:rPr>
          <w:i/>
          <w:sz w:val="20"/>
          <w:szCs w:val="20"/>
        </w:rPr>
        <w:t>ivorensis</w:t>
      </w:r>
      <w:proofErr w:type="spellEnd"/>
      <w:r>
        <w:rPr>
          <w:sz w:val="20"/>
          <w:szCs w:val="20"/>
        </w:rPr>
        <w:t xml:space="preserve">., </w:t>
      </w:r>
      <w:r w:rsidR="000739B5">
        <w:rPr>
          <w:sz w:val="20"/>
          <w:szCs w:val="20"/>
        </w:rPr>
        <w:t>Geotecnologias</w:t>
      </w:r>
    </w:p>
    <w:p w14:paraId="0D9BF8F3" w14:textId="77777777" w:rsidR="0017312F" w:rsidRDefault="0017312F">
      <w:pPr>
        <w:widowControl/>
        <w:jc w:val="both"/>
        <w:rPr>
          <w:b/>
          <w:sz w:val="20"/>
          <w:szCs w:val="20"/>
        </w:rPr>
      </w:pPr>
    </w:p>
    <w:p w14:paraId="33AA4856" w14:textId="77777777" w:rsidR="0017312F" w:rsidRDefault="003C0BE3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INTRODUÇÃO </w:t>
      </w:r>
    </w:p>
    <w:p w14:paraId="26A5DEB7" w14:textId="77777777" w:rsidR="0017312F" w:rsidRDefault="003C0BE3" w:rsidP="00BB0D45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O agronegócio, pilar econômico do Brasil, tem expandido suas fronteiras, o que resultou na perda de 8.558.237 ha de vegetação nativa nos últimos cinco anos, embora 2023 tenha mostrado uma possível mudança nesse processo (MAPBIOMAS, 2024). O Pará continua a ser um ponto crítico do desmatamento, impulsionado por políticas que objetivam a sua integração no cenário econômico global através de infraestrutura, incentivos fiscais e expansão da agricultura industrial. Entre agosto de 2021 e julho de 2022, o estado foi responsável por 36% de todo o desmatamento na Amazônia, perdendo 3.858 km² de floresta (</w:t>
      </w:r>
      <w:r w:rsidRPr="00982F3A">
        <w:rPr>
          <w:sz w:val="20"/>
          <w:szCs w:val="20"/>
        </w:rPr>
        <w:t>IMAZON, 2022).</w:t>
      </w:r>
      <w:r>
        <w:rPr>
          <w:sz w:val="20"/>
          <w:szCs w:val="20"/>
        </w:rPr>
        <w:t xml:space="preserve"> </w:t>
      </w:r>
    </w:p>
    <w:p w14:paraId="445DD34B" w14:textId="1EAAB93E" w:rsidR="0017312F" w:rsidRDefault="003C0BE3" w:rsidP="00BB0D45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Nesse contexto, os </w:t>
      </w:r>
      <w:r w:rsidR="006C0FCB">
        <w:rPr>
          <w:sz w:val="20"/>
          <w:szCs w:val="20"/>
        </w:rPr>
        <w:t>S</w:t>
      </w:r>
      <w:r>
        <w:rPr>
          <w:sz w:val="20"/>
          <w:szCs w:val="20"/>
        </w:rPr>
        <w:t xml:space="preserve">istemas </w:t>
      </w:r>
      <w:r w:rsidR="006C0FCB">
        <w:rPr>
          <w:sz w:val="20"/>
          <w:szCs w:val="20"/>
        </w:rPr>
        <w:t>A</w:t>
      </w:r>
      <w:r>
        <w:rPr>
          <w:sz w:val="20"/>
          <w:szCs w:val="20"/>
        </w:rPr>
        <w:t xml:space="preserve">groflorestais </w:t>
      </w:r>
      <w:r w:rsidR="006C0FCB">
        <w:rPr>
          <w:sz w:val="20"/>
          <w:szCs w:val="20"/>
        </w:rPr>
        <w:t>(</w:t>
      </w:r>
      <w:proofErr w:type="spellStart"/>
      <w:r w:rsidR="006C0FCB">
        <w:rPr>
          <w:sz w:val="20"/>
          <w:szCs w:val="20"/>
        </w:rPr>
        <w:t>SAFs</w:t>
      </w:r>
      <w:proofErr w:type="spellEnd"/>
      <w:r w:rsidR="006C0FCB">
        <w:rPr>
          <w:sz w:val="20"/>
          <w:szCs w:val="20"/>
        </w:rPr>
        <w:t xml:space="preserve">) </w:t>
      </w:r>
      <w:r>
        <w:rPr>
          <w:sz w:val="20"/>
          <w:szCs w:val="20"/>
        </w:rPr>
        <w:t>são conhecidos como uma estratégia promissora para a restauração ecológica de áreas degradadas (SALOMÃO, 2019). No entanto, a restauração ecológica, em geral, ainda exige avanços significativos para alcançar a efetividade desejada. Especialmente em florestas tropicais, onde os remanescentes de vegetação estão frequentemente inseridos em paisagens fragmentadas e degradadas, tornando o processo ainda mais desafiador (SALOMÃO, 2019).</w:t>
      </w:r>
    </w:p>
    <w:p w14:paraId="5E7FC2A7" w14:textId="32ABE92A" w:rsidR="0017312F" w:rsidRDefault="003C0BE3" w:rsidP="00BB0D45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Diante disso, as ferramentas de geotecnologias, especialmente a lógica </w:t>
      </w:r>
      <w:proofErr w:type="spellStart"/>
      <w:r>
        <w:rPr>
          <w:sz w:val="20"/>
          <w:szCs w:val="20"/>
        </w:rPr>
        <w:t>Fuzzy</w:t>
      </w:r>
      <w:proofErr w:type="spellEnd"/>
      <w:r>
        <w:rPr>
          <w:sz w:val="20"/>
          <w:szCs w:val="20"/>
        </w:rPr>
        <w:t>, são cruciais para a criação de zoneamentos de aptidão que buscam obter informações sobre as exigências específicas das culturas. Assim, o objetivo deste estudo foi desenvolver um zoneamento de áreas ótimas para a implantação de Sistemas Agroflorestais com Cacau (</w:t>
      </w:r>
      <w:proofErr w:type="spellStart"/>
      <w:r>
        <w:rPr>
          <w:i/>
          <w:sz w:val="20"/>
          <w:szCs w:val="20"/>
        </w:rPr>
        <w:t>Theobroma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cacao</w:t>
      </w:r>
      <w:proofErr w:type="spellEnd"/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>L.) e Mogno Africano (</w:t>
      </w:r>
      <w:r>
        <w:rPr>
          <w:i/>
          <w:sz w:val="20"/>
          <w:szCs w:val="20"/>
        </w:rPr>
        <w:t xml:space="preserve">Khaya </w:t>
      </w:r>
      <w:proofErr w:type="spellStart"/>
      <w:r>
        <w:rPr>
          <w:i/>
          <w:sz w:val="20"/>
          <w:szCs w:val="20"/>
        </w:rPr>
        <w:t>ivorensis</w:t>
      </w:r>
      <w:proofErr w:type="spellEnd"/>
      <w:r>
        <w:rPr>
          <w:sz w:val="20"/>
          <w:szCs w:val="20"/>
        </w:rPr>
        <w:t xml:space="preserve"> A.) na região Sudoeste do estado do Pará, utilizando geotecnologias, com ênfase na lógica </w:t>
      </w:r>
      <w:proofErr w:type="spellStart"/>
      <w:r>
        <w:rPr>
          <w:sz w:val="20"/>
          <w:szCs w:val="20"/>
        </w:rPr>
        <w:t>Fuzzy</w:t>
      </w:r>
      <w:proofErr w:type="spellEnd"/>
      <w:r>
        <w:rPr>
          <w:sz w:val="20"/>
          <w:szCs w:val="20"/>
        </w:rPr>
        <w:t>.</w:t>
      </w:r>
    </w:p>
    <w:p w14:paraId="081CB44C" w14:textId="77777777" w:rsidR="007E4C95" w:rsidRDefault="007E4C95" w:rsidP="00BB0D45">
      <w:pPr>
        <w:widowControl/>
        <w:ind w:firstLine="709"/>
        <w:jc w:val="both"/>
        <w:rPr>
          <w:b/>
          <w:sz w:val="20"/>
          <w:szCs w:val="20"/>
        </w:rPr>
      </w:pPr>
    </w:p>
    <w:p w14:paraId="665B7BC6" w14:textId="77777777" w:rsidR="0017312F" w:rsidRDefault="003C0BE3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MATERIAL E MÉTODOS </w:t>
      </w:r>
    </w:p>
    <w:p w14:paraId="5EA8457A" w14:textId="10F14FE6" w:rsidR="0017312F" w:rsidRDefault="003C0BE3" w:rsidP="000739B5">
      <w:pPr>
        <w:rPr>
          <w:sz w:val="20"/>
          <w:szCs w:val="20"/>
        </w:rPr>
      </w:pPr>
      <w:r>
        <w:rPr>
          <w:sz w:val="20"/>
          <w:szCs w:val="20"/>
        </w:rPr>
        <w:t>A mesorregião Sudoeste Paraense é uma das seis mesor</w:t>
      </w:r>
      <w:r w:rsidR="00F95051">
        <w:rPr>
          <w:sz w:val="20"/>
          <w:szCs w:val="20"/>
        </w:rPr>
        <w:t>r</w:t>
      </w:r>
      <w:r>
        <w:rPr>
          <w:sz w:val="20"/>
          <w:szCs w:val="20"/>
        </w:rPr>
        <w:t>egiões do estado do Pará, localizada na região Sudoeste do estado. Ela é composta pelas microrregiões de Altamira e Itaituba. A mesor</w:t>
      </w:r>
      <w:r w:rsidR="00F95051">
        <w:rPr>
          <w:sz w:val="20"/>
          <w:szCs w:val="20"/>
        </w:rPr>
        <w:t>r</w:t>
      </w:r>
      <w:r>
        <w:rPr>
          <w:sz w:val="20"/>
          <w:szCs w:val="20"/>
        </w:rPr>
        <w:t>egião é caracterizada por sua vasta área, com mais de 297 mil quilômetros quadrados, e</w:t>
      </w:r>
      <w:r w:rsidR="000739B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sua população, que, em 2010, era de cerca de 517.620 </w:t>
      </w:r>
      <w:r>
        <w:rPr>
          <w:sz w:val="20"/>
          <w:szCs w:val="20"/>
        </w:rPr>
        <w:lastRenderedPageBreak/>
        <w:t>habitantes. A economia da região é diversificada, com destaque para a agricultura, pecuária e extração mineral.</w:t>
      </w:r>
    </w:p>
    <w:p w14:paraId="787E3E65" w14:textId="77777777" w:rsidR="0017312F" w:rsidRDefault="003C0BE3">
      <w:pPr>
        <w:widowControl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E334455" wp14:editId="6FD15641">
            <wp:extent cx="3960000" cy="3960000"/>
            <wp:effectExtent l="0" t="0" r="2540" b="2540"/>
            <wp:docPr id="43765514" name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9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2CAA2B" w14:textId="77777777" w:rsidR="0017312F" w:rsidRDefault="003C0BE3" w:rsidP="00F5205D">
      <w:pPr>
        <w:widowControl/>
        <w:ind w:left="851"/>
        <w:jc w:val="both"/>
        <w:rPr>
          <w:sz w:val="20"/>
          <w:szCs w:val="20"/>
        </w:rPr>
      </w:pPr>
      <w:r>
        <w:rPr>
          <w:sz w:val="20"/>
          <w:szCs w:val="20"/>
        </w:rPr>
        <w:t>Figura 1. Mapa de localização da área de estudo</w:t>
      </w:r>
    </w:p>
    <w:p w14:paraId="328908AA" w14:textId="77777777" w:rsidR="0017312F" w:rsidRPr="00BA61D3" w:rsidRDefault="003C0BE3" w:rsidP="00F5205D">
      <w:pPr>
        <w:widowControl/>
        <w:ind w:left="851"/>
        <w:jc w:val="both"/>
        <w:rPr>
          <w:sz w:val="20"/>
          <w:szCs w:val="20"/>
          <w:lang w:val="en-US"/>
        </w:rPr>
      </w:pPr>
      <w:r w:rsidRPr="00BA61D3">
        <w:rPr>
          <w:color w:val="1B1C1D"/>
          <w:sz w:val="20"/>
          <w:szCs w:val="20"/>
          <w:lang w:val="en-US"/>
        </w:rPr>
        <w:t>Figure 1.</w:t>
      </w:r>
      <w:r w:rsidRPr="00BA61D3">
        <w:rPr>
          <w:sz w:val="20"/>
          <w:szCs w:val="20"/>
          <w:lang w:val="en-US"/>
        </w:rPr>
        <w:t xml:space="preserve"> Location map of the study area</w:t>
      </w:r>
    </w:p>
    <w:p w14:paraId="4E1E41D1" w14:textId="00F0E848" w:rsidR="0017312F" w:rsidRDefault="003C0BE3" w:rsidP="00575710">
      <w:pPr>
        <w:widowControl/>
        <w:ind w:firstLine="709"/>
        <w:jc w:val="both"/>
        <w:rPr>
          <w:color w:val="000000"/>
          <w:sz w:val="20"/>
          <w:szCs w:val="20"/>
        </w:rPr>
      </w:pPr>
      <w:r w:rsidRPr="00BA61D3">
        <w:rPr>
          <w:color w:val="000000"/>
          <w:sz w:val="20"/>
          <w:szCs w:val="20"/>
        </w:rPr>
        <w:t>A metodologia baseou-se no estudo computacional dividido em fases destacadas abaixo:</w:t>
      </w:r>
    </w:p>
    <w:p w14:paraId="350BB9CB" w14:textId="77777777" w:rsidR="00543530" w:rsidRPr="00BA61D3" w:rsidRDefault="00543530" w:rsidP="00575710">
      <w:pPr>
        <w:widowControl/>
        <w:ind w:firstLine="709"/>
        <w:jc w:val="both"/>
        <w:rPr>
          <w:color w:val="000000"/>
          <w:sz w:val="20"/>
          <w:szCs w:val="20"/>
        </w:rPr>
      </w:pPr>
    </w:p>
    <w:p w14:paraId="79CFC384" w14:textId="77777777" w:rsidR="0017312F" w:rsidRDefault="003C0BE3" w:rsidP="00575710">
      <w:pPr>
        <w:widowControl/>
        <w:jc w:val="both"/>
        <w:rPr>
          <w:b/>
          <w:sz w:val="24"/>
          <w:szCs w:val="24"/>
        </w:rPr>
      </w:pPr>
      <w:bookmarkStart w:id="2" w:name="_heading=h.bp267uj2jwiy" w:colFirst="0" w:colLast="0"/>
      <w:bookmarkEnd w:id="2"/>
      <w:r>
        <w:rPr>
          <w:b/>
          <w:color w:val="000000"/>
          <w:sz w:val="20"/>
          <w:szCs w:val="20"/>
        </w:rPr>
        <w:t>Fase 1- Pesquisa bibliográfica</w:t>
      </w:r>
    </w:p>
    <w:p w14:paraId="18A7EE03" w14:textId="5EAB1719" w:rsidR="006C0FCB" w:rsidRDefault="003C0BE3" w:rsidP="006C0FCB">
      <w:pPr>
        <w:widowControl/>
        <w:ind w:firstLine="709"/>
        <w:jc w:val="both"/>
        <w:rPr>
          <w:color w:val="000000"/>
          <w:sz w:val="20"/>
          <w:szCs w:val="20"/>
        </w:rPr>
      </w:pPr>
      <w:r w:rsidRPr="00BA61D3">
        <w:rPr>
          <w:color w:val="000000"/>
          <w:sz w:val="20"/>
          <w:szCs w:val="20"/>
        </w:rPr>
        <w:t>Para determinar as condições ideais de desenvolvimento para variedades de Cacau e Mogno, realizou-se uma pesquisa bibliográfica abrangente. Com objetivo de identificar os fatores edafoclimáticos para cada cultura analisada, co</w:t>
      </w:r>
      <w:r w:rsidR="003308C2">
        <w:rPr>
          <w:color w:val="000000"/>
          <w:sz w:val="20"/>
          <w:szCs w:val="20"/>
        </w:rPr>
        <w:t xml:space="preserve">nforme detalhado na </w:t>
      </w:r>
      <w:r w:rsidR="0038397F">
        <w:rPr>
          <w:color w:val="000000"/>
          <w:sz w:val="20"/>
          <w:szCs w:val="20"/>
        </w:rPr>
        <w:t>Tabela 1.</w:t>
      </w:r>
    </w:p>
    <w:p w14:paraId="689C4758" w14:textId="77777777" w:rsidR="00D411EB" w:rsidRDefault="00D411EB" w:rsidP="006C0FCB">
      <w:pPr>
        <w:widowControl/>
        <w:ind w:firstLine="709"/>
        <w:jc w:val="both"/>
        <w:rPr>
          <w:color w:val="000000"/>
          <w:sz w:val="20"/>
          <w:szCs w:val="20"/>
        </w:rPr>
      </w:pPr>
    </w:p>
    <w:p w14:paraId="781D0274" w14:textId="2A301E6D" w:rsidR="0038397F" w:rsidRDefault="006C0FCB" w:rsidP="00F5205D">
      <w:pPr>
        <w:widowControl/>
        <w:ind w:left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Tabela 1. Caracterização de fatores ótimos para a adoção do </w:t>
      </w:r>
      <w:proofErr w:type="spellStart"/>
      <w:r>
        <w:rPr>
          <w:sz w:val="20"/>
          <w:szCs w:val="20"/>
        </w:rPr>
        <w:t>SAFs</w:t>
      </w:r>
      <w:proofErr w:type="spellEnd"/>
      <w:r w:rsidR="00D84E06">
        <w:rPr>
          <w:sz w:val="20"/>
          <w:szCs w:val="20"/>
        </w:rPr>
        <w:t>.</w:t>
      </w:r>
    </w:p>
    <w:p w14:paraId="1A9097A0" w14:textId="0A61DBEE" w:rsidR="00F5205D" w:rsidRPr="00F5205D" w:rsidRDefault="00D411EB" w:rsidP="00F5205D">
      <w:pPr>
        <w:widowControl/>
        <w:ind w:left="709"/>
        <w:jc w:val="both"/>
        <w:rPr>
          <w:sz w:val="20"/>
          <w:szCs w:val="20"/>
          <w:lang w:val="en-US"/>
        </w:rPr>
      </w:pPr>
      <w:r>
        <w:rPr>
          <w:color w:val="1B1C1D"/>
          <w:sz w:val="20"/>
          <w:szCs w:val="20"/>
          <w:lang w:val="en-US"/>
        </w:rPr>
        <w:t>Table</w:t>
      </w:r>
      <w:r w:rsidRPr="00BA61D3">
        <w:rPr>
          <w:color w:val="1B1C1D"/>
          <w:sz w:val="20"/>
          <w:szCs w:val="20"/>
          <w:lang w:val="en-US"/>
        </w:rPr>
        <w:t xml:space="preserve"> </w:t>
      </w:r>
      <w:r>
        <w:rPr>
          <w:color w:val="1B1C1D"/>
          <w:sz w:val="20"/>
          <w:szCs w:val="20"/>
          <w:lang w:val="en-US"/>
        </w:rPr>
        <w:t>1</w:t>
      </w:r>
      <w:r w:rsidRPr="00BA61D3">
        <w:rPr>
          <w:color w:val="1B1C1D"/>
          <w:sz w:val="20"/>
          <w:szCs w:val="20"/>
          <w:lang w:val="en-US"/>
        </w:rPr>
        <w:t xml:space="preserve">. </w:t>
      </w:r>
      <w:r>
        <w:rPr>
          <w:sz w:val="20"/>
          <w:szCs w:val="20"/>
          <w:lang w:val="en-US"/>
        </w:rPr>
        <w:t>O</w:t>
      </w:r>
      <w:r w:rsidRPr="00BA61D3">
        <w:rPr>
          <w:sz w:val="20"/>
          <w:szCs w:val="20"/>
          <w:lang w:val="en-US"/>
        </w:rPr>
        <w:t>ptimal factor characterization for SAFs adoption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3193"/>
        <w:gridCol w:w="3193"/>
      </w:tblGrid>
      <w:tr w:rsidR="00BA61D3" w:rsidRPr="00BA61D3" w14:paraId="276A7702" w14:textId="77777777" w:rsidTr="00B407D5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2CEE6B" w14:textId="0210BE9F" w:rsidR="00BA61D3" w:rsidRPr="0038397F" w:rsidRDefault="0038397F" w:rsidP="00BA61D3">
            <w:pPr>
              <w:jc w:val="center"/>
              <w:rPr>
                <w:b/>
                <w:bCs/>
                <w:sz w:val="20"/>
                <w:szCs w:val="20"/>
              </w:rPr>
            </w:pPr>
            <w:r w:rsidRPr="0038397F">
              <w:rPr>
                <w:b/>
                <w:bCs/>
                <w:sz w:val="20"/>
                <w:szCs w:val="20"/>
              </w:rPr>
              <w:t>Variáveis</w:t>
            </w:r>
          </w:p>
        </w:tc>
        <w:tc>
          <w:tcPr>
            <w:tcW w:w="31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C3593C" w14:textId="17FDFAC5" w:rsidR="00BA61D3" w:rsidRPr="0038397F" w:rsidRDefault="00BA61D3" w:rsidP="00BA61D3">
            <w:pPr>
              <w:jc w:val="center"/>
              <w:rPr>
                <w:b/>
                <w:bCs/>
                <w:sz w:val="20"/>
                <w:szCs w:val="20"/>
              </w:rPr>
            </w:pPr>
            <w:r w:rsidRPr="0038397F">
              <w:rPr>
                <w:b/>
                <w:bCs/>
                <w:sz w:val="20"/>
                <w:szCs w:val="20"/>
              </w:rPr>
              <w:t>M</w:t>
            </w:r>
            <w:r w:rsidR="0038397F" w:rsidRPr="0038397F">
              <w:rPr>
                <w:b/>
                <w:bCs/>
                <w:sz w:val="20"/>
                <w:szCs w:val="20"/>
              </w:rPr>
              <w:t>ogno</w:t>
            </w:r>
          </w:p>
        </w:tc>
        <w:tc>
          <w:tcPr>
            <w:tcW w:w="31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432EE2" w14:textId="42F41EF7" w:rsidR="00BA61D3" w:rsidRPr="0038397F" w:rsidRDefault="0038397F" w:rsidP="00BA61D3">
            <w:pPr>
              <w:jc w:val="center"/>
              <w:rPr>
                <w:b/>
                <w:bCs/>
                <w:sz w:val="20"/>
                <w:szCs w:val="20"/>
              </w:rPr>
            </w:pPr>
            <w:r w:rsidRPr="0038397F">
              <w:rPr>
                <w:b/>
                <w:bCs/>
                <w:sz w:val="20"/>
                <w:szCs w:val="20"/>
              </w:rPr>
              <w:t>Cacau</w:t>
            </w:r>
          </w:p>
        </w:tc>
      </w:tr>
      <w:tr w:rsidR="00BA61D3" w14:paraId="1119D31A" w14:textId="77777777" w:rsidTr="00B407D5">
        <w:tc>
          <w:tcPr>
            <w:tcW w:w="2689" w:type="dxa"/>
            <w:tcBorders>
              <w:top w:val="single" w:sz="4" w:space="0" w:color="auto"/>
            </w:tcBorders>
            <w:vAlign w:val="center"/>
          </w:tcPr>
          <w:p w14:paraId="3A645893" w14:textId="77777777" w:rsidR="00BA61D3" w:rsidRPr="0038397F" w:rsidRDefault="00BA61D3" w:rsidP="00BA61D3">
            <w:pPr>
              <w:jc w:val="center"/>
              <w:rPr>
                <w:sz w:val="20"/>
                <w:szCs w:val="20"/>
              </w:rPr>
            </w:pPr>
            <w:r w:rsidRPr="0038397F">
              <w:rPr>
                <w:sz w:val="20"/>
                <w:szCs w:val="20"/>
              </w:rPr>
              <w:t>Temperatura</w:t>
            </w:r>
          </w:p>
        </w:tc>
        <w:tc>
          <w:tcPr>
            <w:tcW w:w="3193" w:type="dxa"/>
            <w:tcBorders>
              <w:top w:val="single" w:sz="4" w:space="0" w:color="auto"/>
            </w:tcBorders>
            <w:vAlign w:val="center"/>
          </w:tcPr>
          <w:p w14:paraId="36A6D8DE" w14:textId="2814F05F" w:rsidR="00BA61D3" w:rsidRPr="0038397F" w:rsidRDefault="00BA61D3" w:rsidP="00BA61D3">
            <w:pPr>
              <w:jc w:val="center"/>
              <w:rPr>
                <w:sz w:val="20"/>
                <w:szCs w:val="20"/>
              </w:rPr>
            </w:pPr>
            <w:r w:rsidRPr="0038397F">
              <w:rPr>
                <w:sz w:val="20"/>
                <w:szCs w:val="20"/>
              </w:rPr>
              <w:t xml:space="preserve">23,5 </w:t>
            </w:r>
            <w:r w:rsidRPr="0038397F">
              <w:rPr>
                <w:sz w:val="20"/>
                <w:szCs w:val="20"/>
                <w:vertAlign w:val="superscript"/>
              </w:rPr>
              <w:t>o</w:t>
            </w:r>
            <w:r w:rsidR="00087A12">
              <w:rPr>
                <w:sz w:val="20"/>
                <w:szCs w:val="20"/>
                <w:vertAlign w:val="superscript"/>
              </w:rPr>
              <w:t xml:space="preserve"> </w:t>
            </w:r>
            <w:r w:rsidRPr="0038397F">
              <w:rPr>
                <w:sz w:val="20"/>
                <w:szCs w:val="20"/>
              </w:rPr>
              <w:t xml:space="preserve">C a 29,5 </w:t>
            </w:r>
            <w:r w:rsidRPr="0038397F">
              <w:rPr>
                <w:sz w:val="20"/>
                <w:szCs w:val="20"/>
                <w:vertAlign w:val="superscript"/>
              </w:rPr>
              <w:t>o</w:t>
            </w:r>
            <w:r w:rsidR="00087A12">
              <w:rPr>
                <w:sz w:val="20"/>
                <w:szCs w:val="20"/>
                <w:vertAlign w:val="superscript"/>
              </w:rPr>
              <w:t xml:space="preserve"> </w:t>
            </w:r>
            <w:r w:rsidRPr="0038397F">
              <w:rPr>
                <w:sz w:val="20"/>
                <w:szCs w:val="20"/>
              </w:rPr>
              <w:t>C</w:t>
            </w:r>
          </w:p>
        </w:tc>
        <w:tc>
          <w:tcPr>
            <w:tcW w:w="3193" w:type="dxa"/>
            <w:tcBorders>
              <w:top w:val="single" w:sz="4" w:space="0" w:color="auto"/>
            </w:tcBorders>
            <w:vAlign w:val="center"/>
          </w:tcPr>
          <w:p w14:paraId="39DA91D8" w14:textId="79D6E949" w:rsidR="00BA61D3" w:rsidRPr="0038397F" w:rsidRDefault="00BA61D3" w:rsidP="00BA61D3">
            <w:pPr>
              <w:jc w:val="center"/>
              <w:rPr>
                <w:sz w:val="20"/>
                <w:szCs w:val="20"/>
              </w:rPr>
            </w:pPr>
            <w:r w:rsidRPr="0038397F">
              <w:rPr>
                <w:sz w:val="20"/>
                <w:szCs w:val="20"/>
              </w:rPr>
              <w:t xml:space="preserve">22 </w:t>
            </w:r>
            <w:r w:rsidRPr="0038397F">
              <w:rPr>
                <w:sz w:val="20"/>
                <w:szCs w:val="20"/>
                <w:vertAlign w:val="superscript"/>
              </w:rPr>
              <w:t>o</w:t>
            </w:r>
            <w:r w:rsidR="00087A12">
              <w:rPr>
                <w:sz w:val="20"/>
                <w:szCs w:val="20"/>
                <w:vertAlign w:val="superscript"/>
              </w:rPr>
              <w:t xml:space="preserve"> </w:t>
            </w:r>
            <w:r w:rsidRPr="0038397F">
              <w:rPr>
                <w:sz w:val="20"/>
                <w:szCs w:val="20"/>
              </w:rPr>
              <w:t xml:space="preserve">C a 28 </w:t>
            </w:r>
            <w:r w:rsidRPr="0038397F">
              <w:rPr>
                <w:sz w:val="20"/>
                <w:szCs w:val="20"/>
                <w:vertAlign w:val="superscript"/>
              </w:rPr>
              <w:t>o</w:t>
            </w:r>
            <w:r w:rsidR="00087A12">
              <w:rPr>
                <w:sz w:val="20"/>
                <w:szCs w:val="20"/>
                <w:vertAlign w:val="superscript"/>
              </w:rPr>
              <w:t xml:space="preserve"> </w:t>
            </w:r>
            <w:r w:rsidRPr="0038397F">
              <w:rPr>
                <w:sz w:val="20"/>
                <w:szCs w:val="20"/>
              </w:rPr>
              <w:t>C</w:t>
            </w:r>
          </w:p>
        </w:tc>
      </w:tr>
      <w:tr w:rsidR="00BA61D3" w14:paraId="706EDE86" w14:textId="77777777" w:rsidTr="00B407D5">
        <w:tc>
          <w:tcPr>
            <w:tcW w:w="2689" w:type="dxa"/>
            <w:vAlign w:val="center"/>
          </w:tcPr>
          <w:p w14:paraId="26C458CD" w14:textId="77777777" w:rsidR="00BA61D3" w:rsidRPr="0038397F" w:rsidRDefault="00BA61D3" w:rsidP="00BA61D3">
            <w:pPr>
              <w:jc w:val="center"/>
              <w:rPr>
                <w:sz w:val="20"/>
                <w:szCs w:val="20"/>
              </w:rPr>
            </w:pPr>
            <w:r w:rsidRPr="0038397F">
              <w:rPr>
                <w:sz w:val="20"/>
                <w:szCs w:val="20"/>
              </w:rPr>
              <w:t>Precipitação</w:t>
            </w:r>
          </w:p>
        </w:tc>
        <w:tc>
          <w:tcPr>
            <w:tcW w:w="3193" w:type="dxa"/>
            <w:vAlign w:val="center"/>
          </w:tcPr>
          <w:p w14:paraId="558F6778" w14:textId="77777777" w:rsidR="00BA61D3" w:rsidRPr="0038397F" w:rsidRDefault="00BA61D3" w:rsidP="00BA61D3">
            <w:pPr>
              <w:jc w:val="center"/>
              <w:rPr>
                <w:sz w:val="20"/>
                <w:szCs w:val="20"/>
              </w:rPr>
            </w:pPr>
            <w:r w:rsidRPr="0038397F">
              <w:rPr>
                <w:sz w:val="20"/>
                <w:szCs w:val="20"/>
              </w:rPr>
              <w:t>1.550 mm a 2.300 mm</w:t>
            </w:r>
          </w:p>
        </w:tc>
        <w:tc>
          <w:tcPr>
            <w:tcW w:w="3193" w:type="dxa"/>
            <w:vAlign w:val="center"/>
          </w:tcPr>
          <w:p w14:paraId="79814CDE" w14:textId="77777777" w:rsidR="00BA61D3" w:rsidRPr="0038397F" w:rsidRDefault="00BA61D3" w:rsidP="00BA61D3">
            <w:pPr>
              <w:jc w:val="center"/>
              <w:rPr>
                <w:sz w:val="20"/>
                <w:szCs w:val="20"/>
              </w:rPr>
            </w:pPr>
            <w:r w:rsidRPr="0038397F">
              <w:rPr>
                <w:sz w:val="20"/>
                <w:szCs w:val="20"/>
              </w:rPr>
              <w:t>1.800 mm a 2.500 mm</w:t>
            </w:r>
          </w:p>
        </w:tc>
      </w:tr>
      <w:tr w:rsidR="00BA61D3" w14:paraId="205DEC21" w14:textId="77777777" w:rsidTr="00B407D5">
        <w:tc>
          <w:tcPr>
            <w:tcW w:w="2689" w:type="dxa"/>
            <w:vAlign w:val="center"/>
          </w:tcPr>
          <w:p w14:paraId="685BC0E0" w14:textId="77777777" w:rsidR="00BA61D3" w:rsidRPr="0038397F" w:rsidRDefault="00BA61D3" w:rsidP="00BA61D3">
            <w:pPr>
              <w:jc w:val="center"/>
              <w:rPr>
                <w:sz w:val="20"/>
                <w:szCs w:val="20"/>
              </w:rPr>
            </w:pPr>
            <w:r w:rsidRPr="0038397F">
              <w:rPr>
                <w:sz w:val="20"/>
                <w:szCs w:val="20"/>
              </w:rPr>
              <w:t>Tipo de Solo</w:t>
            </w:r>
          </w:p>
        </w:tc>
        <w:tc>
          <w:tcPr>
            <w:tcW w:w="3193" w:type="dxa"/>
            <w:vAlign w:val="center"/>
          </w:tcPr>
          <w:p w14:paraId="23033781" w14:textId="77777777" w:rsidR="00BA61D3" w:rsidRPr="0038397F" w:rsidRDefault="00BA61D3" w:rsidP="00BA61D3">
            <w:pPr>
              <w:jc w:val="center"/>
              <w:rPr>
                <w:sz w:val="20"/>
                <w:szCs w:val="20"/>
              </w:rPr>
            </w:pPr>
            <w:proofErr w:type="spellStart"/>
            <w:r w:rsidRPr="0038397F">
              <w:rPr>
                <w:sz w:val="20"/>
                <w:szCs w:val="20"/>
              </w:rPr>
              <w:t>Argissolo</w:t>
            </w:r>
            <w:proofErr w:type="spellEnd"/>
            <w:r w:rsidRPr="0038397F">
              <w:rPr>
                <w:sz w:val="20"/>
                <w:szCs w:val="20"/>
              </w:rPr>
              <w:t xml:space="preserve">, Latossolo, </w:t>
            </w:r>
            <w:proofErr w:type="spellStart"/>
            <w:r w:rsidRPr="0038397F">
              <w:rPr>
                <w:sz w:val="20"/>
                <w:szCs w:val="20"/>
              </w:rPr>
              <w:t>Neossolo</w:t>
            </w:r>
            <w:proofErr w:type="spellEnd"/>
          </w:p>
        </w:tc>
        <w:tc>
          <w:tcPr>
            <w:tcW w:w="3193" w:type="dxa"/>
            <w:vAlign w:val="center"/>
          </w:tcPr>
          <w:p w14:paraId="4D751971" w14:textId="77777777" w:rsidR="00BA61D3" w:rsidRPr="0038397F" w:rsidRDefault="00BA61D3" w:rsidP="00BA61D3">
            <w:pPr>
              <w:jc w:val="center"/>
              <w:rPr>
                <w:sz w:val="20"/>
                <w:szCs w:val="20"/>
              </w:rPr>
            </w:pPr>
            <w:proofErr w:type="spellStart"/>
            <w:r w:rsidRPr="0038397F">
              <w:rPr>
                <w:sz w:val="20"/>
                <w:szCs w:val="20"/>
              </w:rPr>
              <w:t>Nitossolo</w:t>
            </w:r>
            <w:proofErr w:type="spellEnd"/>
          </w:p>
        </w:tc>
      </w:tr>
      <w:tr w:rsidR="00BA61D3" w14:paraId="52EC3794" w14:textId="77777777" w:rsidTr="00B407D5">
        <w:tc>
          <w:tcPr>
            <w:tcW w:w="2689" w:type="dxa"/>
            <w:vAlign w:val="center"/>
          </w:tcPr>
          <w:p w14:paraId="4E386CED" w14:textId="77777777" w:rsidR="00BA61D3" w:rsidRPr="0038397F" w:rsidRDefault="00BA61D3" w:rsidP="00BA61D3">
            <w:pPr>
              <w:jc w:val="center"/>
              <w:rPr>
                <w:sz w:val="20"/>
                <w:szCs w:val="20"/>
              </w:rPr>
            </w:pPr>
            <w:r w:rsidRPr="0038397F">
              <w:rPr>
                <w:sz w:val="20"/>
                <w:szCs w:val="20"/>
              </w:rPr>
              <w:t>Declividade</w:t>
            </w:r>
          </w:p>
        </w:tc>
        <w:tc>
          <w:tcPr>
            <w:tcW w:w="6386" w:type="dxa"/>
            <w:gridSpan w:val="2"/>
            <w:vAlign w:val="center"/>
          </w:tcPr>
          <w:p w14:paraId="65B7B01D" w14:textId="32D62BF7" w:rsidR="00BA61D3" w:rsidRPr="0038397F" w:rsidRDefault="00A076B8" w:rsidP="00BA61D3">
            <w:pPr>
              <w:jc w:val="center"/>
              <w:rPr>
                <w:sz w:val="20"/>
                <w:szCs w:val="20"/>
              </w:rPr>
            </w:pPr>
            <w:r w:rsidRPr="0038397F">
              <w:rPr>
                <w:sz w:val="20"/>
                <w:szCs w:val="20"/>
              </w:rPr>
              <w:t xml:space="preserve">27°                                                        </w:t>
            </w:r>
            <w:r w:rsidR="00BA61D3" w:rsidRPr="0038397F">
              <w:rPr>
                <w:sz w:val="20"/>
                <w:szCs w:val="20"/>
              </w:rPr>
              <w:t>27°</w:t>
            </w:r>
          </w:p>
        </w:tc>
      </w:tr>
      <w:tr w:rsidR="00BA61D3" w14:paraId="6A2190DB" w14:textId="77777777" w:rsidTr="00B407D5">
        <w:tc>
          <w:tcPr>
            <w:tcW w:w="2689" w:type="dxa"/>
            <w:vAlign w:val="center"/>
          </w:tcPr>
          <w:p w14:paraId="4B1D09F3" w14:textId="77777777" w:rsidR="00BA61D3" w:rsidRPr="0038397F" w:rsidRDefault="00BA61D3" w:rsidP="00BA61D3">
            <w:pPr>
              <w:jc w:val="center"/>
              <w:rPr>
                <w:sz w:val="20"/>
                <w:szCs w:val="20"/>
              </w:rPr>
            </w:pPr>
            <w:r w:rsidRPr="0038397F">
              <w:rPr>
                <w:sz w:val="20"/>
                <w:szCs w:val="20"/>
              </w:rPr>
              <w:t>Proximidade de Estradas</w:t>
            </w:r>
          </w:p>
        </w:tc>
        <w:tc>
          <w:tcPr>
            <w:tcW w:w="6386" w:type="dxa"/>
            <w:gridSpan w:val="2"/>
            <w:vAlign w:val="center"/>
          </w:tcPr>
          <w:p w14:paraId="3413794F" w14:textId="1E08A3C4" w:rsidR="00BA61D3" w:rsidRPr="0038397F" w:rsidRDefault="00B407D5" w:rsidP="00BA61D3">
            <w:pPr>
              <w:jc w:val="center"/>
              <w:rPr>
                <w:sz w:val="20"/>
                <w:szCs w:val="20"/>
              </w:rPr>
            </w:pPr>
            <w:r w:rsidRPr="0038397F">
              <w:rPr>
                <w:sz w:val="20"/>
                <w:szCs w:val="20"/>
              </w:rPr>
              <w:t xml:space="preserve">5.000 m                                                    </w:t>
            </w:r>
            <w:r w:rsidR="00BA61D3" w:rsidRPr="0038397F">
              <w:rPr>
                <w:sz w:val="20"/>
                <w:szCs w:val="20"/>
              </w:rPr>
              <w:t>5.000 m</w:t>
            </w:r>
          </w:p>
        </w:tc>
      </w:tr>
      <w:tr w:rsidR="00BA61D3" w14:paraId="0CA0CF56" w14:textId="77777777" w:rsidTr="00B407D5">
        <w:tc>
          <w:tcPr>
            <w:tcW w:w="2689" w:type="dxa"/>
            <w:tcBorders>
              <w:bottom w:val="single" w:sz="4" w:space="0" w:color="auto"/>
            </w:tcBorders>
            <w:vAlign w:val="center"/>
          </w:tcPr>
          <w:p w14:paraId="24BF1480" w14:textId="77777777" w:rsidR="00BA61D3" w:rsidRPr="0038397F" w:rsidRDefault="00BA61D3" w:rsidP="00BA61D3">
            <w:pPr>
              <w:jc w:val="center"/>
              <w:rPr>
                <w:sz w:val="20"/>
                <w:szCs w:val="20"/>
              </w:rPr>
            </w:pPr>
            <w:r w:rsidRPr="0038397F">
              <w:rPr>
                <w:sz w:val="20"/>
                <w:szCs w:val="20"/>
              </w:rPr>
              <w:t>Uso e Ocupação da Terra</w:t>
            </w:r>
          </w:p>
        </w:tc>
        <w:tc>
          <w:tcPr>
            <w:tcW w:w="6386" w:type="dxa"/>
            <w:gridSpan w:val="2"/>
            <w:tcBorders>
              <w:bottom w:val="single" w:sz="4" w:space="0" w:color="auto"/>
            </w:tcBorders>
            <w:vAlign w:val="center"/>
          </w:tcPr>
          <w:p w14:paraId="51823E67" w14:textId="77777777" w:rsidR="00BA61D3" w:rsidRPr="0038397F" w:rsidRDefault="00BA61D3" w:rsidP="00BA61D3">
            <w:pPr>
              <w:jc w:val="center"/>
              <w:rPr>
                <w:sz w:val="20"/>
                <w:szCs w:val="20"/>
              </w:rPr>
            </w:pPr>
            <w:r w:rsidRPr="0038397F">
              <w:rPr>
                <w:sz w:val="20"/>
                <w:szCs w:val="20"/>
              </w:rPr>
              <w:t>Pastagem; Agricultura, Lavoura temporária, Soja, Cana, Arroz Algodão, outras lavouras temporárias, Lavoura perene, Café, Citrus, Dendê, outras lavouras perenes, Silvicultura e Mosaico de usos</w:t>
            </w:r>
          </w:p>
        </w:tc>
      </w:tr>
    </w:tbl>
    <w:p w14:paraId="455D5FC7" w14:textId="77777777" w:rsidR="00D411EB" w:rsidRDefault="00D411EB">
      <w:pPr>
        <w:widowControl/>
        <w:jc w:val="both"/>
        <w:rPr>
          <w:b/>
          <w:color w:val="000000"/>
          <w:sz w:val="20"/>
          <w:szCs w:val="20"/>
        </w:rPr>
      </w:pPr>
    </w:p>
    <w:p w14:paraId="25EF2818" w14:textId="61F31444" w:rsidR="0017312F" w:rsidRDefault="003C0BE3">
      <w:pPr>
        <w:widowControl/>
        <w:jc w:val="both"/>
        <w:rPr>
          <w:b/>
          <w:sz w:val="24"/>
          <w:szCs w:val="24"/>
        </w:rPr>
      </w:pPr>
      <w:r>
        <w:rPr>
          <w:b/>
          <w:color w:val="000000"/>
          <w:sz w:val="20"/>
          <w:szCs w:val="20"/>
        </w:rPr>
        <w:t>Fase 2- Banco de dados</w:t>
      </w:r>
    </w:p>
    <w:p w14:paraId="62E1E8F3" w14:textId="77777777" w:rsidR="0017312F" w:rsidRDefault="003C0BE3">
      <w:pPr>
        <w:widowControl/>
        <w:ind w:firstLine="709"/>
        <w:jc w:val="both"/>
        <w:rPr>
          <w:sz w:val="24"/>
          <w:szCs w:val="24"/>
        </w:rPr>
      </w:pPr>
      <w:r>
        <w:rPr>
          <w:color w:val="000000"/>
          <w:sz w:val="20"/>
          <w:szCs w:val="20"/>
        </w:rPr>
        <w:t xml:space="preserve">Os dados utilizados neste estudo foram catalogados de diversas plataformas digitais apresentando diferentes formatos, e diferentes tipos de informações. A precipitação anual foi obtida em formato matricial, com resolução espacial de 1 km, representando a precipitação acumulada anual, a partir da base de dados </w:t>
      </w:r>
      <w:proofErr w:type="spellStart"/>
      <w:r>
        <w:rPr>
          <w:color w:val="000000"/>
          <w:sz w:val="20"/>
          <w:szCs w:val="20"/>
        </w:rPr>
        <w:t>WorldClim</w:t>
      </w:r>
      <w:proofErr w:type="spellEnd"/>
      <w:r>
        <w:rPr>
          <w:color w:val="000000"/>
          <w:sz w:val="20"/>
          <w:szCs w:val="20"/>
        </w:rPr>
        <w:t xml:space="preserve"> (2025). Assim como, os dados de temperatura anual</w:t>
      </w:r>
    </w:p>
    <w:p w14:paraId="0FB29004" w14:textId="77777777" w:rsidR="0017312F" w:rsidRDefault="003C0BE3">
      <w:pPr>
        <w:widowControl/>
        <w:ind w:firstLine="70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As informações referentes ao uso e ocupação da terra foram adquiridas da plataforma </w:t>
      </w:r>
      <w:r>
        <w:rPr>
          <w:sz w:val="20"/>
          <w:szCs w:val="20"/>
        </w:rPr>
        <w:t>Google</w:t>
      </w:r>
      <w:r>
        <w:rPr>
          <w:color w:val="000000"/>
          <w:sz w:val="20"/>
          <w:szCs w:val="20"/>
        </w:rPr>
        <w:t xml:space="preserve"> </w:t>
      </w:r>
      <w:r>
        <w:rPr>
          <w:sz w:val="20"/>
          <w:szCs w:val="20"/>
        </w:rPr>
        <w:t xml:space="preserve">Earth </w:t>
      </w:r>
      <w:proofErr w:type="spellStart"/>
      <w:r>
        <w:rPr>
          <w:sz w:val="20"/>
          <w:szCs w:val="20"/>
        </w:rPr>
        <w:t>Engine</w:t>
      </w:r>
      <w:proofErr w:type="spellEnd"/>
      <w:r>
        <w:rPr>
          <w:color w:val="000000"/>
          <w:sz w:val="20"/>
          <w:szCs w:val="20"/>
        </w:rPr>
        <w:t xml:space="preserve"> (2025), em formato matricial, contendo as classes de cobertura da terra. </w:t>
      </w:r>
    </w:p>
    <w:p w14:paraId="504BA5D8" w14:textId="7325FA52" w:rsidR="0017312F" w:rsidRDefault="003C0BE3">
      <w:pPr>
        <w:widowControl/>
        <w:ind w:firstLine="709"/>
        <w:jc w:val="both"/>
        <w:rPr>
          <w:sz w:val="24"/>
          <w:szCs w:val="24"/>
        </w:rPr>
      </w:pPr>
      <w:r>
        <w:rPr>
          <w:color w:val="000000"/>
          <w:sz w:val="20"/>
          <w:szCs w:val="20"/>
        </w:rPr>
        <w:t>O Modelo Digital de Elevação</w:t>
      </w:r>
      <w:r w:rsidR="00734E65">
        <w:rPr>
          <w:color w:val="000000"/>
          <w:sz w:val="20"/>
          <w:szCs w:val="20"/>
        </w:rPr>
        <w:t xml:space="preserve"> (MDE)</w:t>
      </w:r>
      <w:r>
        <w:rPr>
          <w:color w:val="000000"/>
          <w:sz w:val="20"/>
          <w:szCs w:val="20"/>
        </w:rPr>
        <w:t xml:space="preserve">, utilizado para a geração da declividade, foi obtido a partir do </w:t>
      </w:r>
      <w:proofErr w:type="spellStart"/>
      <w:r w:rsidR="00026D68">
        <w:rPr>
          <w:sz w:val="20"/>
          <w:szCs w:val="20"/>
        </w:rPr>
        <w:t>Shuttle</w:t>
      </w:r>
      <w:proofErr w:type="spellEnd"/>
      <w:r w:rsidR="00026D68">
        <w:rPr>
          <w:sz w:val="20"/>
          <w:szCs w:val="20"/>
        </w:rPr>
        <w:t xml:space="preserve"> Radar </w:t>
      </w:r>
      <w:proofErr w:type="spellStart"/>
      <w:r w:rsidR="00026D68">
        <w:rPr>
          <w:sz w:val="20"/>
          <w:szCs w:val="20"/>
        </w:rPr>
        <w:t>Topography</w:t>
      </w:r>
      <w:proofErr w:type="spellEnd"/>
      <w:r w:rsidR="00026D68">
        <w:rPr>
          <w:sz w:val="20"/>
          <w:szCs w:val="20"/>
        </w:rPr>
        <w:t xml:space="preserve"> Mission</w:t>
      </w:r>
      <w:r w:rsidR="00026D68">
        <w:rPr>
          <w:color w:val="000000"/>
          <w:sz w:val="20"/>
          <w:szCs w:val="20"/>
        </w:rPr>
        <w:t xml:space="preserve"> (</w:t>
      </w:r>
      <w:r>
        <w:rPr>
          <w:color w:val="000000"/>
          <w:sz w:val="20"/>
          <w:szCs w:val="20"/>
        </w:rPr>
        <w:t>SRTM</w:t>
      </w:r>
      <w:r w:rsidR="00026D68">
        <w:rPr>
          <w:color w:val="000000"/>
          <w:sz w:val="20"/>
          <w:szCs w:val="20"/>
        </w:rPr>
        <w:t>)</w:t>
      </w:r>
      <w:r w:rsidR="00734E65">
        <w:rPr>
          <w:color w:val="000000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em formato matricial</w:t>
      </w:r>
      <w:r>
        <w:rPr>
          <w:sz w:val="20"/>
          <w:szCs w:val="20"/>
        </w:rPr>
        <w:t xml:space="preserve">, </w:t>
      </w:r>
      <w:r>
        <w:rPr>
          <w:color w:val="000000"/>
          <w:sz w:val="20"/>
          <w:szCs w:val="20"/>
        </w:rPr>
        <w:t>com resolução de 30 metros.</w:t>
      </w:r>
    </w:p>
    <w:p w14:paraId="012638BF" w14:textId="77777777" w:rsidR="0017312F" w:rsidRDefault="003C0BE3" w:rsidP="00543530">
      <w:pPr>
        <w:widowControl/>
        <w:ind w:firstLine="70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As informações dos tipos de solos foram extraídas da plataforma da EMBRAPA (2025), no formato vetorial, disponibilizando dados de diferentes classes de solos.</w:t>
      </w:r>
    </w:p>
    <w:p w14:paraId="325BB2BB" w14:textId="298ABAEF" w:rsidR="0017312F" w:rsidRDefault="003C0BE3" w:rsidP="00543530">
      <w:pPr>
        <w:widowControl/>
        <w:ind w:firstLine="70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A malha viária foi obtida a partir do </w:t>
      </w:r>
      <w:proofErr w:type="spellStart"/>
      <w:r>
        <w:rPr>
          <w:color w:val="000000"/>
          <w:sz w:val="20"/>
          <w:szCs w:val="20"/>
        </w:rPr>
        <w:t>OpenStreetMaps</w:t>
      </w:r>
      <w:proofErr w:type="spellEnd"/>
      <w:r>
        <w:rPr>
          <w:color w:val="000000"/>
          <w:sz w:val="20"/>
          <w:szCs w:val="20"/>
        </w:rPr>
        <w:t xml:space="preserve"> (2025), em formato vetorial, sendo utilizada para calcular a proximidade de estradas, com resolução espacial de 30 metros.</w:t>
      </w:r>
    </w:p>
    <w:p w14:paraId="4A32328C" w14:textId="77777777" w:rsidR="008218B7" w:rsidRDefault="008218B7" w:rsidP="00543530">
      <w:pPr>
        <w:widowControl/>
        <w:ind w:firstLine="709"/>
        <w:jc w:val="both"/>
        <w:rPr>
          <w:color w:val="000000"/>
          <w:sz w:val="20"/>
          <w:szCs w:val="20"/>
        </w:rPr>
      </w:pPr>
    </w:p>
    <w:p w14:paraId="02E48462" w14:textId="77777777" w:rsidR="0017312F" w:rsidRDefault="003C0BE3" w:rsidP="008218B7">
      <w:pPr>
        <w:widowControl/>
        <w:jc w:val="both"/>
        <w:rPr>
          <w:b/>
          <w:sz w:val="24"/>
          <w:szCs w:val="24"/>
        </w:rPr>
      </w:pPr>
      <w:r>
        <w:rPr>
          <w:b/>
          <w:color w:val="000000"/>
          <w:sz w:val="20"/>
          <w:szCs w:val="20"/>
        </w:rPr>
        <w:t>Fase 3- Pré-processamento</w:t>
      </w:r>
    </w:p>
    <w:p w14:paraId="13B7576B" w14:textId="2D7C2651" w:rsidR="0017312F" w:rsidRDefault="003C0BE3" w:rsidP="00543530">
      <w:pPr>
        <w:widowControl/>
        <w:ind w:firstLine="70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Todos os procedimentos foram conduzidos no software QGIS, v. 3.40.  No qual, os dados foram recortados para a área de estudo. Em seguida foram reprojetados para o sistema de coordenadas </w:t>
      </w:r>
      <w:proofErr w:type="spellStart"/>
      <w:r>
        <w:rPr>
          <w:color w:val="000000"/>
          <w:sz w:val="20"/>
          <w:szCs w:val="20"/>
        </w:rPr>
        <w:t>Albers</w:t>
      </w:r>
      <w:proofErr w:type="spellEnd"/>
      <w:r>
        <w:rPr>
          <w:color w:val="000000"/>
          <w:sz w:val="20"/>
          <w:szCs w:val="20"/>
        </w:rPr>
        <w:t xml:space="preserve"> de Área Equivalente para a América do Sul (ESRI:102033) e submetidos à interpolação espacial por ponderação de Distância Inversa (IDW) com resolução de 30 metros para garantir a sua padronização.</w:t>
      </w:r>
    </w:p>
    <w:p w14:paraId="0ED6BC6F" w14:textId="77777777" w:rsidR="008218B7" w:rsidRDefault="008218B7" w:rsidP="00543530">
      <w:pPr>
        <w:widowControl/>
        <w:ind w:firstLine="709"/>
        <w:jc w:val="both"/>
        <w:rPr>
          <w:sz w:val="24"/>
          <w:szCs w:val="24"/>
        </w:rPr>
      </w:pPr>
    </w:p>
    <w:p w14:paraId="7BA15B5B" w14:textId="06F463E1" w:rsidR="0017312F" w:rsidRDefault="003C0BE3" w:rsidP="008218B7">
      <w:pPr>
        <w:widowControl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Fase 4- Processamento</w:t>
      </w:r>
    </w:p>
    <w:p w14:paraId="783AA316" w14:textId="77777777" w:rsidR="0017312F" w:rsidRDefault="003C0BE3" w:rsidP="00543530">
      <w:pPr>
        <w:widowControl/>
        <w:ind w:firstLine="70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Nesta fase </w:t>
      </w:r>
      <w:r>
        <w:rPr>
          <w:sz w:val="20"/>
          <w:szCs w:val="20"/>
        </w:rPr>
        <w:t>aplicam</w:t>
      </w:r>
      <w:r>
        <w:rPr>
          <w:color w:val="000000"/>
          <w:sz w:val="20"/>
          <w:szCs w:val="20"/>
        </w:rPr>
        <w:t xml:space="preserve">-se as funções de pertinência </w:t>
      </w:r>
      <w:proofErr w:type="spellStart"/>
      <w:r>
        <w:rPr>
          <w:color w:val="000000"/>
          <w:sz w:val="20"/>
          <w:szCs w:val="20"/>
        </w:rPr>
        <w:t>Fuzzy</w:t>
      </w:r>
      <w:proofErr w:type="spellEnd"/>
      <w:r>
        <w:rPr>
          <w:color w:val="000000"/>
          <w:sz w:val="20"/>
          <w:szCs w:val="20"/>
        </w:rPr>
        <w:t xml:space="preserve"> para transformar os dados em escalas contínuas de aptidão. As variáveis de precipitação acumulada, temperatura média, uso e ocupação </w:t>
      </w:r>
      <w:r>
        <w:rPr>
          <w:sz w:val="20"/>
          <w:szCs w:val="20"/>
        </w:rPr>
        <w:t>da terra</w:t>
      </w:r>
      <w:r>
        <w:rPr>
          <w:color w:val="000000"/>
          <w:sz w:val="20"/>
          <w:szCs w:val="20"/>
        </w:rPr>
        <w:t xml:space="preserve"> e tipos de solos foram submetidas à função de pertinência linear crescente, de modo que quanto maior o valor da variável, maior a aptidão da área para o cultivo. </w:t>
      </w:r>
    </w:p>
    <w:p w14:paraId="7C8F704F" w14:textId="77777777" w:rsidR="0017312F" w:rsidRDefault="003C0BE3" w:rsidP="00543530">
      <w:pPr>
        <w:widowControl/>
        <w:ind w:firstLine="709"/>
        <w:jc w:val="both"/>
        <w:rPr>
          <w:sz w:val="24"/>
          <w:szCs w:val="24"/>
        </w:rPr>
      </w:pPr>
      <w:r>
        <w:rPr>
          <w:color w:val="000000"/>
          <w:sz w:val="20"/>
          <w:szCs w:val="20"/>
        </w:rPr>
        <w:t xml:space="preserve">A declividade e a proximidade de estradas, por sua vez, foram tratadas com a função </w:t>
      </w:r>
      <w:proofErr w:type="spellStart"/>
      <w:r>
        <w:rPr>
          <w:color w:val="000000"/>
          <w:sz w:val="20"/>
          <w:szCs w:val="20"/>
        </w:rPr>
        <w:t>Small</w:t>
      </w:r>
      <w:proofErr w:type="spellEnd"/>
      <w:r>
        <w:rPr>
          <w:color w:val="000000"/>
          <w:sz w:val="20"/>
          <w:szCs w:val="20"/>
        </w:rPr>
        <w:t>, na qual valores superiores ao ponto médio (27º para a declividade; e 5.000 metros para a proximidade de estradas) implicam em uma redução exponencial da aptidão, refletindo as limitações operacionais.</w:t>
      </w:r>
    </w:p>
    <w:p w14:paraId="25D48781" w14:textId="33AFF377" w:rsidR="0017312F" w:rsidRDefault="003C0BE3" w:rsidP="00543530">
      <w:pPr>
        <w:widowControl/>
        <w:ind w:firstLine="70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Para viabilizar a identificação das áreas potenciais para o cultivo do SAF, as variáveis foram integradas por meio da técnica de sobreposição </w:t>
      </w:r>
      <w:proofErr w:type="spellStart"/>
      <w:r>
        <w:rPr>
          <w:color w:val="000000"/>
          <w:sz w:val="20"/>
          <w:szCs w:val="20"/>
        </w:rPr>
        <w:t>Fuzzy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Gamma</w:t>
      </w:r>
      <w:proofErr w:type="spellEnd"/>
      <w:r>
        <w:rPr>
          <w:color w:val="000000"/>
          <w:sz w:val="20"/>
          <w:szCs w:val="20"/>
        </w:rPr>
        <w:t xml:space="preserve">, a qual permite a combinação ponderada das informações. Em seguida, foi calculada a média entre os resultados das duas culturas, a fim de se obter o mapa final de aptidão. Por fim, a camada </w:t>
      </w:r>
      <w:proofErr w:type="spellStart"/>
      <w:r>
        <w:rPr>
          <w:color w:val="000000"/>
          <w:sz w:val="20"/>
          <w:szCs w:val="20"/>
        </w:rPr>
        <w:t>raster</w:t>
      </w:r>
      <w:proofErr w:type="spellEnd"/>
      <w:r>
        <w:rPr>
          <w:color w:val="000000"/>
          <w:sz w:val="20"/>
          <w:szCs w:val="20"/>
        </w:rPr>
        <w:t xml:space="preserve"> resultante foi convertida para o formato vetorial e reclassificada em níveis de aptidão, definidos da seguinte forma: inapto (0 a 0,2), baixa aptidão (0,2 a 0,4), aptidão regular (0,4 a 0,6), boa aptidão (0,6 a 0,8) e alta aptidão (0,8 a 1).</w:t>
      </w:r>
    </w:p>
    <w:p w14:paraId="001BDEEC" w14:textId="77777777" w:rsidR="00543530" w:rsidRDefault="00543530" w:rsidP="00543530">
      <w:pPr>
        <w:widowControl/>
        <w:ind w:firstLine="709"/>
        <w:jc w:val="both"/>
        <w:rPr>
          <w:sz w:val="24"/>
          <w:szCs w:val="24"/>
        </w:rPr>
      </w:pPr>
    </w:p>
    <w:p w14:paraId="655F1CA1" w14:textId="77777777" w:rsidR="0017312F" w:rsidRDefault="003C0BE3" w:rsidP="00543530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RESULTADOS E DISCUSSÃO </w:t>
      </w:r>
    </w:p>
    <w:p w14:paraId="0CDA323F" w14:textId="47133D41" w:rsidR="0017312F" w:rsidRDefault="003C0BE3" w:rsidP="00543530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Este estudo de zoneamento de Sistemas </w:t>
      </w:r>
      <w:r w:rsidR="00F076F2">
        <w:rPr>
          <w:sz w:val="20"/>
          <w:szCs w:val="20"/>
        </w:rPr>
        <w:t xml:space="preserve">Agroflorestais </w:t>
      </w:r>
      <w:r>
        <w:rPr>
          <w:sz w:val="20"/>
          <w:szCs w:val="20"/>
        </w:rPr>
        <w:t>com cacau e mogno no Pará teve como resultado o estabelecimento de um banco de dados que gerou um mapa final, no qual, foi possível dimensionar áreas ótimas para a implementação de cultivo consorciado da cultura do Cacau e Mogno na região Sudoeste, como mostra as informações da Figura 2.</w:t>
      </w:r>
    </w:p>
    <w:p w14:paraId="29C641A0" w14:textId="77777777" w:rsidR="0017312F" w:rsidRDefault="003C0BE3">
      <w:pPr>
        <w:widowControl/>
        <w:ind w:firstLine="70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CE6FE10" wp14:editId="4D0C778D">
            <wp:extent cx="3819525" cy="3819525"/>
            <wp:effectExtent l="0" t="0" r="9525" b="9525"/>
            <wp:docPr id="43765516" name="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9660" cy="3819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036B7C" w14:textId="77777777" w:rsidR="0017312F" w:rsidRDefault="003C0BE3" w:rsidP="00D36399">
      <w:pPr>
        <w:widowControl/>
        <w:ind w:left="851"/>
        <w:jc w:val="both"/>
        <w:rPr>
          <w:sz w:val="20"/>
          <w:szCs w:val="20"/>
        </w:rPr>
      </w:pPr>
      <w:r>
        <w:rPr>
          <w:sz w:val="20"/>
          <w:szCs w:val="20"/>
        </w:rPr>
        <w:t>Figura 3. Mapa final com as informações finais do estudo</w:t>
      </w:r>
    </w:p>
    <w:p w14:paraId="563F28F2" w14:textId="77777777" w:rsidR="0017312F" w:rsidRPr="00BA61D3" w:rsidRDefault="003C0BE3" w:rsidP="00F076F2">
      <w:pPr>
        <w:widowControl/>
        <w:ind w:left="851"/>
        <w:jc w:val="both"/>
        <w:rPr>
          <w:color w:val="1B1C1D"/>
          <w:sz w:val="20"/>
          <w:szCs w:val="20"/>
          <w:lang w:val="en-US"/>
        </w:rPr>
      </w:pPr>
      <w:r w:rsidRPr="00BA61D3">
        <w:rPr>
          <w:color w:val="1B1C1D"/>
          <w:sz w:val="20"/>
          <w:szCs w:val="20"/>
          <w:lang w:val="en-US"/>
        </w:rPr>
        <w:lastRenderedPageBreak/>
        <w:t>Figure 3. Final map with the study's final information</w:t>
      </w:r>
    </w:p>
    <w:p w14:paraId="5012AEE5" w14:textId="77777777" w:rsidR="0017312F" w:rsidRPr="00BA61D3" w:rsidRDefault="003C0BE3" w:rsidP="00F076F2">
      <w:pPr>
        <w:widowControl/>
        <w:ind w:firstLine="709"/>
        <w:jc w:val="both"/>
        <w:rPr>
          <w:sz w:val="20"/>
          <w:szCs w:val="20"/>
        </w:rPr>
      </w:pPr>
      <w:r w:rsidRPr="00BA61D3">
        <w:rPr>
          <w:sz w:val="20"/>
          <w:szCs w:val="20"/>
        </w:rPr>
        <w:t xml:space="preserve">É possível perceber, pela Figura 2 da área estudada, os resultados do zoneamento para o cultivo de mogno e cacau, por meio da distribuição espacial das classes em km²: alta aptidão 19.392.330,390, boa aptidão 10.447.413,86 km², aptidão regular 16.533.751,52 km², baixa aptidão 10.928.502,520 km² e inapto 21.093.959,77km². </w:t>
      </w:r>
    </w:p>
    <w:p w14:paraId="77CC5F01" w14:textId="77777777" w:rsidR="0017312F" w:rsidRDefault="003C0BE3" w:rsidP="00F076F2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Os resultados indicam que a presença de florestas nativas, a proximidade de estradas, e os regimes de precipitação</w:t>
      </w:r>
      <w:r w:rsidRPr="00BA61D3">
        <w:rPr>
          <w:sz w:val="20"/>
          <w:szCs w:val="20"/>
        </w:rPr>
        <w:t xml:space="preserve"> e </w:t>
      </w:r>
      <w:r>
        <w:rPr>
          <w:sz w:val="20"/>
          <w:szCs w:val="20"/>
        </w:rPr>
        <w:t>temperatura influenciam significativamente as classes de aptidão. Notavelmente, áreas de florestas nativas são frequentemente classificadas como inaptas ou de baixa aptidão, o que se alinha com as restrições legais e ambientais.</w:t>
      </w:r>
    </w:p>
    <w:p w14:paraId="7665A511" w14:textId="77777777" w:rsidR="0017312F" w:rsidRDefault="003C0BE3" w:rsidP="00F076F2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A proximidade de estradas revelou grande importância no cenário de estudo, pois facilita o escoamento da produção e o acesso a insumos. Já as variáveis de temperatura e precipitação mostraram-se de grande importância para o zoneamento. Suas exigências distintas para cacau e mogno limitam o cultivo consorciado apenas a locais que apresentem condições adversas para ambas as espécies.</w:t>
      </w:r>
    </w:p>
    <w:p w14:paraId="347A792F" w14:textId="77777777" w:rsidR="0017312F" w:rsidRDefault="0017312F">
      <w:pPr>
        <w:ind w:left="567" w:right="567" w:firstLine="709"/>
        <w:jc w:val="both"/>
        <w:rPr>
          <w:sz w:val="20"/>
          <w:szCs w:val="20"/>
        </w:rPr>
      </w:pPr>
    </w:p>
    <w:p w14:paraId="5987CB3A" w14:textId="77777777" w:rsidR="0017312F" w:rsidRDefault="003C0BE3">
      <w:pPr>
        <w:widowControl/>
        <w:rPr>
          <w:b/>
          <w:sz w:val="20"/>
          <w:szCs w:val="20"/>
        </w:rPr>
      </w:pPr>
      <w:r>
        <w:rPr>
          <w:b/>
          <w:sz w:val="20"/>
          <w:szCs w:val="20"/>
        </w:rPr>
        <w:t>CONCLUSÕES</w:t>
      </w:r>
    </w:p>
    <w:p w14:paraId="498C5107" w14:textId="77777777" w:rsidR="0017312F" w:rsidRDefault="003C0BE3" w:rsidP="00515452">
      <w:pPr>
        <w:widowControl/>
        <w:ind w:firstLine="709"/>
        <w:jc w:val="both"/>
        <w:rPr>
          <w:sz w:val="20"/>
          <w:szCs w:val="20"/>
        </w:rPr>
      </w:pPr>
      <w:r w:rsidRPr="00BA61D3">
        <w:rPr>
          <w:sz w:val="20"/>
          <w:szCs w:val="20"/>
        </w:rPr>
        <w:t xml:space="preserve">Através dos resultados do estudo, podemos evidenciar as melhores áreas de aptidão em porcentagem onde: a alta aptidão 24,74% e boa aptidão 13,33% </w:t>
      </w:r>
      <w:r>
        <w:rPr>
          <w:sz w:val="20"/>
          <w:szCs w:val="20"/>
        </w:rPr>
        <w:t xml:space="preserve">estão concentradas em regiões que combinam condições edafoclimáticas favoráveis, viabilizando oportunidades para o desenvolvimento consorciado das duas culturas. As áreas que indicam índices regulares estão dispostas em porcentagem de 21,1% o que não deixa de ser um dado descartável, uma vez que, usando saberes e metodologias específicas pode-se viabilizar a implantação do sistema de consórcio. </w:t>
      </w:r>
    </w:p>
    <w:p w14:paraId="270D5508" w14:textId="06B86113" w:rsidR="0017312F" w:rsidRDefault="003C0BE3" w:rsidP="00515452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Entretanto, as áreas com baixa aptidão e in</w:t>
      </w:r>
      <w:r w:rsidR="00157C2B">
        <w:rPr>
          <w:sz w:val="20"/>
          <w:szCs w:val="20"/>
        </w:rPr>
        <w:t>aptas</w:t>
      </w:r>
      <w:r>
        <w:rPr>
          <w:sz w:val="20"/>
          <w:szCs w:val="20"/>
        </w:rPr>
        <w:t xml:space="preserve"> ao sistema somadas, tem o valor em porcentagem de 40,85%, o que demonstra a inviabilidade de implantação do cultivo consorciado de ambas as culturas. Isso se deve a correlação inviável das variáveis com a área estudada.</w:t>
      </w:r>
    </w:p>
    <w:p w14:paraId="4583E56E" w14:textId="77777777" w:rsidR="0017312F" w:rsidRDefault="0017312F">
      <w:pPr>
        <w:widowControl/>
        <w:jc w:val="both"/>
        <w:rPr>
          <w:sz w:val="20"/>
          <w:szCs w:val="20"/>
        </w:rPr>
      </w:pPr>
    </w:p>
    <w:p w14:paraId="70057869" w14:textId="77777777" w:rsidR="0017312F" w:rsidRDefault="003C0BE3">
      <w:pPr>
        <w:widowControl/>
        <w:jc w:val="both"/>
        <w:rPr>
          <w:b/>
          <w:sz w:val="20"/>
          <w:szCs w:val="20"/>
        </w:rPr>
      </w:pPr>
      <w:bookmarkStart w:id="3" w:name="_heading=h.dd6xfwsd017t" w:colFirst="0" w:colLast="0"/>
      <w:bookmarkEnd w:id="3"/>
      <w:r>
        <w:rPr>
          <w:b/>
          <w:sz w:val="20"/>
          <w:szCs w:val="20"/>
        </w:rPr>
        <w:t xml:space="preserve">AGRADECIMENTOS </w:t>
      </w:r>
    </w:p>
    <w:p w14:paraId="1CE950FA" w14:textId="77777777" w:rsidR="0017312F" w:rsidRDefault="003C0BE3" w:rsidP="00157C2B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Os autores agradecem à FAPESPA por fomentar a pesquisa e realização de trabalhos no estado, ao GAPEG por promover a aplicação das geotecnologias na manutenção e produção de recursos florestais na Amazônia, a UFOPA por estar inteiramente ligada a execução de todo processo, e a demais colaboradores, docentes e discentes que juntos são importantes para o desenvolvimento da ciência.</w:t>
      </w:r>
    </w:p>
    <w:p w14:paraId="3DD451F9" w14:textId="77777777" w:rsidR="0017312F" w:rsidRDefault="0017312F">
      <w:pPr>
        <w:widowControl/>
        <w:ind w:left="567" w:right="567" w:firstLine="709"/>
        <w:rPr>
          <w:sz w:val="20"/>
          <w:szCs w:val="20"/>
        </w:rPr>
      </w:pPr>
    </w:p>
    <w:p w14:paraId="15599E6B" w14:textId="77777777" w:rsidR="0017312F" w:rsidRDefault="003C0BE3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REFERÊNCIAS </w:t>
      </w:r>
    </w:p>
    <w:p w14:paraId="2A1F23FF" w14:textId="7737AAF9" w:rsidR="0017312F" w:rsidRPr="001E7608" w:rsidRDefault="007335F2" w:rsidP="00157C2B">
      <w:pPr>
        <w:widowControl/>
        <w:spacing w:after="120"/>
        <w:jc w:val="both"/>
        <w:rPr>
          <w:sz w:val="20"/>
          <w:szCs w:val="20"/>
          <w:lang w:val="en-US"/>
        </w:rPr>
      </w:pPr>
      <w:r>
        <w:rPr>
          <w:sz w:val="20"/>
          <w:szCs w:val="20"/>
        </w:rPr>
        <w:t>EMPESA BRASILEIRA DE PESQUISA AGROPECUÁRI</w:t>
      </w:r>
      <w:r w:rsidR="00026D68">
        <w:rPr>
          <w:sz w:val="20"/>
          <w:szCs w:val="20"/>
        </w:rPr>
        <w:t>A</w:t>
      </w:r>
      <w:r w:rsidR="003C0BE3">
        <w:rPr>
          <w:sz w:val="20"/>
          <w:szCs w:val="20"/>
        </w:rPr>
        <w:t xml:space="preserve">. </w:t>
      </w:r>
      <w:r w:rsidR="003C0BE3">
        <w:rPr>
          <w:b/>
          <w:sz w:val="20"/>
          <w:szCs w:val="20"/>
        </w:rPr>
        <w:t>EMBRAPA SOLOS</w:t>
      </w:r>
      <w:r w:rsidR="003C0BE3">
        <w:rPr>
          <w:sz w:val="20"/>
          <w:szCs w:val="20"/>
        </w:rPr>
        <w:t xml:space="preserve">. Disponível em: </w:t>
      </w:r>
      <w:hyperlink r:id="rId10" w:history="1">
        <w:r w:rsidR="00834395" w:rsidRPr="001477A8">
          <w:rPr>
            <w:rStyle w:val="Hyperlink"/>
            <w:sz w:val="20"/>
            <w:szCs w:val="20"/>
          </w:rPr>
          <w:t>https://geoinfo.dados.embrapa.br/datasets/geoinfo_data:geonode:brasil_solos_5m_20201104/metadata_detail</w:t>
        </w:r>
      </w:hyperlink>
      <w:r w:rsidR="00834395">
        <w:rPr>
          <w:sz w:val="20"/>
          <w:szCs w:val="20"/>
        </w:rPr>
        <w:t xml:space="preserve"> </w:t>
      </w:r>
      <w:r w:rsidR="003C0BE3">
        <w:rPr>
          <w:sz w:val="20"/>
          <w:szCs w:val="20"/>
        </w:rPr>
        <w:t xml:space="preserve">Acesso em: 25 maio. </w:t>
      </w:r>
      <w:r w:rsidR="003C0BE3" w:rsidRPr="001E7608">
        <w:rPr>
          <w:sz w:val="20"/>
          <w:szCs w:val="20"/>
          <w:lang w:val="en-US"/>
        </w:rPr>
        <w:t>2025</w:t>
      </w:r>
    </w:p>
    <w:p w14:paraId="07B4BF2A" w14:textId="1AB6233C" w:rsidR="0017312F" w:rsidRDefault="003C0BE3" w:rsidP="00157C2B">
      <w:pPr>
        <w:widowControl/>
        <w:spacing w:after="120"/>
        <w:jc w:val="both"/>
        <w:rPr>
          <w:sz w:val="20"/>
          <w:szCs w:val="20"/>
        </w:rPr>
      </w:pPr>
      <w:r w:rsidRPr="001E7608">
        <w:rPr>
          <w:sz w:val="20"/>
          <w:szCs w:val="20"/>
          <w:lang w:val="en-US"/>
        </w:rPr>
        <w:t xml:space="preserve">GOOGLE EARTH ENGINE. </w:t>
      </w:r>
      <w:r w:rsidRPr="001E7608">
        <w:rPr>
          <w:b/>
          <w:sz w:val="20"/>
          <w:szCs w:val="20"/>
          <w:lang w:val="en-US"/>
        </w:rPr>
        <w:t>GOOGLE EARTH ENGINE</w:t>
      </w:r>
      <w:r w:rsidRPr="001E7608">
        <w:rPr>
          <w:sz w:val="20"/>
          <w:szCs w:val="20"/>
          <w:lang w:val="en-US"/>
        </w:rPr>
        <w:t xml:space="preserve">. </w:t>
      </w:r>
      <w:proofErr w:type="spellStart"/>
      <w:r w:rsidRPr="00720F09">
        <w:rPr>
          <w:sz w:val="20"/>
          <w:szCs w:val="20"/>
          <w:lang w:val="en-US"/>
        </w:rPr>
        <w:t>Dispo</w:t>
      </w:r>
      <w:r w:rsidR="00636296" w:rsidRPr="00720F09">
        <w:rPr>
          <w:sz w:val="20"/>
          <w:szCs w:val="20"/>
          <w:lang w:val="en-US"/>
        </w:rPr>
        <w:t>nível</w:t>
      </w:r>
      <w:proofErr w:type="spellEnd"/>
      <w:r w:rsidRPr="00720F09">
        <w:rPr>
          <w:sz w:val="20"/>
          <w:szCs w:val="20"/>
          <w:lang w:val="en-US"/>
        </w:rPr>
        <w:t xml:space="preserve"> </w:t>
      </w:r>
      <w:proofErr w:type="spellStart"/>
      <w:r w:rsidRPr="00720F09">
        <w:rPr>
          <w:sz w:val="20"/>
          <w:szCs w:val="20"/>
          <w:lang w:val="en-US"/>
        </w:rPr>
        <w:t>em</w:t>
      </w:r>
      <w:proofErr w:type="spellEnd"/>
      <w:r w:rsidRPr="00720F09">
        <w:rPr>
          <w:sz w:val="20"/>
          <w:szCs w:val="20"/>
          <w:lang w:val="en-US"/>
        </w:rPr>
        <w:t xml:space="preserve">: </w:t>
      </w:r>
      <w:r w:rsidR="00734E65" w:rsidRPr="00720F09">
        <w:rPr>
          <w:sz w:val="20"/>
          <w:szCs w:val="20"/>
          <w:lang w:val="en-US"/>
        </w:rPr>
        <w:t>&lt;</w:t>
      </w:r>
      <w:hyperlink r:id="rId11" w:history="1">
        <w:r w:rsidR="00734E65" w:rsidRPr="00720F09">
          <w:rPr>
            <w:rStyle w:val="Hyperlink"/>
            <w:sz w:val="20"/>
            <w:szCs w:val="20"/>
            <w:lang w:val="en-US"/>
          </w:rPr>
          <w:t>https://earthengine.google.com/</w:t>
        </w:r>
      </w:hyperlink>
      <w:r w:rsidR="00734E65" w:rsidRPr="00720F09">
        <w:rPr>
          <w:sz w:val="20"/>
          <w:szCs w:val="20"/>
          <w:lang w:val="en-US"/>
        </w:rPr>
        <w:t xml:space="preserve">&gt;. </w:t>
      </w:r>
      <w:r w:rsidRPr="00720F09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</w:rPr>
        <w:t>Acesso em: 25 maio. 2025</w:t>
      </w:r>
    </w:p>
    <w:p w14:paraId="69862E58" w14:textId="4711A65E" w:rsidR="001E7608" w:rsidRDefault="001E7608" w:rsidP="00157C2B">
      <w:pPr>
        <w:widowControl/>
        <w:spacing w:after="120"/>
        <w:jc w:val="both"/>
        <w:rPr>
          <w:sz w:val="20"/>
          <w:szCs w:val="20"/>
        </w:rPr>
      </w:pPr>
      <w:r w:rsidRPr="001E7608">
        <w:rPr>
          <w:sz w:val="20"/>
          <w:szCs w:val="20"/>
        </w:rPr>
        <w:t xml:space="preserve">INSTITUTO DO HOMEM E DO MEIO AMBIENTE (IMAZON). </w:t>
      </w:r>
      <w:r w:rsidRPr="001E7608">
        <w:rPr>
          <w:b/>
          <w:sz w:val="20"/>
          <w:szCs w:val="20"/>
        </w:rPr>
        <w:t>Desmatamento no Pará chega a quase 4 mil km² nos últimos 12 meses, maior derrubada entre os estados da Amazônia.</w:t>
      </w:r>
      <w:r w:rsidRPr="001E7608">
        <w:rPr>
          <w:sz w:val="20"/>
          <w:szCs w:val="20"/>
        </w:rPr>
        <w:t xml:space="preserve"> Disponível em: </w:t>
      </w:r>
      <w:r w:rsidR="00636296">
        <w:rPr>
          <w:sz w:val="20"/>
          <w:szCs w:val="20"/>
        </w:rPr>
        <w:t>&lt;</w:t>
      </w:r>
      <w:hyperlink r:id="rId12" w:history="1">
        <w:r w:rsidR="00636296" w:rsidRPr="00D436B0">
          <w:rPr>
            <w:rStyle w:val="Hyperlink"/>
            <w:sz w:val="20"/>
            <w:szCs w:val="20"/>
          </w:rPr>
          <w:t>https://imazon.org.br/imprensa/para-lidera-ranking-de-desmatamento-da-amazonia-em-julho/</w:t>
        </w:r>
      </w:hyperlink>
      <w:r w:rsidR="00636296">
        <w:rPr>
          <w:sz w:val="20"/>
          <w:szCs w:val="20"/>
        </w:rPr>
        <w:t xml:space="preserve">&gt;. </w:t>
      </w:r>
      <w:r w:rsidRPr="001E7608">
        <w:rPr>
          <w:sz w:val="20"/>
          <w:szCs w:val="20"/>
        </w:rPr>
        <w:t>Acesso em: 25 maio. 2025</w:t>
      </w:r>
    </w:p>
    <w:p w14:paraId="3C165359" w14:textId="1FF12068" w:rsidR="0017312F" w:rsidRDefault="003C0BE3" w:rsidP="00157C2B">
      <w:pPr>
        <w:widowControl/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MAPBIOMAS. </w:t>
      </w:r>
      <w:proofErr w:type="spellStart"/>
      <w:r>
        <w:rPr>
          <w:b/>
          <w:sz w:val="20"/>
          <w:szCs w:val="20"/>
        </w:rPr>
        <w:t>Mapbiomas</w:t>
      </w:r>
      <w:proofErr w:type="spellEnd"/>
      <w:r>
        <w:rPr>
          <w:sz w:val="20"/>
          <w:szCs w:val="20"/>
        </w:rPr>
        <w:t>. Disponível em: &lt;</w:t>
      </w:r>
      <w:hyperlink r:id="rId13" w:history="1">
        <w:r w:rsidR="008A598E" w:rsidRPr="001477A8">
          <w:rPr>
            <w:rStyle w:val="Hyperlink"/>
            <w:sz w:val="20"/>
            <w:szCs w:val="20"/>
          </w:rPr>
          <w:t>https://brasil.mapbiomas.org//</w:t>
        </w:r>
      </w:hyperlink>
      <w:r>
        <w:rPr>
          <w:sz w:val="20"/>
          <w:szCs w:val="20"/>
        </w:rPr>
        <w:t>&gt; Acesso em: 25 maio. 2025.</w:t>
      </w:r>
    </w:p>
    <w:p w14:paraId="3F8853CD" w14:textId="71761A4B" w:rsidR="0017312F" w:rsidRDefault="003C0BE3" w:rsidP="00157C2B">
      <w:pPr>
        <w:widowControl/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OPEN TOPOGRAPHY. </w:t>
      </w:r>
      <w:r w:rsidR="00636296">
        <w:rPr>
          <w:b/>
          <w:sz w:val="20"/>
          <w:szCs w:val="20"/>
        </w:rPr>
        <w:t>O</w:t>
      </w:r>
      <w:r>
        <w:rPr>
          <w:b/>
          <w:sz w:val="20"/>
          <w:szCs w:val="20"/>
        </w:rPr>
        <w:t xml:space="preserve">pen </w:t>
      </w:r>
      <w:proofErr w:type="spellStart"/>
      <w:r w:rsidR="00636296">
        <w:rPr>
          <w:b/>
          <w:sz w:val="20"/>
          <w:szCs w:val="20"/>
        </w:rPr>
        <w:t>T</w:t>
      </w:r>
      <w:r>
        <w:rPr>
          <w:b/>
          <w:sz w:val="20"/>
          <w:szCs w:val="20"/>
        </w:rPr>
        <w:t>opography</w:t>
      </w:r>
      <w:proofErr w:type="spellEnd"/>
      <w:r>
        <w:rPr>
          <w:sz w:val="20"/>
          <w:szCs w:val="20"/>
        </w:rPr>
        <w:t>. Disponível em: &lt;</w:t>
      </w:r>
      <w:r>
        <w:t xml:space="preserve"> </w:t>
      </w:r>
      <w:hyperlink r:id="rId14" w:history="1">
        <w:r w:rsidR="007B0AF8" w:rsidRPr="001477A8">
          <w:rPr>
            <w:rStyle w:val="Hyperlink"/>
            <w:sz w:val="20"/>
            <w:szCs w:val="20"/>
          </w:rPr>
          <w:t>https://opentopography.org//</w:t>
        </w:r>
      </w:hyperlink>
      <w:r>
        <w:rPr>
          <w:sz w:val="20"/>
          <w:szCs w:val="20"/>
        </w:rPr>
        <w:t>&gt;</w:t>
      </w:r>
      <w:r w:rsidR="007B0AF8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 Acesso em: 25 maio. 2025</w:t>
      </w:r>
    </w:p>
    <w:p w14:paraId="6C03AA79" w14:textId="2AF6DC5E" w:rsidR="0017312F" w:rsidRDefault="003C0BE3" w:rsidP="00157C2B">
      <w:pPr>
        <w:widowControl/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OPENSTREETMAP</w:t>
      </w:r>
      <w:r>
        <w:rPr>
          <w:b/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OPENSTREETMAP</w:t>
      </w:r>
      <w:r>
        <w:rPr>
          <w:sz w:val="20"/>
          <w:szCs w:val="20"/>
        </w:rPr>
        <w:t>. Disponível em: &lt;</w:t>
      </w:r>
      <w:hyperlink r:id="rId15" w:anchor="map=4/-15.13/-53.19" w:history="1">
        <w:r w:rsidR="00834395" w:rsidRPr="001477A8">
          <w:rPr>
            <w:rStyle w:val="Hyperlink"/>
            <w:sz w:val="20"/>
            <w:szCs w:val="20"/>
          </w:rPr>
          <w:t>https://www.openstreetmap.org/#map=4/-15.13/-53.19</w:t>
        </w:r>
      </w:hyperlink>
      <w:r w:rsidR="00834395">
        <w:rPr>
          <w:sz w:val="20"/>
          <w:szCs w:val="20"/>
        </w:rPr>
        <w:t xml:space="preserve">&gt; </w:t>
      </w:r>
      <w:r>
        <w:rPr>
          <w:sz w:val="20"/>
          <w:szCs w:val="20"/>
        </w:rPr>
        <w:t>Acesso em: 25 maio. 2025.</w:t>
      </w:r>
    </w:p>
    <w:p w14:paraId="63AFDD57" w14:textId="37D0A6B5" w:rsidR="0017312F" w:rsidRDefault="003C0BE3" w:rsidP="00157C2B">
      <w:pPr>
        <w:widowControl/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RAMALHO.</w:t>
      </w:r>
      <w:r>
        <w:t xml:space="preserve"> </w:t>
      </w:r>
      <w:r>
        <w:rPr>
          <w:sz w:val="20"/>
          <w:szCs w:val="20"/>
        </w:rPr>
        <w:t xml:space="preserve">Modelagem </w:t>
      </w:r>
      <w:proofErr w:type="spellStart"/>
      <w:r>
        <w:rPr>
          <w:sz w:val="20"/>
          <w:szCs w:val="20"/>
        </w:rPr>
        <w:t>geotecnológica</w:t>
      </w:r>
      <w:proofErr w:type="spellEnd"/>
      <w:r>
        <w:rPr>
          <w:sz w:val="20"/>
          <w:szCs w:val="20"/>
        </w:rPr>
        <w:t xml:space="preserve"> de predição, prevenção, detecção e Combate a incêndios florestais. Jerônimo Monteiro</w:t>
      </w:r>
      <w:r w:rsidR="002943C3">
        <w:rPr>
          <w:sz w:val="20"/>
          <w:szCs w:val="20"/>
        </w:rPr>
        <w:t>.</w:t>
      </w:r>
      <w:r w:rsidR="00087A12">
        <w:rPr>
          <w:sz w:val="20"/>
          <w:szCs w:val="20"/>
        </w:rPr>
        <w:t xml:space="preserve"> </w:t>
      </w:r>
      <w:r w:rsidR="00087A12" w:rsidRPr="00684C91">
        <w:rPr>
          <w:b/>
          <w:bCs/>
          <w:sz w:val="20"/>
          <w:szCs w:val="20"/>
        </w:rPr>
        <w:t>Tese</w:t>
      </w:r>
      <w:r w:rsidR="00EB77AE" w:rsidRPr="00684C91">
        <w:rPr>
          <w:b/>
          <w:bCs/>
          <w:sz w:val="20"/>
          <w:szCs w:val="20"/>
        </w:rPr>
        <w:t xml:space="preserve"> (Doutorado em Ciências Florestais)</w:t>
      </w:r>
      <w:r w:rsidR="00EB77AE">
        <w:rPr>
          <w:sz w:val="20"/>
          <w:szCs w:val="20"/>
        </w:rPr>
        <w:t>, Universidade F</w:t>
      </w:r>
      <w:r w:rsidR="007D1FA2">
        <w:rPr>
          <w:sz w:val="20"/>
          <w:szCs w:val="20"/>
        </w:rPr>
        <w:t>ederal do Espírito Santo, Jerônimo Monteiro, E</w:t>
      </w:r>
      <w:r w:rsidR="00684C91">
        <w:rPr>
          <w:sz w:val="20"/>
          <w:szCs w:val="20"/>
        </w:rPr>
        <w:t>S,</w:t>
      </w:r>
      <w:r w:rsidR="007D1FA2">
        <w:rPr>
          <w:sz w:val="20"/>
          <w:szCs w:val="20"/>
        </w:rPr>
        <w:t xml:space="preserve"> Brasil. 2022.</w:t>
      </w:r>
      <w:r w:rsidR="00087A12">
        <w:rPr>
          <w:sz w:val="20"/>
          <w:szCs w:val="20"/>
        </w:rPr>
        <w:t xml:space="preserve"> </w:t>
      </w:r>
    </w:p>
    <w:p w14:paraId="6CCB3655" w14:textId="77777777" w:rsidR="0017312F" w:rsidRDefault="003C0BE3" w:rsidP="00157C2B">
      <w:pPr>
        <w:widowControl/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SALOMÃO. Sistemas Agroflorestais como estratégia para restauração ecológica na Bacia do Rio Doce. Belo Horizonte, p. 14 - 21, 2019.</w:t>
      </w:r>
    </w:p>
    <w:p w14:paraId="4AF05204" w14:textId="306E9705" w:rsidR="0017312F" w:rsidRDefault="003C0BE3" w:rsidP="00157C2B">
      <w:pPr>
        <w:widowControl/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SICAR/PA. </w:t>
      </w:r>
      <w:r>
        <w:rPr>
          <w:b/>
          <w:sz w:val="20"/>
          <w:szCs w:val="20"/>
        </w:rPr>
        <w:t xml:space="preserve">SICAR/PA </w:t>
      </w:r>
      <w:r>
        <w:rPr>
          <w:b/>
          <w:color w:val="1F1F1F"/>
          <w:sz w:val="20"/>
          <w:szCs w:val="20"/>
        </w:rPr>
        <w:t>SISTEMA DE CADASTRO AMBIENTAL RURAL</w:t>
      </w:r>
      <w:r>
        <w:rPr>
          <w:sz w:val="20"/>
          <w:szCs w:val="20"/>
        </w:rPr>
        <w:t>. Disponível em: &lt;</w:t>
      </w:r>
      <w:hyperlink r:id="rId16" w:history="1">
        <w:r w:rsidR="001E7608" w:rsidRPr="009D7755">
          <w:rPr>
            <w:rStyle w:val="Hyperlink"/>
            <w:sz w:val="20"/>
            <w:szCs w:val="20"/>
          </w:rPr>
          <w:t>https://car.semas.pa.gov.br/</w:t>
        </w:r>
      </w:hyperlink>
      <w:r w:rsidR="001E7608">
        <w:rPr>
          <w:sz w:val="20"/>
          <w:szCs w:val="20"/>
        </w:rPr>
        <w:t xml:space="preserve">&gt; </w:t>
      </w:r>
      <w:r>
        <w:rPr>
          <w:sz w:val="20"/>
          <w:szCs w:val="20"/>
        </w:rPr>
        <w:t>Acesso em: 25 maio. 2025.</w:t>
      </w:r>
    </w:p>
    <w:p w14:paraId="31222864" w14:textId="2F2951A1" w:rsidR="00D00D67" w:rsidRDefault="003C0BE3" w:rsidP="00157C2B">
      <w:pPr>
        <w:widowControl/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WORLDCLIM </w:t>
      </w:r>
      <w:proofErr w:type="spellStart"/>
      <w:r>
        <w:rPr>
          <w:b/>
          <w:sz w:val="20"/>
          <w:szCs w:val="20"/>
        </w:rPr>
        <w:t>worldclim</w:t>
      </w:r>
      <w:proofErr w:type="spellEnd"/>
      <w:r>
        <w:rPr>
          <w:sz w:val="20"/>
          <w:szCs w:val="20"/>
        </w:rPr>
        <w:t>. Disponível em: &lt;</w:t>
      </w:r>
      <w:r>
        <w:t xml:space="preserve"> </w:t>
      </w:r>
      <w:hyperlink r:id="rId17" w:history="1">
        <w:r w:rsidR="007B0AF8" w:rsidRPr="001477A8">
          <w:rPr>
            <w:rStyle w:val="Hyperlink"/>
            <w:sz w:val="20"/>
            <w:szCs w:val="20"/>
          </w:rPr>
          <w:t>https://www.worldclim.org/</w:t>
        </w:r>
      </w:hyperlink>
      <w:r w:rsidR="007B0AF8">
        <w:rPr>
          <w:sz w:val="20"/>
          <w:szCs w:val="20"/>
        </w:rPr>
        <w:t xml:space="preserve">&gt;. </w:t>
      </w:r>
      <w:r>
        <w:rPr>
          <w:sz w:val="20"/>
          <w:szCs w:val="20"/>
        </w:rPr>
        <w:t>Acesso em: 25 maio. 2025.</w:t>
      </w:r>
    </w:p>
    <w:sectPr w:rsidR="00D00D67">
      <w:headerReference w:type="default" r:id="rId18"/>
      <w:footerReference w:type="default" r:id="rId19"/>
      <w:headerReference w:type="first" r:id="rId20"/>
      <w:pgSz w:w="11910" w:h="16840"/>
      <w:pgMar w:top="1909" w:right="1134" w:bottom="1134" w:left="1701" w:header="1418" w:footer="140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144EC" w14:textId="77777777" w:rsidR="00D118B0" w:rsidRDefault="00D118B0">
      <w:r>
        <w:separator/>
      </w:r>
    </w:p>
  </w:endnote>
  <w:endnote w:type="continuationSeparator" w:id="0">
    <w:p w14:paraId="0E3BDBF1" w14:textId="77777777" w:rsidR="00D118B0" w:rsidRDefault="00D118B0">
      <w:r>
        <w:continuationSeparator/>
      </w:r>
    </w:p>
  </w:endnote>
  <w:endnote w:type="continuationNotice" w:id="1">
    <w:p w14:paraId="7DB45BC1" w14:textId="77777777" w:rsidR="00D118B0" w:rsidRDefault="00D118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1DE0069F-163E-4C77-8FCA-4CC45DAB60F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B278090-B253-4944-86B8-90C00AE11826}"/>
    <w:embedItalic r:id="rId3" w:fontKey="{39317886-0400-4795-B90A-3D768DF2FB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B29E531-AF3A-47FD-B5B2-AAF61C3E73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59CA00A-498B-463A-A1DE-62F31D54FF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8ABECBB-57DA-42E0-BF33-6D3C74A0CF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EA133" w14:textId="77777777" w:rsidR="0017312F" w:rsidRDefault="0017312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B54AB" w14:textId="77777777" w:rsidR="00D118B0" w:rsidRDefault="00D118B0">
      <w:r>
        <w:separator/>
      </w:r>
    </w:p>
  </w:footnote>
  <w:footnote w:type="continuationSeparator" w:id="0">
    <w:p w14:paraId="7EA37E1D" w14:textId="77777777" w:rsidR="00D118B0" w:rsidRDefault="00D118B0">
      <w:r>
        <w:continuationSeparator/>
      </w:r>
    </w:p>
  </w:footnote>
  <w:footnote w:type="continuationNotice" w:id="1">
    <w:p w14:paraId="2820A807" w14:textId="77777777" w:rsidR="00D118B0" w:rsidRDefault="00D118B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77271" w14:textId="77777777" w:rsidR="0094397C" w:rsidRDefault="0094397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E616D" w14:textId="77777777" w:rsidR="0017312F" w:rsidRDefault="003C0BE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0E95C30" wp14:editId="638244B3">
          <wp:extent cx="5274310" cy="791210"/>
          <wp:effectExtent l="0" t="0" r="0" b="0"/>
          <wp:docPr id="43765515" name="image2.png" descr="Desenho de personagem de desenho animado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Desenho de personagem de desenho animado&#10;&#10;Descrição gerada automaticamente com confiança méd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6E0B85"/>
    <w:multiLevelType w:val="multilevel"/>
    <w:tmpl w:val="332C98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12F"/>
    <w:rsid w:val="00026D68"/>
    <w:rsid w:val="000535AF"/>
    <w:rsid w:val="0006562E"/>
    <w:rsid w:val="000739B5"/>
    <w:rsid w:val="00087A12"/>
    <w:rsid w:val="000C3135"/>
    <w:rsid w:val="00157C2B"/>
    <w:rsid w:val="0017312F"/>
    <w:rsid w:val="001E7608"/>
    <w:rsid w:val="00215F3E"/>
    <w:rsid w:val="002403BE"/>
    <w:rsid w:val="0027141C"/>
    <w:rsid w:val="002943C3"/>
    <w:rsid w:val="00313BD8"/>
    <w:rsid w:val="00314701"/>
    <w:rsid w:val="003308C2"/>
    <w:rsid w:val="003427AA"/>
    <w:rsid w:val="0038397F"/>
    <w:rsid w:val="003B23D0"/>
    <w:rsid w:val="003C0BE3"/>
    <w:rsid w:val="003D76CE"/>
    <w:rsid w:val="003E093F"/>
    <w:rsid w:val="00471A57"/>
    <w:rsid w:val="00515452"/>
    <w:rsid w:val="00531192"/>
    <w:rsid w:val="00543530"/>
    <w:rsid w:val="00575710"/>
    <w:rsid w:val="00620A4F"/>
    <w:rsid w:val="00636296"/>
    <w:rsid w:val="00653737"/>
    <w:rsid w:val="00684C91"/>
    <w:rsid w:val="00684E49"/>
    <w:rsid w:val="006C0FCB"/>
    <w:rsid w:val="006F7BBA"/>
    <w:rsid w:val="00720F09"/>
    <w:rsid w:val="007335F2"/>
    <w:rsid w:val="00734E65"/>
    <w:rsid w:val="007505B9"/>
    <w:rsid w:val="007B0AF8"/>
    <w:rsid w:val="007D1FA2"/>
    <w:rsid w:val="007E4C95"/>
    <w:rsid w:val="008218B7"/>
    <w:rsid w:val="00834395"/>
    <w:rsid w:val="00867B24"/>
    <w:rsid w:val="008848DD"/>
    <w:rsid w:val="008A598E"/>
    <w:rsid w:val="0093478F"/>
    <w:rsid w:val="0094397C"/>
    <w:rsid w:val="00982F3A"/>
    <w:rsid w:val="00A076B8"/>
    <w:rsid w:val="00B407D5"/>
    <w:rsid w:val="00B45676"/>
    <w:rsid w:val="00B52CB7"/>
    <w:rsid w:val="00BA61D3"/>
    <w:rsid w:val="00BB0D45"/>
    <w:rsid w:val="00BC21EC"/>
    <w:rsid w:val="00D00D67"/>
    <w:rsid w:val="00D118B0"/>
    <w:rsid w:val="00D36399"/>
    <w:rsid w:val="00D411EB"/>
    <w:rsid w:val="00D84E06"/>
    <w:rsid w:val="00D95075"/>
    <w:rsid w:val="00DD7835"/>
    <w:rsid w:val="00E24178"/>
    <w:rsid w:val="00EB77AE"/>
    <w:rsid w:val="00ED4094"/>
    <w:rsid w:val="00EF4A1A"/>
    <w:rsid w:val="00F076F2"/>
    <w:rsid w:val="00F5205D"/>
    <w:rsid w:val="00F95051"/>
    <w:rsid w:val="00FC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36A6C"/>
  <w15:docId w15:val="{7B832231-78F5-43E6-8260-C576350D3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  <w:style w:type="character" w:styleId="Forte">
    <w:name w:val="Strong"/>
    <w:basedOn w:val="Fontepargpadro"/>
    <w:uiPriority w:val="22"/>
    <w:qFormat/>
    <w:rsid w:val="00696F26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60DF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60DFC"/>
    <w:rPr>
      <w:rFonts w:ascii="Segoe UI" w:hAnsi="Segoe UI" w:cs="Segoe UI"/>
      <w:sz w:val="18"/>
      <w:szCs w:val="18"/>
      <w:lang w:bidi="pt-BR"/>
    </w:rPr>
  </w:style>
  <w:style w:type="paragraph" w:customStyle="1" w:styleId="Default">
    <w:name w:val="Default"/>
    <w:rsid w:val="00B616ED"/>
    <w:pPr>
      <w:widowControl/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88047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8047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80473"/>
    <w:rPr>
      <w:sz w:val="20"/>
      <w:szCs w:val="20"/>
      <w:lang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8047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80473"/>
    <w:rPr>
      <w:b/>
      <w:bCs/>
      <w:sz w:val="20"/>
      <w:szCs w:val="20"/>
      <w:lang w:bidi="pt-BR"/>
    </w:rPr>
  </w:style>
  <w:style w:type="table" w:styleId="Tabelacomgrade">
    <w:name w:val="Table Grid"/>
    <w:basedOn w:val="Tabelanormal"/>
    <w:uiPriority w:val="39"/>
    <w:rsid w:val="004F23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8A59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brasil.mapbiomas.org/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imazon.org.br/imprensa/para-lidera-ranking-de-desmatamento-da-amazonia-em-julho/" TargetMode="External"/><Relationship Id="rId17" Type="http://schemas.openxmlformats.org/officeDocument/2006/relationships/hyperlink" Target="https://www.worldclim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ar.semas.pa.gov.br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arthengine.google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openstreetmap.org/" TargetMode="External"/><Relationship Id="rId10" Type="http://schemas.openxmlformats.org/officeDocument/2006/relationships/hyperlink" Target="https://geoinfo.dados.embrapa.br/datasets/geoinfo_data:geonode:brasil_solos_5m_20201104/metadata_detai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opentopography.org/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vV9cjCpmxOo0duR7iYIeF6MB0w==">CgMxLjAyCGguZ2pkZ3hzMg5oLnlwOTZpd3Uybzd3ZzIOaC5icDI2N3VqMmp3aXkyDmguZGQ2eGZ3c2QwMTd0OAByITFsc19ibm9DcXh2TzNjOEVXOU84aE9lM2E0T0IzdDFmeA==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2079</Words>
  <Characters>11227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Oliveira Costa</dc:creator>
  <cp:lastModifiedBy>Yasmim Guedes</cp:lastModifiedBy>
  <cp:revision>10</cp:revision>
  <dcterms:created xsi:type="dcterms:W3CDTF">2025-06-06T22:15:00Z</dcterms:created>
  <dcterms:modified xsi:type="dcterms:W3CDTF">2025-06-08T17:51:00Z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