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C611" w14:textId="0B7548D5" w:rsidR="00D45E44" w:rsidRPr="00D45E44" w:rsidRDefault="00D45E44" w:rsidP="00D45E44">
      <w:pPr>
        <w:jc w:val="center"/>
        <w:rPr>
          <w:sz w:val="24"/>
          <w:szCs w:val="24"/>
        </w:rPr>
      </w:pPr>
      <w:r w:rsidRPr="00D45E44">
        <w:rPr>
          <w:b/>
          <w:bCs/>
          <w:sz w:val="24"/>
          <w:szCs w:val="24"/>
        </w:rPr>
        <w:t xml:space="preserve">MODELAGEM DA DIFERENÇA ALGÉBRICA APLICADA AO CRESCIMENTO DA ALTURA DOMINANTE DE </w:t>
      </w:r>
      <w:r w:rsidRPr="00C535EB">
        <w:rPr>
          <w:b/>
          <w:bCs/>
          <w:i/>
          <w:iCs/>
          <w:sz w:val="24"/>
          <w:szCs w:val="24"/>
        </w:rPr>
        <w:t>T</w:t>
      </w:r>
      <w:r w:rsidR="000408A1" w:rsidRPr="00C535EB">
        <w:rPr>
          <w:b/>
          <w:bCs/>
          <w:i/>
          <w:iCs/>
          <w:sz w:val="24"/>
          <w:szCs w:val="24"/>
        </w:rPr>
        <w:t>ectona</w:t>
      </w:r>
      <w:r w:rsidRPr="00C535E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0408A1" w:rsidRPr="00C535EB">
        <w:rPr>
          <w:b/>
          <w:bCs/>
          <w:i/>
          <w:iCs/>
          <w:sz w:val="24"/>
          <w:szCs w:val="24"/>
        </w:rPr>
        <w:t>grandis</w:t>
      </w:r>
      <w:proofErr w:type="spellEnd"/>
      <w:r w:rsidRPr="00D45E44">
        <w:rPr>
          <w:b/>
          <w:bCs/>
          <w:sz w:val="24"/>
          <w:szCs w:val="24"/>
        </w:rPr>
        <w:t xml:space="preserve"> </w:t>
      </w:r>
      <w:proofErr w:type="spellStart"/>
      <w:r w:rsidRPr="00D45E44">
        <w:rPr>
          <w:b/>
          <w:bCs/>
          <w:sz w:val="24"/>
          <w:szCs w:val="24"/>
        </w:rPr>
        <w:t>L</w:t>
      </w:r>
      <w:r w:rsidR="0044029D" w:rsidRPr="00D45E44">
        <w:rPr>
          <w:b/>
          <w:bCs/>
          <w:sz w:val="24"/>
          <w:szCs w:val="24"/>
        </w:rPr>
        <w:t>inn</w:t>
      </w:r>
      <w:proofErr w:type="spellEnd"/>
      <w:r w:rsidRPr="00D45E44">
        <w:rPr>
          <w:b/>
          <w:bCs/>
          <w:sz w:val="24"/>
          <w:szCs w:val="24"/>
        </w:rPr>
        <w:t>. F.</w:t>
      </w:r>
    </w:p>
    <w:p w14:paraId="1536DA3A" w14:textId="1CA76ADF" w:rsidR="00590ADB" w:rsidRDefault="00590ADB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271E17F8" w14:textId="77D8511E" w:rsidR="003949CE" w:rsidRPr="00E51072" w:rsidRDefault="00590ADB" w:rsidP="00590ADB">
      <w:pPr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  <w:lang w:val="pt-BR"/>
        </w:rPr>
      </w:pPr>
      <w:r w:rsidRPr="00590ADB">
        <w:rPr>
          <w:sz w:val="24"/>
          <w:szCs w:val="24"/>
          <w:lang w:val="pt-BR"/>
        </w:rPr>
        <w:t>Mario Lima dos Santos</w:t>
      </w:r>
      <w:r>
        <w:rPr>
          <w:sz w:val="24"/>
          <w:szCs w:val="24"/>
          <w:lang w:val="pt-BR"/>
        </w:rPr>
        <w:t>¹</w:t>
      </w:r>
      <w:r w:rsidRPr="00590ADB">
        <w:rPr>
          <w:sz w:val="24"/>
          <w:szCs w:val="24"/>
          <w:lang w:val="pt-BR"/>
        </w:rPr>
        <w:t>, Eder Pereira Miguel</w:t>
      </w:r>
      <w:r w:rsidR="005304C2" w:rsidRPr="005304C2">
        <w:rPr>
          <w:sz w:val="24"/>
          <w:szCs w:val="24"/>
          <w:vertAlign w:val="superscript"/>
          <w:lang w:val="pt-BR"/>
        </w:rPr>
        <w:t>2</w:t>
      </w:r>
      <w:r w:rsidRPr="00590ADB">
        <w:rPr>
          <w:sz w:val="24"/>
          <w:szCs w:val="24"/>
          <w:lang w:val="pt-BR"/>
        </w:rPr>
        <w:t xml:space="preserve">, </w:t>
      </w:r>
      <w:proofErr w:type="spellStart"/>
      <w:r w:rsidRPr="00590ADB">
        <w:rPr>
          <w:sz w:val="24"/>
          <w:szCs w:val="24"/>
          <w:lang w:val="pt-BR"/>
        </w:rPr>
        <w:t>Hallefy</w:t>
      </w:r>
      <w:proofErr w:type="spellEnd"/>
      <w:r w:rsidRPr="00590ADB">
        <w:rPr>
          <w:sz w:val="24"/>
          <w:szCs w:val="24"/>
          <w:lang w:val="pt-BR"/>
        </w:rPr>
        <w:t xml:space="preserve"> </w:t>
      </w:r>
      <w:proofErr w:type="spellStart"/>
      <w:r w:rsidRPr="00590ADB">
        <w:rPr>
          <w:sz w:val="24"/>
          <w:szCs w:val="24"/>
          <w:lang w:val="pt-BR"/>
        </w:rPr>
        <w:t>Junio</w:t>
      </w:r>
      <w:proofErr w:type="spellEnd"/>
      <w:r w:rsidRPr="00590ADB">
        <w:rPr>
          <w:sz w:val="24"/>
          <w:szCs w:val="24"/>
          <w:lang w:val="pt-BR"/>
        </w:rPr>
        <w:t xml:space="preserve"> de Souza</w:t>
      </w:r>
      <w:r w:rsidR="005304C2" w:rsidRPr="005304C2">
        <w:rPr>
          <w:sz w:val="24"/>
          <w:szCs w:val="24"/>
          <w:vertAlign w:val="superscript"/>
          <w:lang w:val="pt-BR"/>
        </w:rPr>
        <w:t>3</w:t>
      </w:r>
      <w:r w:rsidRPr="00590ADB">
        <w:rPr>
          <w:sz w:val="24"/>
          <w:szCs w:val="24"/>
          <w:lang w:val="pt-BR"/>
        </w:rPr>
        <w:t>, Cassio Rafael Costa dos Santos</w:t>
      </w:r>
      <w:r w:rsidR="005304C2" w:rsidRPr="005304C2">
        <w:rPr>
          <w:sz w:val="24"/>
          <w:szCs w:val="24"/>
          <w:vertAlign w:val="superscript"/>
          <w:lang w:val="pt-BR"/>
        </w:rPr>
        <w:t>4</w:t>
      </w:r>
      <w:r>
        <w:rPr>
          <w:sz w:val="24"/>
          <w:szCs w:val="24"/>
          <w:lang w:val="pt-BR"/>
        </w:rPr>
        <w:t>,</w:t>
      </w:r>
      <w:r w:rsidR="005304C2" w:rsidRPr="005304C2">
        <w:rPr>
          <w:sz w:val="24"/>
          <w:szCs w:val="24"/>
          <w:lang w:val="pt-BR"/>
        </w:rPr>
        <w:t xml:space="preserve"> </w:t>
      </w:r>
      <w:r w:rsidR="005304C2">
        <w:rPr>
          <w:sz w:val="24"/>
          <w:szCs w:val="24"/>
          <w:lang w:val="pt-BR"/>
        </w:rPr>
        <w:t>Roberta Souza Mendes</w:t>
      </w:r>
      <w:r w:rsidR="005304C2" w:rsidRPr="005304C2">
        <w:rPr>
          <w:sz w:val="24"/>
          <w:szCs w:val="24"/>
          <w:vertAlign w:val="superscript"/>
          <w:lang w:val="pt-BR"/>
        </w:rPr>
        <w:t>5</w:t>
      </w:r>
      <w:r w:rsidR="005304C2">
        <w:rPr>
          <w:sz w:val="24"/>
          <w:szCs w:val="24"/>
          <w:lang w:val="pt-BR"/>
        </w:rPr>
        <w:t>,</w:t>
      </w:r>
      <w:r w:rsidRPr="00590ADB">
        <w:rPr>
          <w:sz w:val="24"/>
          <w:szCs w:val="24"/>
          <w:lang w:val="pt-BR"/>
        </w:rPr>
        <w:t xml:space="preserve"> </w:t>
      </w:r>
      <w:r w:rsidR="0024785C">
        <w:rPr>
          <w:sz w:val="24"/>
          <w:szCs w:val="24"/>
          <w:lang w:val="pt-BR"/>
        </w:rPr>
        <w:t>Lucas Sérgio de Sousa Lopes</w:t>
      </w:r>
      <w:r w:rsidR="005304C2" w:rsidRPr="005304C2">
        <w:rPr>
          <w:sz w:val="24"/>
          <w:szCs w:val="24"/>
          <w:vertAlign w:val="superscript"/>
          <w:lang w:val="pt-BR"/>
        </w:rPr>
        <w:t>6</w:t>
      </w:r>
      <w:r w:rsidR="00E51072">
        <w:rPr>
          <w:sz w:val="24"/>
          <w:szCs w:val="24"/>
          <w:lang w:val="pt-BR"/>
        </w:rPr>
        <w:t xml:space="preserve">, </w:t>
      </w:r>
      <w:proofErr w:type="spellStart"/>
      <w:r w:rsidR="00E51072" w:rsidRPr="00E51072">
        <w:rPr>
          <w:sz w:val="24"/>
          <w:szCs w:val="24"/>
          <w:lang w:val="pt-BR"/>
        </w:rPr>
        <w:t>Juscelina</w:t>
      </w:r>
      <w:proofErr w:type="spellEnd"/>
      <w:r w:rsidR="00E51072" w:rsidRPr="00E51072">
        <w:rPr>
          <w:sz w:val="24"/>
          <w:szCs w:val="24"/>
          <w:lang w:val="pt-BR"/>
        </w:rPr>
        <w:t xml:space="preserve"> Arcanjo dos Santos</w:t>
      </w:r>
      <w:r w:rsidR="00E51072" w:rsidRPr="00E51072">
        <w:rPr>
          <w:sz w:val="24"/>
          <w:szCs w:val="24"/>
          <w:vertAlign w:val="superscript"/>
          <w:lang w:val="pt-BR"/>
        </w:rPr>
        <w:t>7</w:t>
      </w:r>
    </w:p>
    <w:p w14:paraId="488A52A5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</w:p>
    <w:p w14:paraId="568D7BF2" w14:textId="4ECD4CB7" w:rsidR="00CE7ED2" w:rsidRDefault="003949CE" w:rsidP="00CB73D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020981">
        <w:rPr>
          <w:sz w:val="24"/>
          <w:szCs w:val="24"/>
          <w:vertAlign w:val="superscript"/>
        </w:rPr>
        <w:t xml:space="preserve">1 </w:t>
      </w:r>
      <w:r w:rsidR="0010423B" w:rsidRPr="00020981">
        <w:rPr>
          <w:sz w:val="24"/>
          <w:szCs w:val="24"/>
        </w:rPr>
        <w:t>Doutor em Ciências Florestais</w:t>
      </w:r>
      <w:r w:rsidR="00020981">
        <w:rPr>
          <w:sz w:val="24"/>
          <w:szCs w:val="24"/>
        </w:rPr>
        <w:t>,</w:t>
      </w:r>
      <w:r w:rsidR="00CE7ED2" w:rsidRPr="00020981">
        <w:t xml:space="preserve"> </w:t>
      </w:r>
      <w:r w:rsidR="00CE7ED2" w:rsidRPr="00CE7ED2">
        <w:rPr>
          <w:sz w:val="24"/>
          <w:szCs w:val="24"/>
        </w:rPr>
        <w:t>Universidade de Brasília</w:t>
      </w:r>
      <w:r w:rsidR="00FD4ED8">
        <w:rPr>
          <w:sz w:val="24"/>
          <w:szCs w:val="24"/>
        </w:rPr>
        <w:t xml:space="preserve">, </w:t>
      </w:r>
      <w:hyperlink r:id="rId8" w:history="1">
        <w:r w:rsidR="00FD4ED8" w:rsidRPr="004B151F">
          <w:rPr>
            <w:rStyle w:val="Hyperlink"/>
            <w:sz w:val="24"/>
            <w:szCs w:val="24"/>
          </w:rPr>
          <w:t>mariolimaeng@gmail.com</w:t>
        </w:r>
      </w:hyperlink>
    </w:p>
    <w:p w14:paraId="18202A91" w14:textId="304415ED" w:rsidR="00FD4ED8" w:rsidRDefault="005304C2" w:rsidP="00CB73D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FD4ED8" w:rsidRPr="00020981">
        <w:rPr>
          <w:sz w:val="24"/>
          <w:szCs w:val="24"/>
          <w:vertAlign w:val="superscript"/>
        </w:rPr>
        <w:t xml:space="preserve"> </w:t>
      </w:r>
      <w:r w:rsidR="00FD4ED8" w:rsidRPr="00020981">
        <w:rPr>
          <w:sz w:val="24"/>
          <w:szCs w:val="24"/>
        </w:rPr>
        <w:t>Doutor em Ciências Florestais</w:t>
      </w:r>
      <w:r w:rsidR="00FD4ED8">
        <w:rPr>
          <w:sz w:val="24"/>
          <w:szCs w:val="24"/>
        </w:rPr>
        <w:t>,</w:t>
      </w:r>
      <w:r w:rsidR="00FD4ED8" w:rsidRPr="00020981">
        <w:t xml:space="preserve"> </w:t>
      </w:r>
      <w:r w:rsidR="00FD4ED8" w:rsidRPr="00CE7ED2">
        <w:rPr>
          <w:sz w:val="24"/>
          <w:szCs w:val="24"/>
        </w:rPr>
        <w:t>Universidade de Brasília</w:t>
      </w:r>
      <w:r w:rsidR="00FD4ED8">
        <w:rPr>
          <w:sz w:val="24"/>
          <w:szCs w:val="24"/>
        </w:rPr>
        <w:t>.</w:t>
      </w:r>
    </w:p>
    <w:p w14:paraId="1FFE8FEC" w14:textId="0DF9A33E" w:rsidR="005304C2" w:rsidRDefault="005304C2" w:rsidP="00CB73D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Pr="00020981">
        <w:rPr>
          <w:sz w:val="24"/>
          <w:szCs w:val="24"/>
          <w:vertAlign w:val="superscript"/>
        </w:rPr>
        <w:t xml:space="preserve"> </w:t>
      </w:r>
      <w:r w:rsidR="00302FD2">
        <w:rPr>
          <w:sz w:val="24"/>
          <w:szCs w:val="24"/>
        </w:rPr>
        <w:t>Doutorando</w:t>
      </w:r>
      <w:r w:rsidRPr="00020981">
        <w:rPr>
          <w:sz w:val="24"/>
          <w:szCs w:val="24"/>
        </w:rPr>
        <w:t xml:space="preserve"> em Ciências Florestais</w:t>
      </w:r>
      <w:r>
        <w:rPr>
          <w:sz w:val="24"/>
          <w:szCs w:val="24"/>
        </w:rPr>
        <w:t>,</w:t>
      </w:r>
      <w:r w:rsidRPr="00020981">
        <w:t xml:space="preserve"> </w:t>
      </w:r>
      <w:r w:rsidRPr="00CE7ED2">
        <w:rPr>
          <w:sz w:val="24"/>
          <w:szCs w:val="24"/>
        </w:rPr>
        <w:t>Universidade de Brasília</w:t>
      </w:r>
      <w:r>
        <w:rPr>
          <w:sz w:val="24"/>
          <w:szCs w:val="24"/>
        </w:rPr>
        <w:t>.</w:t>
      </w:r>
    </w:p>
    <w:p w14:paraId="76B69ABF" w14:textId="2F89A190" w:rsidR="005304C2" w:rsidRPr="00CE7ED2" w:rsidRDefault="00377EE3" w:rsidP="00CB73D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377EE3">
        <w:rPr>
          <w:sz w:val="24"/>
          <w:szCs w:val="24"/>
          <w:vertAlign w:val="superscript"/>
        </w:rPr>
        <w:t>4</w:t>
      </w:r>
      <w:r w:rsidR="00302FD2" w:rsidRPr="00302FD2">
        <w:rPr>
          <w:sz w:val="24"/>
          <w:szCs w:val="24"/>
        </w:rPr>
        <w:t xml:space="preserve"> </w:t>
      </w:r>
      <w:r w:rsidR="00302FD2">
        <w:rPr>
          <w:sz w:val="24"/>
          <w:szCs w:val="24"/>
        </w:rPr>
        <w:t>Doutorando</w:t>
      </w:r>
      <w:r w:rsidR="004B3514">
        <w:rPr>
          <w:sz w:val="24"/>
          <w:szCs w:val="24"/>
        </w:rPr>
        <w:t xml:space="preserve"> em </w:t>
      </w:r>
      <w:r w:rsidR="00566F9E">
        <w:rPr>
          <w:sz w:val="24"/>
          <w:szCs w:val="24"/>
        </w:rPr>
        <w:t>Recursos Florestais</w:t>
      </w:r>
      <w:r w:rsidR="00302FD2" w:rsidRPr="00302FD2">
        <w:rPr>
          <w:sz w:val="24"/>
          <w:szCs w:val="24"/>
        </w:rPr>
        <w:t>, Universidade Federal Rural da Amazônia</w:t>
      </w:r>
      <w:r w:rsidR="004B3514">
        <w:rPr>
          <w:sz w:val="24"/>
          <w:szCs w:val="24"/>
        </w:rPr>
        <w:t xml:space="preserve"> campus Capitão Poço.</w:t>
      </w:r>
    </w:p>
    <w:p w14:paraId="50CD9040" w14:textId="794CEDC1" w:rsidR="00377EE3" w:rsidRPr="00CE7ED2" w:rsidRDefault="00377EE3" w:rsidP="00CB73D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Pr="00302FD2">
        <w:rPr>
          <w:sz w:val="24"/>
          <w:szCs w:val="24"/>
        </w:rPr>
        <w:t xml:space="preserve"> </w:t>
      </w:r>
      <w:r>
        <w:rPr>
          <w:sz w:val="24"/>
          <w:szCs w:val="24"/>
        </w:rPr>
        <w:t>Mestranda</w:t>
      </w:r>
      <w:r>
        <w:rPr>
          <w:sz w:val="24"/>
          <w:szCs w:val="24"/>
        </w:rPr>
        <w:t xml:space="preserve"> em Ciências Florestais</w:t>
      </w:r>
      <w:r w:rsidRPr="00302FD2">
        <w:rPr>
          <w:sz w:val="24"/>
          <w:szCs w:val="24"/>
        </w:rPr>
        <w:t>, Universidade Federal Rural da Amazônia</w:t>
      </w:r>
      <w:r>
        <w:rPr>
          <w:sz w:val="24"/>
          <w:szCs w:val="24"/>
        </w:rPr>
        <w:t xml:space="preserve"> campus </w:t>
      </w:r>
      <w:r>
        <w:rPr>
          <w:sz w:val="24"/>
          <w:szCs w:val="24"/>
        </w:rPr>
        <w:t>Belém</w:t>
      </w:r>
      <w:r>
        <w:rPr>
          <w:sz w:val="24"/>
          <w:szCs w:val="24"/>
        </w:rPr>
        <w:t>.</w:t>
      </w:r>
    </w:p>
    <w:p w14:paraId="76BC569E" w14:textId="0AFD73F5" w:rsidR="00377EE3" w:rsidRDefault="00377EE3" w:rsidP="00CB73D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 w:rsidRPr="00302FD2">
        <w:rPr>
          <w:sz w:val="24"/>
          <w:szCs w:val="24"/>
        </w:rPr>
        <w:t xml:space="preserve"> </w:t>
      </w:r>
      <w:r>
        <w:rPr>
          <w:sz w:val="24"/>
          <w:szCs w:val="24"/>
        </w:rPr>
        <w:t>Doutor em Ciências Florestais</w:t>
      </w:r>
      <w:r w:rsidRPr="00302FD2">
        <w:rPr>
          <w:sz w:val="24"/>
          <w:szCs w:val="24"/>
        </w:rPr>
        <w:t>, Universidade Federal Rural da Amazônia</w:t>
      </w:r>
      <w:r>
        <w:rPr>
          <w:sz w:val="24"/>
          <w:szCs w:val="24"/>
        </w:rPr>
        <w:t xml:space="preserve"> campus Capitão Poço.</w:t>
      </w:r>
    </w:p>
    <w:p w14:paraId="5CB0789A" w14:textId="41526D8E" w:rsidR="007A2758" w:rsidRDefault="007A2758" w:rsidP="007A2758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7</w:t>
      </w:r>
      <w:r w:rsidRPr="00020981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Doutora</w:t>
      </w:r>
      <w:r w:rsidR="00FF3A01">
        <w:rPr>
          <w:sz w:val="24"/>
          <w:szCs w:val="24"/>
        </w:rPr>
        <w:t xml:space="preserve"> </w:t>
      </w:r>
      <w:r w:rsidRPr="00020981">
        <w:rPr>
          <w:sz w:val="24"/>
          <w:szCs w:val="24"/>
        </w:rPr>
        <w:t xml:space="preserve">em </w:t>
      </w:r>
      <w:r>
        <w:rPr>
          <w:sz w:val="24"/>
          <w:szCs w:val="24"/>
        </w:rPr>
        <w:t>Engenharia Florestal</w:t>
      </w:r>
      <w:r>
        <w:rPr>
          <w:sz w:val="24"/>
          <w:szCs w:val="24"/>
        </w:rPr>
        <w:t>,</w:t>
      </w:r>
      <w:r w:rsidRPr="00020981">
        <w:t xml:space="preserve"> </w:t>
      </w:r>
      <w:r w:rsidRPr="00CE7ED2">
        <w:rPr>
          <w:sz w:val="24"/>
          <w:szCs w:val="24"/>
        </w:rPr>
        <w:t>Universidade de Brasília</w:t>
      </w:r>
      <w:r>
        <w:rPr>
          <w:sz w:val="24"/>
          <w:szCs w:val="24"/>
        </w:rPr>
        <w:t>.</w:t>
      </w:r>
    </w:p>
    <w:p w14:paraId="3D9D7579" w14:textId="77777777" w:rsidR="007A2758" w:rsidRPr="00CE7ED2" w:rsidRDefault="007A2758" w:rsidP="00CB73D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3C6FA943" w14:textId="77777777" w:rsidR="00FD4ED8" w:rsidRPr="00CE7ED2" w:rsidRDefault="00FD4ED8" w:rsidP="00CE7ED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0BBE92A3" w14:textId="49FE7A67" w:rsidR="00D45E44" w:rsidRPr="00D45E44" w:rsidRDefault="00D45E44" w:rsidP="00D45E44">
      <w:pPr>
        <w:jc w:val="both"/>
        <w:rPr>
          <w:sz w:val="24"/>
          <w:szCs w:val="24"/>
        </w:rPr>
      </w:pPr>
      <w:r w:rsidRPr="00D45E44">
        <w:rPr>
          <w:sz w:val="24"/>
          <w:szCs w:val="24"/>
        </w:rPr>
        <w:t xml:space="preserve">O presente estudo teve como objetivo ajustar e avaliar modelos baseados na Abordagem da Diferença Algébrica (ADA) para descrever o crescimento da altura dominante de povoamentos clonais de </w:t>
      </w:r>
      <w:r w:rsidRPr="00D45E44">
        <w:rPr>
          <w:i/>
          <w:iCs/>
          <w:sz w:val="24"/>
          <w:szCs w:val="24"/>
        </w:rPr>
        <w:t xml:space="preserve">Tectona grandis </w:t>
      </w:r>
      <w:r w:rsidRPr="00767DE4">
        <w:rPr>
          <w:sz w:val="24"/>
          <w:szCs w:val="24"/>
        </w:rPr>
        <w:t>Linn. f.</w:t>
      </w:r>
      <w:r w:rsidRPr="00D45E44">
        <w:rPr>
          <w:sz w:val="24"/>
          <w:szCs w:val="24"/>
        </w:rPr>
        <w:t xml:space="preserve"> na Amazônia Oriental. Foram utilizados dados provenientes de 58 parcelas permanentes monitoradas ao longo de dez anos. Três modelos base foram testados (Lundqvist–Korf, Chapman–Richards e Hossfeld), ajustados por meio de regressão não linear generalizada, considerando a estrutura autorregressiva dos resíduos. A seleção dos modelos foi realizada com base em critérios estatísticos e biológicos, incluindo o coeficiente de correlação (</w:t>
      </w:r>
      <w:r w:rsidRPr="00C35B1A">
        <w:rPr>
          <w:i/>
          <w:iCs/>
          <w:sz w:val="24"/>
          <w:szCs w:val="24"/>
        </w:rPr>
        <w:t>r</w:t>
      </w:r>
      <w:r w:rsidRPr="00D45E44">
        <w:rPr>
          <w:sz w:val="24"/>
          <w:szCs w:val="24"/>
        </w:rPr>
        <w:t>), o erro quadrático médio (</w:t>
      </w:r>
      <w:r w:rsidRPr="00C35B1A">
        <w:rPr>
          <w:i/>
          <w:iCs/>
          <w:sz w:val="24"/>
          <w:szCs w:val="24"/>
        </w:rPr>
        <w:t>RMSE</w:t>
      </w:r>
      <w:r w:rsidRPr="00D45E44">
        <w:rPr>
          <w:sz w:val="24"/>
          <w:szCs w:val="24"/>
        </w:rPr>
        <w:t>), o erro percentual médio (</w:t>
      </w:r>
      <w:r w:rsidRPr="00C35B1A">
        <w:rPr>
          <w:i/>
          <w:iCs/>
          <w:sz w:val="24"/>
          <w:szCs w:val="24"/>
        </w:rPr>
        <w:t>RMSPE</w:t>
      </w:r>
      <w:r w:rsidRPr="00D45E44">
        <w:rPr>
          <w:sz w:val="24"/>
          <w:szCs w:val="24"/>
        </w:rPr>
        <w:t>) e o critério de informação de Akaike (</w:t>
      </w:r>
      <w:r w:rsidRPr="00C35B1A">
        <w:rPr>
          <w:i/>
          <w:iCs/>
          <w:sz w:val="24"/>
          <w:szCs w:val="24"/>
        </w:rPr>
        <w:t>AIC</w:t>
      </w:r>
      <w:r w:rsidRPr="00D45E44">
        <w:rPr>
          <w:sz w:val="24"/>
          <w:szCs w:val="24"/>
        </w:rPr>
        <w:t xml:space="preserve">). O modelo de Hossfeld apresentou o melhor desempenho, com </w:t>
      </w:r>
      <w:r w:rsidRPr="00C65904">
        <w:rPr>
          <w:i/>
          <w:iCs/>
          <w:sz w:val="24"/>
          <w:szCs w:val="24"/>
        </w:rPr>
        <w:t>RMSE</w:t>
      </w:r>
      <w:r w:rsidRPr="00D45E44">
        <w:rPr>
          <w:sz w:val="24"/>
          <w:szCs w:val="24"/>
        </w:rPr>
        <w:t xml:space="preserve"> inferior a 1 m e </w:t>
      </w:r>
      <w:r w:rsidRPr="00C65904">
        <w:rPr>
          <w:i/>
          <w:iCs/>
          <w:sz w:val="24"/>
          <w:szCs w:val="24"/>
        </w:rPr>
        <w:t>RMSPE</w:t>
      </w:r>
      <w:r w:rsidRPr="00D45E44">
        <w:rPr>
          <w:sz w:val="24"/>
          <w:szCs w:val="24"/>
        </w:rPr>
        <w:t xml:space="preserve"> menor que 5%, além de coerência biológica nas curvas geradas. Os resultados indicam que a abordagem ADA é eficiente para representar o crescimento da altura dominante e pode ser utilizada como ferramenta para estimar o potencial produtivo de povoamentos clonais de teca na região amazônica.</w:t>
      </w:r>
    </w:p>
    <w:p w14:paraId="206C2C08" w14:textId="77777777" w:rsidR="00906E49" w:rsidRDefault="00906E49" w:rsidP="0095131E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</w:p>
    <w:p w14:paraId="070329B4" w14:textId="77777777" w:rsidR="00906E49" w:rsidRPr="00C70367" w:rsidRDefault="003949CE" w:rsidP="00906E49">
      <w:pPr>
        <w:jc w:val="both"/>
      </w:pPr>
      <w:r>
        <w:rPr>
          <w:b/>
          <w:sz w:val="24"/>
          <w:szCs w:val="24"/>
        </w:rPr>
        <w:t xml:space="preserve">Palavras-chave: </w:t>
      </w:r>
      <w:r w:rsidR="00906E49" w:rsidRPr="00C70367">
        <w:t>teca; equações dinâmicas; crescimento florestal; modelagem; regressão não linear.</w:t>
      </w:r>
    </w:p>
    <w:p w14:paraId="71340687" w14:textId="1F638ECC" w:rsidR="003949CE" w:rsidRDefault="003949CE" w:rsidP="0095131E">
      <w:pP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73EB5E4E" w14:textId="717ADA60" w:rsidR="003949CE" w:rsidRDefault="003949CE" w:rsidP="003949CE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 w:rsidRPr="00A34E31">
        <w:rPr>
          <w:b/>
          <w:sz w:val="24"/>
          <w:szCs w:val="24"/>
        </w:rPr>
        <w:t>Área de Interesse do Simpósio</w:t>
      </w:r>
      <w:r w:rsidRPr="00A34E31">
        <w:rPr>
          <w:sz w:val="24"/>
          <w:szCs w:val="24"/>
        </w:rPr>
        <w:t xml:space="preserve">: </w:t>
      </w:r>
      <w:r w:rsidR="000A1B4B" w:rsidRPr="00A34E31">
        <w:rPr>
          <w:sz w:val="24"/>
          <w:szCs w:val="24"/>
        </w:rPr>
        <w:t>Ciências Agr</w:t>
      </w:r>
      <w:r w:rsidR="000436E8" w:rsidRPr="00A34E31">
        <w:rPr>
          <w:sz w:val="24"/>
          <w:szCs w:val="24"/>
        </w:rPr>
        <w:t>á</w:t>
      </w:r>
      <w:r w:rsidR="000A1B4B" w:rsidRPr="00A34E31">
        <w:rPr>
          <w:sz w:val="24"/>
          <w:szCs w:val="24"/>
        </w:rPr>
        <w:t>rias</w:t>
      </w:r>
      <w:r w:rsidR="00A34E31" w:rsidRPr="00A34E31">
        <w:rPr>
          <w:sz w:val="24"/>
          <w:szCs w:val="24"/>
        </w:rPr>
        <w:t>.</w:t>
      </w:r>
    </w:p>
    <w:p w14:paraId="45B27B6B" w14:textId="39ED686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  <w:r>
        <w:br w:type="page"/>
      </w:r>
    </w:p>
    <w:p w14:paraId="6B35A14B" w14:textId="7E177D07" w:rsidR="003949CE" w:rsidRDefault="003949CE" w:rsidP="00906E4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INTRODUÇÃO </w:t>
      </w:r>
    </w:p>
    <w:p w14:paraId="66F528DA" w14:textId="20DC636A" w:rsidR="00906E49" w:rsidRDefault="003949CE" w:rsidP="00906E49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6E49" w:rsidRPr="00906E49">
        <w:rPr>
          <w:sz w:val="24"/>
          <w:szCs w:val="24"/>
        </w:rPr>
        <w:t xml:space="preserve">O estudo do crescimento e da produção florestal é essencial para o manejo sustentável de plantações comerciais, permitindo o planejamento racional da colheita e a previsão de rendimentos. No caso da </w:t>
      </w:r>
      <w:r w:rsidR="00906E49" w:rsidRPr="00BD4817">
        <w:rPr>
          <w:i/>
          <w:iCs/>
          <w:sz w:val="24"/>
          <w:szCs w:val="24"/>
        </w:rPr>
        <w:t>Tectona grandis</w:t>
      </w:r>
      <w:r w:rsidR="00906E49" w:rsidRPr="00906E49">
        <w:rPr>
          <w:sz w:val="24"/>
          <w:szCs w:val="24"/>
        </w:rPr>
        <w:t xml:space="preserve"> Linn. </w:t>
      </w:r>
      <w:r w:rsidR="00BD4817">
        <w:rPr>
          <w:sz w:val="24"/>
          <w:szCs w:val="24"/>
        </w:rPr>
        <w:t>F</w:t>
      </w:r>
      <w:r w:rsidR="00906E49" w:rsidRPr="00906E49">
        <w:rPr>
          <w:sz w:val="24"/>
          <w:szCs w:val="24"/>
        </w:rPr>
        <w:t xml:space="preserve">. (teca), espécie de alto valor econômico e crescente expansão na Amazônia brasileira, compreender o </w:t>
      </w:r>
      <w:r w:rsidR="00906E49" w:rsidRPr="00545549">
        <w:rPr>
          <w:sz w:val="24"/>
          <w:szCs w:val="24"/>
        </w:rPr>
        <w:t xml:space="preserve">comportamento do crescimento em altura dominante é fundamental para caracterizar a produtividade dos sítios e subsidiar modelos de crescimento e produção </w:t>
      </w:r>
      <w:r w:rsidR="00041C6F" w:rsidRPr="00545549">
        <w:rPr>
          <w:sz w:val="24"/>
          <w:szCs w:val="24"/>
        </w:rPr>
        <w:t>(</w:t>
      </w:r>
      <w:r w:rsidR="00F14FC7" w:rsidRPr="00545549">
        <w:t>MIDGLEY</w:t>
      </w:r>
      <w:r w:rsidR="00041C6F" w:rsidRPr="00545549">
        <w:rPr>
          <w:sz w:val="24"/>
          <w:szCs w:val="24"/>
        </w:rPr>
        <w:t xml:space="preserve"> </w:t>
      </w:r>
      <w:proofErr w:type="spellStart"/>
      <w:r w:rsidR="00041C6F" w:rsidRPr="00545549">
        <w:rPr>
          <w:sz w:val="24"/>
          <w:szCs w:val="24"/>
        </w:rPr>
        <w:t>et</w:t>
      </w:r>
      <w:proofErr w:type="spellEnd"/>
      <w:r w:rsidR="00041C6F" w:rsidRPr="00545549">
        <w:rPr>
          <w:sz w:val="24"/>
          <w:szCs w:val="24"/>
        </w:rPr>
        <w:t xml:space="preserve"> al., 2015; </w:t>
      </w:r>
      <w:r w:rsidR="00F14FC7" w:rsidRPr="00545549">
        <w:rPr>
          <w:sz w:val="24"/>
          <w:szCs w:val="24"/>
        </w:rPr>
        <w:t>KOLLERT</w:t>
      </w:r>
      <w:r w:rsidR="004749FA" w:rsidRPr="00545549">
        <w:rPr>
          <w:sz w:val="24"/>
          <w:szCs w:val="24"/>
        </w:rPr>
        <w:t xml:space="preserve"> e </w:t>
      </w:r>
      <w:r w:rsidR="00F14FC7" w:rsidRPr="00545549">
        <w:rPr>
          <w:sz w:val="24"/>
          <w:szCs w:val="24"/>
        </w:rPr>
        <w:t>KEINE</w:t>
      </w:r>
      <w:r w:rsidR="004749FA" w:rsidRPr="00545549">
        <w:rPr>
          <w:sz w:val="24"/>
          <w:szCs w:val="24"/>
        </w:rPr>
        <w:t xml:space="preserve"> 2017; </w:t>
      </w:r>
      <w:r w:rsidR="00F14FC7" w:rsidRPr="00545549">
        <w:rPr>
          <w:sz w:val="24"/>
          <w:szCs w:val="24"/>
        </w:rPr>
        <w:t>MIDGLEY</w:t>
      </w:r>
      <w:r w:rsidR="004749FA" w:rsidRPr="00545549">
        <w:rPr>
          <w:sz w:val="24"/>
          <w:szCs w:val="24"/>
        </w:rPr>
        <w:t xml:space="preserve"> </w:t>
      </w:r>
      <w:proofErr w:type="spellStart"/>
      <w:r w:rsidR="004749FA" w:rsidRPr="00545549">
        <w:rPr>
          <w:sz w:val="24"/>
          <w:szCs w:val="24"/>
        </w:rPr>
        <w:t>et</w:t>
      </w:r>
      <w:proofErr w:type="spellEnd"/>
      <w:r w:rsidR="004749FA" w:rsidRPr="00545549">
        <w:rPr>
          <w:sz w:val="24"/>
          <w:szCs w:val="24"/>
        </w:rPr>
        <w:t xml:space="preserve"> al.</w:t>
      </w:r>
      <w:r w:rsidR="00545549" w:rsidRPr="00545549">
        <w:rPr>
          <w:sz w:val="24"/>
          <w:szCs w:val="24"/>
        </w:rPr>
        <w:t>,</w:t>
      </w:r>
      <w:r w:rsidR="004749FA" w:rsidRPr="00545549">
        <w:rPr>
          <w:sz w:val="24"/>
          <w:szCs w:val="24"/>
        </w:rPr>
        <w:t xml:space="preserve"> </w:t>
      </w:r>
      <w:r w:rsidR="00545549" w:rsidRPr="00545549">
        <w:rPr>
          <w:sz w:val="24"/>
          <w:szCs w:val="24"/>
        </w:rPr>
        <w:t>2015)</w:t>
      </w:r>
      <w:r w:rsidR="00906E49" w:rsidRPr="00545549">
        <w:rPr>
          <w:sz w:val="24"/>
          <w:szCs w:val="24"/>
        </w:rPr>
        <w:t>.</w:t>
      </w:r>
    </w:p>
    <w:p w14:paraId="466293EA" w14:textId="784DB4EC" w:rsidR="005B2585" w:rsidRDefault="005B2585" w:rsidP="00906E49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B2585">
        <w:rPr>
          <w:sz w:val="24"/>
          <w:szCs w:val="24"/>
        </w:rPr>
        <w:t xml:space="preserve">Apesar da grande aptidão que a teca tem para a produção de madeira em larga escala, é crucial adotar ferramentas e técnicas avançadas de manejo </w:t>
      </w:r>
      <w:proofErr w:type="spellStart"/>
      <w:r w:rsidRPr="005B2585">
        <w:rPr>
          <w:sz w:val="24"/>
          <w:szCs w:val="24"/>
        </w:rPr>
        <w:t>silvicultural</w:t>
      </w:r>
      <w:proofErr w:type="spellEnd"/>
      <w:r w:rsidRPr="005B2585">
        <w:rPr>
          <w:sz w:val="24"/>
          <w:szCs w:val="24"/>
        </w:rPr>
        <w:t xml:space="preserve"> com o objetivo de garantir o estabelecimento, crescimento e produção bem-sucedidos </w:t>
      </w:r>
      <w:r w:rsidR="005A4969">
        <w:rPr>
          <w:sz w:val="24"/>
          <w:szCs w:val="24"/>
        </w:rPr>
        <w:t>(</w:t>
      </w:r>
      <w:r w:rsidR="005A4969" w:rsidRPr="00B410D2">
        <w:t>TEWARI</w:t>
      </w:r>
      <w:r w:rsidR="005A4969">
        <w:t xml:space="preserve"> </w:t>
      </w:r>
      <w:proofErr w:type="spellStart"/>
      <w:r w:rsidR="00F14FC7">
        <w:t>et</w:t>
      </w:r>
      <w:proofErr w:type="spellEnd"/>
      <w:r w:rsidR="00F14FC7">
        <w:t xml:space="preserve"> al., 20</w:t>
      </w:r>
      <w:r w:rsidR="005A4969">
        <w:t>14)</w:t>
      </w:r>
      <w:r w:rsidRPr="005B2585">
        <w:rPr>
          <w:sz w:val="24"/>
          <w:szCs w:val="24"/>
        </w:rPr>
        <w:t xml:space="preserve">. Nesse sentido, informações sobre o comportamento </w:t>
      </w:r>
      <w:proofErr w:type="spellStart"/>
      <w:r w:rsidRPr="005B2585">
        <w:rPr>
          <w:sz w:val="24"/>
          <w:szCs w:val="24"/>
        </w:rPr>
        <w:t>silvicultural</w:t>
      </w:r>
      <w:proofErr w:type="spellEnd"/>
      <w:r w:rsidRPr="005B2585">
        <w:rPr>
          <w:sz w:val="24"/>
          <w:szCs w:val="24"/>
        </w:rPr>
        <w:t xml:space="preserve"> dessa espécie arbórea, aliadas a técnicas avançadas de modelagem matemática, têm sido de extrema importância para estratégias de otimização da produção de teca </w:t>
      </w:r>
      <w:r w:rsidR="002511A2">
        <w:rPr>
          <w:sz w:val="24"/>
          <w:szCs w:val="24"/>
        </w:rPr>
        <w:t>(</w:t>
      </w:r>
      <w:r w:rsidR="002511A2" w:rsidRPr="00B410D2">
        <w:t>KENZO</w:t>
      </w:r>
      <w:r w:rsidR="005A4969">
        <w:t xml:space="preserve"> </w:t>
      </w:r>
      <w:proofErr w:type="spellStart"/>
      <w:r w:rsidR="005A4969">
        <w:t>et</w:t>
      </w:r>
      <w:proofErr w:type="spellEnd"/>
      <w:r w:rsidR="005A4969">
        <w:t xml:space="preserve"> al. 2020</w:t>
      </w:r>
      <w:r w:rsidR="002511A2">
        <w:t xml:space="preserve">; KOIRALA </w:t>
      </w:r>
      <w:proofErr w:type="spellStart"/>
      <w:r w:rsidR="002511A2">
        <w:t>et</w:t>
      </w:r>
      <w:proofErr w:type="spellEnd"/>
      <w:r w:rsidR="002511A2">
        <w:t xml:space="preserve"> al. 2021</w:t>
      </w:r>
      <w:r w:rsidR="005A4969">
        <w:t>)</w:t>
      </w:r>
      <w:r w:rsidRPr="005B2585">
        <w:rPr>
          <w:sz w:val="24"/>
          <w:szCs w:val="24"/>
        </w:rPr>
        <w:t xml:space="preserve">. Requer um avanço dessas técnicas, especialmente para povoamentos clonais dessas espécies arbóreas, dado o maior potencial desses povoamentos para alavancar a produtividade </w:t>
      </w:r>
      <w:proofErr w:type="spellStart"/>
      <w:r w:rsidR="002849EE" w:rsidRPr="00B410D2">
        <w:t>Mulyadiana</w:t>
      </w:r>
      <w:proofErr w:type="spellEnd"/>
      <w:r w:rsidR="002849EE">
        <w:t xml:space="preserve"> </w:t>
      </w:r>
      <w:proofErr w:type="spellStart"/>
      <w:r w:rsidR="002849EE">
        <w:t>et</w:t>
      </w:r>
      <w:proofErr w:type="spellEnd"/>
      <w:r w:rsidR="002849EE">
        <w:t xml:space="preserve"> al. (</w:t>
      </w:r>
      <w:r w:rsidR="003E5A1C">
        <w:t>2020)</w:t>
      </w:r>
      <w:r w:rsidRPr="005B2585">
        <w:rPr>
          <w:sz w:val="24"/>
          <w:szCs w:val="24"/>
        </w:rPr>
        <w:t xml:space="preserve"> em comparação com os povoamentos seminais.</w:t>
      </w:r>
    </w:p>
    <w:p w14:paraId="1421B7BA" w14:textId="4352C668" w:rsidR="000D2257" w:rsidRPr="00906E49" w:rsidRDefault="000D2257" w:rsidP="00906E49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D2257">
        <w:rPr>
          <w:sz w:val="24"/>
          <w:szCs w:val="24"/>
        </w:rPr>
        <w:t xml:space="preserve">Como alternativa ao método da curva guia, os autores </w:t>
      </w:r>
      <w:proofErr w:type="spellStart"/>
      <w:r w:rsidR="003E5A1C" w:rsidRPr="00B410D2">
        <w:t>Cieszewski</w:t>
      </w:r>
      <w:proofErr w:type="spellEnd"/>
      <w:r w:rsidR="003E5A1C">
        <w:t xml:space="preserve"> e </w:t>
      </w:r>
      <w:r w:rsidR="003E5A1C" w:rsidRPr="00B410D2">
        <w:t>Bella</w:t>
      </w:r>
      <w:r w:rsidR="003E5A1C">
        <w:t xml:space="preserve"> (1989)</w:t>
      </w:r>
      <w:r w:rsidRPr="000D2257">
        <w:rPr>
          <w:sz w:val="24"/>
          <w:szCs w:val="24"/>
        </w:rPr>
        <w:t xml:space="preserve"> propuseram uma abordagem algébrica baseada em diferenças (ADA). Este método consiste na derivação de equações dinâmicas, permitindo a substituição de parâmetros de equação e geração de curvas anamórficas ou polimórficas. Curvas polimórficas podem descrever o crescimento em altura dominante de espécies florestais de madeira de lei, como a teca, que, via de regra, apresenta crescimento dinâmico que muda em resposta ao ambiente e às práticas </w:t>
      </w:r>
      <w:proofErr w:type="spellStart"/>
      <w:r w:rsidRPr="000D2257">
        <w:rPr>
          <w:sz w:val="24"/>
          <w:szCs w:val="24"/>
        </w:rPr>
        <w:t>silviculturais</w:t>
      </w:r>
      <w:proofErr w:type="spellEnd"/>
      <w:r w:rsidRPr="000D2257">
        <w:rPr>
          <w:sz w:val="24"/>
          <w:szCs w:val="24"/>
        </w:rPr>
        <w:t xml:space="preserve"> </w:t>
      </w:r>
      <w:r w:rsidR="008667C0">
        <w:rPr>
          <w:sz w:val="24"/>
          <w:szCs w:val="24"/>
        </w:rPr>
        <w:t>(</w:t>
      </w:r>
      <w:r w:rsidR="008667C0" w:rsidRPr="00B410D2">
        <w:t>SALEKIN</w:t>
      </w:r>
      <w:r w:rsidR="008667C0">
        <w:t xml:space="preserve"> </w:t>
      </w:r>
      <w:proofErr w:type="spellStart"/>
      <w:r w:rsidR="008667C0">
        <w:t>et</w:t>
      </w:r>
      <w:proofErr w:type="spellEnd"/>
      <w:r w:rsidR="008667C0">
        <w:t xml:space="preserve"> al. 2020)</w:t>
      </w:r>
      <w:r w:rsidRPr="000D2257">
        <w:rPr>
          <w:sz w:val="24"/>
          <w:szCs w:val="24"/>
        </w:rPr>
        <w:t xml:space="preserve">. </w:t>
      </w:r>
    </w:p>
    <w:p w14:paraId="0E5E3F30" w14:textId="48A2ACE1" w:rsidR="003949CE" w:rsidRDefault="00975DFA" w:rsidP="00906E49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6E49" w:rsidRPr="00906E49">
        <w:rPr>
          <w:sz w:val="24"/>
          <w:szCs w:val="24"/>
        </w:rPr>
        <w:t>Neste contexto, o presente trabalho teve como objetivo ajustar e avaliar o desempenho de modelos de diferença algébrica aplicados ao crescimento em altura dominante de Tectona grandis na Amazônia Oriental, a fim de selecionar o modelo mais adequado para descrever o comportamento de crescimento da espécie na região.</w:t>
      </w:r>
    </w:p>
    <w:p w14:paraId="0ED8DCE2" w14:textId="77777777" w:rsidR="003949CE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14:paraId="40C4E795" w14:textId="77777777" w:rsidR="00060C30" w:rsidRDefault="003949CE" w:rsidP="00060C30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MATERIAL E MÉTODOS </w:t>
      </w:r>
    </w:p>
    <w:p w14:paraId="23835B79" w14:textId="799AB374" w:rsidR="00060C30" w:rsidRDefault="00060C30" w:rsidP="00060C30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rPr>
          <w:b/>
          <w:bCs/>
          <w:sz w:val="24"/>
          <w:szCs w:val="24"/>
        </w:rPr>
      </w:pPr>
      <w:r w:rsidRPr="00060C30">
        <w:rPr>
          <w:b/>
          <w:bCs/>
          <w:sz w:val="24"/>
          <w:szCs w:val="24"/>
        </w:rPr>
        <w:t xml:space="preserve">2.1. </w:t>
      </w:r>
      <w:r w:rsidR="00DB0477" w:rsidRPr="00060C30">
        <w:rPr>
          <w:b/>
          <w:bCs/>
          <w:sz w:val="24"/>
          <w:szCs w:val="24"/>
        </w:rPr>
        <w:t>Área de estudo e base de dados</w:t>
      </w:r>
    </w:p>
    <w:p w14:paraId="04E1A2A0" w14:textId="7D132BD7" w:rsidR="00060C30" w:rsidRDefault="00060C30" w:rsidP="00060C30">
      <w:pPr>
        <w:spacing w:line="360" w:lineRule="auto"/>
        <w:ind w:firstLine="720"/>
        <w:jc w:val="both"/>
        <w:rPr>
          <w:sz w:val="24"/>
          <w:szCs w:val="24"/>
        </w:rPr>
      </w:pPr>
      <w:r w:rsidRPr="00060C30">
        <w:rPr>
          <w:sz w:val="24"/>
          <w:szCs w:val="24"/>
        </w:rPr>
        <w:t xml:space="preserve">O estudo foi realizado com dados de povoamentos clonais de </w:t>
      </w:r>
      <w:r w:rsidR="00FD2830" w:rsidRPr="00FD2830">
        <w:rPr>
          <w:sz w:val="24"/>
          <w:szCs w:val="24"/>
        </w:rPr>
        <w:t>teca</w:t>
      </w:r>
      <w:r w:rsidRPr="00060C30">
        <w:rPr>
          <w:sz w:val="24"/>
          <w:szCs w:val="24"/>
        </w:rPr>
        <w:t xml:space="preserve"> localizados na região amazônica, sob clima tropical úmido (Af), com precipitação média anual superior a 2.000 mm e temperatura média de 26 °C. O solo predominante é do tipo Latossolo Amarelo de textura média a argilosa.</w:t>
      </w:r>
    </w:p>
    <w:p w14:paraId="625CFC5A" w14:textId="77777777" w:rsidR="00C05E71" w:rsidRDefault="00C05E71" w:rsidP="00C05E71">
      <w:pPr>
        <w:spacing w:line="360" w:lineRule="auto"/>
        <w:jc w:val="both"/>
      </w:pPr>
    </w:p>
    <w:p w14:paraId="57CBD5C6" w14:textId="534D9514" w:rsidR="00C05E71" w:rsidRDefault="00C05E71" w:rsidP="00C05E71">
      <w:pPr>
        <w:spacing w:line="360" w:lineRule="auto"/>
        <w:jc w:val="both"/>
        <w:rPr>
          <w:sz w:val="24"/>
          <w:szCs w:val="24"/>
        </w:rPr>
      </w:pPr>
      <w:r w:rsidRPr="00060C30">
        <w:t xml:space="preserve">Figura 1. </w:t>
      </w:r>
      <w:r w:rsidRPr="00556469">
        <w:t>Localização da área de estudo no município de Capitão Poço, estado do Pará, Amazônia Oriental Brasileira.</w:t>
      </w:r>
    </w:p>
    <w:p w14:paraId="048242AC" w14:textId="75FF2217" w:rsidR="00060C30" w:rsidRPr="00060C30" w:rsidRDefault="00060C30" w:rsidP="00ED4E2E">
      <w:pPr>
        <w:spacing w:line="360" w:lineRule="auto"/>
        <w:ind w:firstLine="426"/>
        <w:jc w:val="both"/>
        <w:rPr>
          <w:sz w:val="24"/>
          <w:szCs w:val="24"/>
        </w:rPr>
      </w:pPr>
      <w:r w:rsidRPr="00B410D2">
        <w:rPr>
          <w:noProof/>
        </w:rPr>
        <w:drawing>
          <wp:inline distT="0" distB="0" distL="0" distR="0" wp14:anchorId="26CECDCD" wp14:editId="30C50335">
            <wp:extent cx="4959147" cy="3739156"/>
            <wp:effectExtent l="0" t="0" r="0" b="0"/>
            <wp:docPr id="2046034903" name="Imagem 1" descr="Map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034903" name="Imagem 1" descr="Map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0" r="12604"/>
                    <a:stretch/>
                  </pic:blipFill>
                  <pic:spPr bwMode="auto">
                    <a:xfrm>
                      <a:off x="0" y="0"/>
                      <a:ext cx="4959147" cy="373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F248D9" w14:textId="24629BC9" w:rsidR="00060C30" w:rsidRPr="00C05E71" w:rsidRDefault="00ED4E2E" w:rsidP="008E786B">
      <w:pPr>
        <w:pBdr>
          <w:bottom w:val="none" w:sz="0" w:space="6" w:color="000000"/>
        </w:pBdr>
        <w:shd w:val="clear" w:color="auto" w:fill="FFFFFF"/>
        <w:tabs>
          <w:tab w:val="left" w:pos="2500"/>
        </w:tabs>
        <w:jc w:val="both"/>
      </w:pPr>
      <w:r w:rsidRPr="00C05E71">
        <w:t xml:space="preserve">Fonte: </w:t>
      </w:r>
      <w:r w:rsidR="00556469" w:rsidRPr="00C05E71">
        <w:t>Santos</w:t>
      </w:r>
      <w:r w:rsidRPr="00C05E71">
        <w:t xml:space="preserve">, </w:t>
      </w:r>
      <w:r w:rsidR="00556469" w:rsidRPr="00C05E71">
        <w:t>2022</w:t>
      </w:r>
      <w:r w:rsidRPr="00C05E71">
        <w:t xml:space="preserve">. </w:t>
      </w:r>
    </w:p>
    <w:p w14:paraId="0B6E3511" w14:textId="77777777" w:rsidR="00556469" w:rsidRDefault="00556469" w:rsidP="00060C30">
      <w:pPr>
        <w:spacing w:line="360" w:lineRule="auto"/>
        <w:ind w:firstLine="708"/>
        <w:jc w:val="both"/>
        <w:rPr>
          <w:sz w:val="24"/>
          <w:szCs w:val="24"/>
        </w:rPr>
      </w:pPr>
    </w:p>
    <w:p w14:paraId="5C082F2F" w14:textId="4AB1BFF0" w:rsidR="00060C30" w:rsidRDefault="00060C30" w:rsidP="00060C30">
      <w:pPr>
        <w:spacing w:line="360" w:lineRule="auto"/>
        <w:ind w:firstLine="708"/>
        <w:jc w:val="both"/>
        <w:rPr>
          <w:sz w:val="24"/>
          <w:szCs w:val="24"/>
        </w:rPr>
      </w:pPr>
      <w:r w:rsidRPr="00060C30">
        <w:rPr>
          <w:sz w:val="24"/>
          <w:szCs w:val="24"/>
        </w:rPr>
        <w:t xml:space="preserve">Foram </w:t>
      </w:r>
      <w:r w:rsidRPr="00556469">
        <w:rPr>
          <w:sz w:val="24"/>
          <w:szCs w:val="24"/>
        </w:rPr>
        <w:t xml:space="preserve">utilizadas 58 parcelas permanentes de </w:t>
      </w:r>
      <w:r w:rsidR="00EE025B">
        <w:rPr>
          <w:sz w:val="24"/>
          <w:szCs w:val="24"/>
        </w:rPr>
        <w:t>5</w:t>
      </w:r>
      <w:r w:rsidRPr="00556469">
        <w:rPr>
          <w:sz w:val="24"/>
          <w:szCs w:val="24"/>
        </w:rPr>
        <w:t>00 m², medidas entre 2013 e 2023. A variável de interesse foi a altura dominante (Hd),</w:t>
      </w:r>
      <w:r w:rsidRPr="00060C30">
        <w:rPr>
          <w:sz w:val="24"/>
          <w:szCs w:val="24"/>
        </w:rPr>
        <w:t xml:space="preserve"> definida como a média das alturas das 100 árvores mais altas por hectare</w:t>
      </w:r>
      <w:r w:rsidR="00E13641">
        <w:rPr>
          <w:sz w:val="24"/>
          <w:szCs w:val="24"/>
        </w:rPr>
        <w:t xml:space="preserve"> (ASSMAN, </w:t>
      </w:r>
      <w:r w:rsidR="002F2AC2">
        <w:rPr>
          <w:sz w:val="24"/>
          <w:szCs w:val="24"/>
        </w:rPr>
        <w:t>1970</w:t>
      </w:r>
      <w:r w:rsidR="00E13641">
        <w:rPr>
          <w:sz w:val="24"/>
          <w:szCs w:val="24"/>
        </w:rPr>
        <w:t>)</w:t>
      </w:r>
      <w:r w:rsidRPr="00060C30">
        <w:rPr>
          <w:sz w:val="24"/>
          <w:szCs w:val="24"/>
        </w:rPr>
        <w:t>. As idades variaram de 2 a 14 anos, abrangendo uma ampla faixa de desenvolvimento da espécie.</w:t>
      </w:r>
    </w:p>
    <w:p w14:paraId="7A532669" w14:textId="77777777" w:rsidR="00ED4E2E" w:rsidRPr="00060C30" w:rsidRDefault="00ED4E2E" w:rsidP="00060C30">
      <w:pPr>
        <w:spacing w:line="360" w:lineRule="auto"/>
        <w:ind w:firstLine="708"/>
        <w:jc w:val="both"/>
        <w:rPr>
          <w:sz w:val="24"/>
          <w:szCs w:val="24"/>
        </w:rPr>
      </w:pPr>
    </w:p>
    <w:p w14:paraId="76F0B272" w14:textId="5AC8DC82" w:rsidR="00ED4E2E" w:rsidRDefault="00ED4E2E" w:rsidP="00ED4E2E">
      <w:pPr>
        <w:jc w:val="both"/>
        <w:rPr>
          <w:b/>
          <w:bCs/>
          <w:sz w:val="24"/>
          <w:szCs w:val="24"/>
        </w:rPr>
      </w:pPr>
      <w:r w:rsidRPr="00060C30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>2</w:t>
      </w:r>
      <w:r w:rsidRPr="00060C3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ED4E2E">
        <w:rPr>
          <w:b/>
          <w:bCs/>
          <w:sz w:val="24"/>
          <w:szCs w:val="24"/>
        </w:rPr>
        <w:t>MODELOS DE CRESCIMENTO AVALIADOS</w:t>
      </w:r>
    </w:p>
    <w:p w14:paraId="394F203C" w14:textId="20D1FF57" w:rsidR="00ED4E2E" w:rsidRDefault="00ED4E2E" w:rsidP="00ED4E2E">
      <w:pPr>
        <w:spacing w:line="360" w:lineRule="auto"/>
        <w:ind w:firstLine="720"/>
        <w:jc w:val="both"/>
        <w:rPr>
          <w:sz w:val="24"/>
          <w:szCs w:val="24"/>
        </w:rPr>
      </w:pPr>
      <w:r w:rsidRPr="00ED4E2E">
        <w:rPr>
          <w:sz w:val="24"/>
          <w:szCs w:val="24"/>
        </w:rPr>
        <w:t xml:space="preserve">Foram </w:t>
      </w:r>
      <w:r w:rsidR="00E13641">
        <w:rPr>
          <w:sz w:val="24"/>
          <w:szCs w:val="24"/>
        </w:rPr>
        <w:t>ajustados</w:t>
      </w:r>
      <w:r w:rsidRPr="00ED4E2E">
        <w:rPr>
          <w:sz w:val="24"/>
          <w:szCs w:val="24"/>
        </w:rPr>
        <w:t xml:space="preserve"> três modelos base de crescimento, reparametrizados segundo a Abordagem da Diferença Algébrica (ADA):</w:t>
      </w:r>
    </w:p>
    <w:p w14:paraId="5EC3BC68" w14:textId="77777777" w:rsidR="00556469" w:rsidRDefault="00556469" w:rsidP="00136A69">
      <w:pPr>
        <w:widowControl/>
        <w:spacing w:line="259" w:lineRule="auto"/>
        <w:jc w:val="both"/>
      </w:pPr>
    </w:p>
    <w:p w14:paraId="00B5E60D" w14:textId="5D64724A" w:rsidR="00136A69" w:rsidRDefault="00136A69" w:rsidP="00136A69">
      <w:pPr>
        <w:widowControl/>
        <w:spacing w:line="259" w:lineRule="auto"/>
        <w:jc w:val="both"/>
        <w:rPr>
          <w:color w:val="FF0000"/>
        </w:rPr>
      </w:pPr>
      <w:r>
        <w:t>Tabela 1</w:t>
      </w:r>
      <w:r>
        <w:rPr>
          <w:b/>
        </w:rPr>
        <w:t xml:space="preserve"> – </w:t>
      </w:r>
      <w:r w:rsidRPr="00136A69">
        <w:rPr>
          <w:bCs/>
        </w:rPr>
        <w:t>Modelos de crescimento em altura dominante selecionados para ajustar dados de plantações clonais de teca na Amazônia Oriental Brasileira.</w:t>
      </w:r>
      <w:r w:rsidR="0032368C">
        <w:rPr>
          <w:bCs/>
        </w:rPr>
        <w:t xml:space="preserve"> </w:t>
      </w:r>
    </w:p>
    <w:p w14:paraId="5D472A02" w14:textId="77777777" w:rsidR="00136A69" w:rsidRDefault="00136A69" w:rsidP="00136A69">
      <w:pPr>
        <w:widowControl/>
        <w:spacing w:line="259" w:lineRule="auto"/>
        <w:jc w:val="both"/>
        <w:rPr>
          <w:color w:val="FF0000"/>
        </w:rPr>
      </w:pPr>
    </w:p>
    <w:tbl>
      <w:tblPr>
        <w:tblW w:w="9072" w:type="dxa"/>
        <w:tblBorders>
          <w:top w:val="single" w:sz="8" w:space="0" w:color="000000"/>
          <w:bottom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842"/>
        <w:gridCol w:w="1843"/>
        <w:gridCol w:w="1985"/>
        <w:gridCol w:w="2409"/>
      </w:tblGrid>
      <w:tr w:rsidR="00136A69" w14:paraId="66137D6F" w14:textId="77777777" w:rsidTr="005C0F70">
        <w:trPr>
          <w:trHeight w:val="376"/>
        </w:trPr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E236BCB" w14:textId="73F0BF85" w:rsidR="00136A69" w:rsidRDefault="00136A69" w:rsidP="004115B3">
            <w:pPr>
              <w:widowControl/>
              <w:spacing w:after="160" w:line="360" w:lineRule="auto"/>
              <w:jc w:val="both"/>
              <w:rPr>
                <w:b/>
              </w:rPr>
            </w:pPr>
            <w:r>
              <w:rPr>
                <w:b/>
              </w:rPr>
              <w:t>Modelo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FEAFA3F" w14:textId="4C97FE2F" w:rsidR="00136A69" w:rsidRDefault="00136A69" w:rsidP="004115B3">
            <w:pPr>
              <w:widowControl/>
              <w:spacing w:after="160" w:line="360" w:lineRule="auto"/>
              <w:jc w:val="center"/>
              <w:rPr>
                <w:b/>
              </w:rPr>
            </w:pPr>
            <w:r w:rsidRPr="00136A69">
              <w:rPr>
                <w:b/>
              </w:rPr>
              <w:t>Modelo Base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48F493B" w14:textId="20A014B7" w:rsidR="00136A69" w:rsidRDefault="00136A69" w:rsidP="004115B3">
            <w:pPr>
              <w:widowControl/>
              <w:spacing w:after="160" w:line="360" w:lineRule="auto"/>
              <w:jc w:val="center"/>
              <w:rPr>
                <w:b/>
              </w:rPr>
            </w:pPr>
            <w:r w:rsidRPr="00136A69">
              <w:rPr>
                <w:b/>
              </w:rPr>
              <w:t>Parâmetros Relacionados à Variável Alvo X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7F95080" w14:textId="3E6857A1" w:rsidR="00136A69" w:rsidRDefault="00191570" w:rsidP="004115B3">
            <w:pPr>
              <w:widowControl/>
              <w:spacing w:after="160" w:line="360" w:lineRule="auto"/>
              <w:jc w:val="center"/>
              <w:rPr>
                <w:b/>
              </w:rPr>
            </w:pPr>
            <w:r w:rsidRPr="00191570">
              <w:rPr>
                <w:b/>
              </w:rPr>
              <w:t>Solução Inicial para X com Y₀ e t₀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291FFE9" w14:textId="5EA2F20B" w:rsidR="00136A69" w:rsidRDefault="00191570" w:rsidP="004115B3">
            <w:pPr>
              <w:widowControl/>
              <w:spacing w:after="160" w:line="360" w:lineRule="auto"/>
              <w:jc w:val="center"/>
              <w:rPr>
                <w:b/>
              </w:rPr>
            </w:pPr>
            <w:r w:rsidRPr="00191570">
              <w:rPr>
                <w:b/>
              </w:rPr>
              <w:t>Equação Dinâmica</w:t>
            </w:r>
          </w:p>
        </w:tc>
      </w:tr>
      <w:tr w:rsidR="00136A69" w:rsidRPr="00767DE4" w14:paraId="59F8D09C" w14:textId="77777777" w:rsidTr="005C0F70">
        <w:trPr>
          <w:trHeight w:val="376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FFFFFF"/>
          </w:tcPr>
          <w:p w14:paraId="14C00BD4" w14:textId="03FB0BEB" w:rsidR="00136A69" w:rsidRPr="00136A69" w:rsidRDefault="00136A69" w:rsidP="004115B3">
            <w:pPr>
              <w:widowControl/>
              <w:spacing w:after="160" w:line="360" w:lineRule="auto"/>
              <w:jc w:val="both"/>
              <w:rPr>
                <w:b/>
                <w:bCs/>
                <w:highlight w:val="yellow"/>
              </w:rPr>
            </w:pPr>
            <w:r w:rsidRPr="00136A69">
              <w:rPr>
                <w:b/>
                <w:bCs/>
              </w:rPr>
              <w:t>M1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FFFFFF"/>
          </w:tcPr>
          <w:p w14:paraId="1B2BFA3F" w14:textId="77777777" w:rsidR="00191570" w:rsidRPr="0032368C" w:rsidRDefault="00191570" w:rsidP="00191570">
            <w:pPr>
              <w:pStyle w:val="Default"/>
              <w:rPr>
                <w:rFonts w:ascii="Palatino Linotype" w:eastAsia="Times New Roman" w:hAnsi="Palatino Linotype" w:cs="Arial"/>
                <w:color w:val="auto"/>
                <w:sz w:val="18"/>
                <w:szCs w:val="18"/>
                <w:lang w:val="en-US" w:eastAsia="pt-BR"/>
              </w:rPr>
            </w:pPr>
            <w:r w:rsidRPr="0032368C">
              <w:rPr>
                <w:rFonts w:ascii="Palatino Linotype" w:eastAsia="Times New Roman" w:hAnsi="Palatino Linotype" w:cs="Arial"/>
                <w:color w:val="auto"/>
                <w:sz w:val="18"/>
                <w:szCs w:val="18"/>
                <w:lang w:val="en-US" w:eastAsia="pt-BR"/>
              </w:rPr>
              <w:t>Lundqvist</w:t>
            </w:r>
            <w:r w:rsidRPr="0032368C">
              <w:rPr>
                <w:noProof/>
                <w:color w:val="auto"/>
              </w:rPr>
              <w:t>–</w:t>
            </w:r>
            <w:r w:rsidRPr="0032368C">
              <w:rPr>
                <w:rFonts w:ascii="Palatino Linotype" w:eastAsia="Times New Roman" w:hAnsi="Palatino Linotype" w:cs="Arial"/>
                <w:color w:val="auto"/>
                <w:sz w:val="18"/>
                <w:szCs w:val="18"/>
                <w:lang w:val="en-US" w:eastAsia="pt-BR"/>
              </w:rPr>
              <w:t>Korf</w:t>
            </w:r>
          </w:p>
          <w:p w14:paraId="26928B33" w14:textId="012C0F78" w:rsidR="00136A69" w:rsidRPr="00767DE4" w:rsidRDefault="00000000" w:rsidP="00191570">
            <w:pPr>
              <w:widowControl/>
              <w:spacing w:after="160" w:line="360" w:lineRule="auto"/>
              <w:jc w:val="center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18"/>
                        <w:szCs w:val="18"/>
                        <w:lang w:val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Palatino Linotype" w:cs="Arial"/>
                        <w:i/>
                        <w:iCs/>
                        <w:sz w:val="18"/>
                        <w:szCs w:val="18"/>
                        <w:lang w:val="en-US"/>
                      </w:rPr>
                      <m:t xml:space="preserve">Y= A </m:t>
                    </m:r>
                    <m:r>
                      <m:rPr>
                        <m:nor/>
                      </m:rPr>
                      <w:rPr>
                        <w:rFonts w:ascii="Palatino Linotype" w:hAnsi="Palatino Linotype" w:cs="Arial"/>
                        <w:i/>
                        <w:iCs/>
                        <w:sz w:val="18"/>
                        <w:szCs w:val="18"/>
                        <w:lang w:val="en-US"/>
                      </w:rPr>
                      <m:t>exp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ascii="Cambria Math" w:hAnsi="Palatino Linotype" w:cs="Arial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Palatino Linotype" w:hAnsi="Palatino Linotype" w:cs="Arial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m:t xml:space="preserve">B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Arial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18"/>
                                <w:szCs w:val="18"/>
                                <w:lang w:val="en-US"/>
                              </w:rPr>
                              <m:t xml:space="preserve"> 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hAnsi="Palatino Linotype" w:cs="Arial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m:t>-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Arial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m:t>Γ</m:t>
                            </m:r>
                          </m:sup>
                        </m:sSup>
                      </m:e>
                    </m:d>
                  </m:sup>
                </m:sSup>
              </m:oMath>
            </m:oMathPara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FFFFFF"/>
          </w:tcPr>
          <w:p w14:paraId="5EF2EC6E" w14:textId="3456F2A3" w:rsidR="00136A69" w:rsidRPr="00191570" w:rsidRDefault="00191570" w:rsidP="004115B3">
            <w:pPr>
              <w:widowControl/>
              <w:spacing w:after="160" w:line="360" w:lineRule="auto"/>
              <w:jc w:val="center"/>
            </w:pPr>
            <m:oMathPara>
              <m:oMath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  <w:lang w:val="en-US"/>
                  </w:rPr>
                  <m:t>B</m:t>
                </m:r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</w:rPr>
                  <m:t xml:space="preserve"> </m:t>
                </m:r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  <w:lang w:val="en-US"/>
                  </w:rPr>
                  <m:t>=</m:t>
                </m:r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</w:rPr>
                  <m:t xml:space="preserve"> </m:t>
                </m:r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  <w:lang w:val="en-US"/>
                  </w:rPr>
                  <m:t>X</m:t>
                </m:r>
              </m:oMath>
            </m:oMathPara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FFFFFF"/>
          </w:tcPr>
          <w:p w14:paraId="28652E0D" w14:textId="20EDDD3E" w:rsidR="00136A69" w:rsidRDefault="00000000" w:rsidP="004115B3">
            <w:pPr>
              <w:widowControl/>
              <w:spacing w:after="160" w:line="36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Arial"/>
                        <w:i/>
                        <w:sz w:val="18"/>
                        <w:szCs w:val="1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i/>
                        <w:sz w:val="18"/>
                        <w:szCs w:val="18"/>
                        <w:lang w:val="en-US"/>
                      </w:rPr>
                      <m:t>0</m:t>
                    </m:r>
                  </m:sub>
                </m:sSub>
                <m:r>
                  <m:rPr>
                    <m:nor/>
                  </m:rPr>
                  <w:rPr>
                    <w:rFonts w:cs="Arial"/>
                    <w:sz w:val="18"/>
                    <w:szCs w:val="18"/>
                  </w:rPr>
                  <m:t xml:space="preserve"> </m:t>
                </m:r>
                <m:r>
                  <m:rPr>
                    <m:nor/>
                  </m:rPr>
                  <w:rPr>
                    <w:rFonts w:cs="Arial"/>
                    <w:sz w:val="18"/>
                    <w:szCs w:val="18"/>
                    <w:lang w:val="en-US"/>
                  </w:rPr>
                  <m:t>=</m:t>
                </m:r>
                <m:r>
                  <m:rPr>
                    <m:nor/>
                  </m:rPr>
                  <w:rPr>
                    <w:rFonts w:cs="Arial"/>
                    <w:sz w:val="18"/>
                    <w:szCs w:val="18"/>
                  </w:rPr>
                  <m:t xml:space="preserve"> -</m:t>
                </m:r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  <w:lang w:val="en-US"/>
                  </w:rPr>
                  <m:t>Ln</m:t>
                </m:r>
                <m:r>
                  <m:rPr>
                    <m:nor/>
                  </m:rPr>
                  <w:rPr>
                    <w:rFonts w:cs="Arial"/>
                    <w:sz w:val="18"/>
                    <w:szCs w:val="18"/>
                    <w:lang w:val="en-US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m:t>0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sz w:val="18"/>
                            <w:szCs w:val="18"/>
                            <w:lang w:val="en-US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sz w:val="18"/>
                            <w:szCs w:val="18"/>
                            <w:lang w:val="en-US"/>
                          </w:rPr>
                          <m:t>0</m:t>
                        </m:r>
                      </m:sub>
                    </m:sSub>
                  </m:e>
                  <m:sup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sz w:val="18"/>
                            <w:szCs w:val="18"/>
                            <w:lang w:val="en-US"/>
                          </w:rPr>
                          <m:t>b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sz w:val="18"/>
                            <w:szCs w:val="18"/>
                            <w:lang w:val="en-US"/>
                          </w:rPr>
                          <m:t>3</m:t>
                        </m:r>
                      </m:sub>
                    </m:sSub>
                  </m:sup>
                </m:sSup>
              </m:oMath>
            </m:oMathPara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FFFFFF"/>
          </w:tcPr>
          <w:p w14:paraId="4CA46663" w14:textId="610F8348" w:rsidR="00136A69" w:rsidRPr="00767DE4" w:rsidRDefault="00000000" w:rsidP="004115B3">
            <w:pPr>
              <w:widowControl/>
              <w:spacing w:after="160" w:line="360" w:lineRule="auto"/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18"/>
                        <w:szCs w:val="18"/>
                        <w:lang w:val="en-US" w:eastAsia="pt-BR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Arial"/>
                        <w:i/>
                        <w:iCs/>
                        <w:sz w:val="18"/>
                        <w:szCs w:val="18"/>
                        <w:lang w:val="fr-FR" w:eastAsia="pt-BR"/>
                      </w:rPr>
                      <m:t>Y</m:t>
                    </m:r>
                    <m:r>
                      <m:rPr>
                        <m:nor/>
                      </m:rPr>
                      <w:rPr>
                        <w:rFonts w:ascii="Cambria Math" w:cs="Arial"/>
                        <w:i/>
                        <w:iCs/>
                        <w:sz w:val="18"/>
                        <w:szCs w:val="18"/>
                        <w:lang w:val="fr-FR" w:eastAsia="pt-BR"/>
                      </w:rPr>
                      <m:t xml:space="preserve">= </m:t>
                    </m:r>
                    <m:r>
                      <m:rPr>
                        <m:nor/>
                      </m:rPr>
                      <w:rPr>
                        <w:rFonts w:cs="Arial"/>
                        <w:i/>
                        <w:iCs/>
                        <w:sz w:val="18"/>
                        <w:szCs w:val="18"/>
                        <w:lang w:val="fr-FR" w:eastAsia="pt-BR"/>
                      </w:rPr>
                      <m:t>b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i/>
                        <w:iCs/>
                        <w:sz w:val="18"/>
                        <w:szCs w:val="18"/>
                        <w:lang w:val="fr-FR" w:eastAsia="pt-BR"/>
                      </w:rPr>
                      <m:t>1</m:t>
                    </m:r>
                  </m:sub>
                </m:sSub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18"/>
                        <w:szCs w:val="18"/>
                        <w:lang w:val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="Arial"/>
                        <w:i/>
                        <w:iCs/>
                        <w:sz w:val="18"/>
                        <w:szCs w:val="18"/>
                        <w:lang w:val="fr-FR"/>
                      </w:rPr>
                      <m:t>exp</m:t>
                    </m:r>
                  </m:e>
                  <m:sup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  <w:lang w:val="fr-FR"/>
                          </w:rPr>
                          <m:t xml:space="preserve">Ln 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i/>
                                    <w:iCs/>
                                    <w:sz w:val="18"/>
                                    <w:szCs w:val="18"/>
                                    <w:lang w:val="en-US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val="fr-FR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val="fr-FR"/>
                                      </w:rPr>
                                      <m:t>0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val="fr-FR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val="fr-FR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  <w:lang w:val="fr-FR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iCs/>
                                    <w:sz w:val="18"/>
                                    <w:szCs w:val="18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  <w:lang w:val="fr-FR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  <w:lang w:val="fr-FR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Arial"/>
                                            <w:bCs/>
                                            <w:i/>
                                            <w:iCs/>
                                            <w:sz w:val="18"/>
                                            <w:szCs w:val="18"/>
                                            <w:lang w:val="en-US" w:eastAsia="pt-BR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  <w:lang w:val="fr-FR" w:eastAsia="pt-BR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  <w:lang w:val="fr-FR" w:eastAsia="pt-BR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lang w:val="en-US" w:eastAsia="pt-BR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i/>
                                    <w:iCs/>
                                    <w:sz w:val="18"/>
                                    <w:szCs w:val="18"/>
                                    <w:lang w:val="fr-FR" w:eastAsia="pt-BR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i/>
                                    <w:iCs/>
                                    <w:sz w:val="18"/>
                                    <w:szCs w:val="18"/>
                                    <w:lang w:val="fr-FR" w:eastAsia="pt-BR"/>
                                  </w:rPr>
                                  <m:t>3</m:t>
                                </m:r>
                              </m:sub>
                            </m:sSub>
                          </m:sup>
                        </m:sSup>
                      </m:e>
                    </m:d>
                  </m:sup>
                </m:sSup>
              </m:oMath>
            </m:oMathPara>
          </w:p>
        </w:tc>
      </w:tr>
      <w:tr w:rsidR="00136A69" w:rsidRPr="00767DE4" w14:paraId="00B35823" w14:textId="77777777" w:rsidTr="005C0F70">
        <w:trPr>
          <w:trHeight w:val="390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FFFFFF"/>
          </w:tcPr>
          <w:p w14:paraId="3967D90C" w14:textId="18695EEC" w:rsidR="00136A69" w:rsidRPr="00136A69" w:rsidRDefault="00136A69" w:rsidP="004115B3">
            <w:pPr>
              <w:widowControl/>
              <w:spacing w:after="160" w:line="360" w:lineRule="auto"/>
              <w:jc w:val="both"/>
              <w:rPr>
                <w:b/>
                <w:bCs/>
              </w:rPr>
            </w:pPr>
            <w:r w:rsidRPr="00136A69">
              <w:rPr>
                <w:b/>
                <w:bCs/>
              </w:rPr>
              <w:t>M2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FFFFFF"/>
          </w:tcPr>
          <w:p w14:paraId="03CC2DC1" w14:textId="77777777" w:rsidR="0032368C" w:rsidRPr="0032368C" w:rsidRDefault="0032368C" w:rsidP="0032368C">
            <w:pPr>
              <w:pStyle w:val="Default"/>
              <w:rPr>
                <w:rFonts w:ascii="Palatino Linotype" w:eastAsia="Times New Roman" w:hAnsi="Palatino Linotype" w:cs="Arial"/>
                <w:color w:val="auto"/>
                <w:sz w:val="18"/>
                <w:szCs w:val="18"/>
                <w:lang w:val="en-US" w:eastAsia="pt-BR"/>
              </w:rPr>
            </w:pPr>
            <w:r w:rsidRPr="0032368C">
              <w:rPr>
                <w:rFonts w:ascii="Palatino Linotype" w:eastAsia="Times New Roman" w:hAnsi="Palatino Linotype" w:cs="Arial"/>
                <w:color w:val="auto"/>
                <w:sz w:val="18"/>
                <w:szCs w:val="18"/>
                <w:lang w:val="en-US" w:eastAsia="pt-BR"/>
              </w:rPr>
              <w:t>Chapman</w:t>
            </w:r>
            <w:r w:rsidRPr="0032368C">
              <w:rPr>
                <w:noProof/>
                <w:color w:val="auto"/>
              </w:rPr>
              <w:t>–</w:t>
            </w:r>
            <w:r w:rsidRPr="0032368C">
              <w:rPr>
                <w:rFonts w:ascii="Palatino Linotype" w:eastAsia="Times New Roman" w:hAnsi="Palatino Linotype" w:cs="Arial"/>
                <w:color w:val="auto"/>
                <w:sz w:val="18"/>
                <w:szCs w:val="18"/>
                <w:lang w:val="en-US" w:eastAsia="pt-BR"/>
              </w:rPr>
              <w:t>Richards</w:t>
            </w:r>
          </w:p>
          <w:p w14:paraId="5FFE7C2C" w14:textId="4B03E6E8" w:rsidR="00136A69" w:rsidRPr="00767DE4" w:rsidRDefault="0032368C" w:rsidP="0032368C">
            <w:pPr>
              <w:widowControl/>
              <w:spacing w:after="160" w:line="360" w:lineRule="auto"/>
              <w:jc w:val="center"/>
              <w:rPr>
                <w:lang w:val="en-US"/>
              </w:rPr>
            </w:pPr>
            <m:oMathPara>
              <m:oMath>
                <m:r>
                  <m:rPr>
                    <m:nor/>
                  </m:rPr>
                  <w:rPr>
                    <w:rFonts w:ascii="Palatino Linotype" w:hAnsi="Palatino Linotype" w:cs="Arial"/>
                    <w:i/>
                    <w:iCs/>
                    <w:sz w:val="18"/>
                    <w:szCs w:val="18"/>
                    <w:lang w:val="en-US"/>
                  </w:rPr>
                  <m:t xml:space="preserve">Y = A </m:t>
                </m:r>
                <m:r>
                  <m:rPr>
                    <m:nor/>
                  </m:rPr>
                  <w:rPr>
                    <w:rFonts w:ascii="Palatino Linotype" w:hAnsi="Palatino Linotype" w:cs="Arial"/>
                    <w:sz w:val="18"/>
                    <w:szCs w:val="18"/>
                    <w:lang w:val="en-US"/>
                  </w:rPr>
                  <m:t>[1</m:t>
                </m:r>
                <m:r>
                  <m:rPr>
                    <m:nor/>
                  </m:rPr>
                  <w:rPr>
                    <w:rFonts w:ascii="Palatino Linotype" w:hAnsi="Palatino Linotype" w:cs="Arial"/>
                    <w:i/>
                    <w:iCs/>
                    <w:sz w:val="18"/>
                    <w:szCs w:val="1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Palatino Linotype" w:cs="Arial"/>
                    <w:i/>
                    <w:iCs/>
                    <w:sz w:val="18"/>
                    <w:szCs w:val="18"/>
                    <w:lang w:val="en-US"/>
                  </w:rPr>
                  <m:t>-</m:t>
                </m:r>
                <m:r>
                  <m:rPr>
                    <m:nor/>
                  </m:rPr>
                  <w:rPr>
                    <w:rFonts w:ascii="Palatino Linotype" w:hAnsi="Palatino Linotype" w:cs="Arial"/>
                    <w:i/>
                    <w:iCs/>
                    <w:sz w:val="18"/>
                    <w:szCs w:val="18"/>
                    <w:lang w:val="en-U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18"/>
                        <w:szCs w:val="18"/>
                        <w:lang w:val="en-US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Palatino Linotype" w:hAnsi="Palatino Linotype" w:cs="Arial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m:t>exp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Palatino Linotype" w:hAnsi="Palatino Linotype" w:cs="Arial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m:t>(</m:t>
                        </m:r>
                        <m:r>
                          <m:rPr>
                            <m:nor/>
                          </m:rPr>
                          <w:rPr>
                            <w:rFonts w:ascii="Cambria Math" w:hAnsi="Palatino Linotype" w:cs="Arial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Palatino Linotype" w:hAnsi="Palatino Linotype" w:cs="Arial"/>
                            <w:i/>
                            <w:iCs/>
                            <w:sz w:val="18"/>
                            <w:szCs w:val="18"/>
                            <w:lang w:val="en-US" w:eastAsia="pt-BR"/>
                          </w:rPr>
                          <m:t>B</m:t>
                        </m:r>
                        <m:r>
                          <m:rPr>
                            <m:nor/>
                          </m:rPr>
                          <w:rPr>
                            <w:rFonts w:ascii="Palatino Linotype" w:hAnsi="Palatino Linotype" w:cs="Arial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Palatino Linotype" w:hAnsi="Palatino Linotype" w:cs="Arial"/>
                            <w:i/>
                            <w:iCs/>
                            <w:sz w:val="18"/>
                            <w:szCs w:val="18"/>
                            <w:lang w:val="en-US" w:eastAsia="pt-BR"/>
                          </w:rPr>
                          <m:t>t</m:t>
                        </m:r>
                        <m:r>
                          <m:rPr>
                            <m:nor/>
                          </m:rPr>
                          <w:rPr>
                            <w:rFonts w:ascii="Palatino Linotype" w:hAnsi="Palatino Linotype" w:cs="Arial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m:t>)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Palatino Linotype" w:hAnsi="Palatino Linotype" w:cs="Arial"/>
                        <w:sz w:val="18"/>
                        <w:szCs w:val="18"/>
                        <w:lang w:val="en-US"/>
                      </w:rPr>
                      <m:t>]</m:t>
                    </m:r>
                  </m:e>
                  <m:sup>
                    <m:r>
                      <m:rPr>
                        <m:nor/>
                      </m:rPr>
                      <w:rPr>
                        <w:rFonts w:ascii="Palatino Linotype" w:hAnsi="Palatino Linotype" w:cs="Arial"/>
                        <w:i/>
                        <w:iCs/>
                        <w:sz w:val="18"/>
                        <w:szCs w:val="18"/>
                        <w:lang w:val="en-US"/>
                      </w:rPr>
                      <m:t>Γ</m:t>
                    </m:r>
                  </m:sup>
                </m:sSup>
              </m:oMath>
            </m:oMathPara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FFFFFF"/>
          </w:tcPr>
          <w:p w14:paraId="40EE8385" w14:textId="74CBF3BC" w:rsidR="00136A69" w:rsidRPr="00191570" w:rsidRDefault="00191570" w:rsidP="004115B3">
            <w:pPr>
              <w:widowControl/>
              <w:spacing w:after="160" w:line="360" w:lineRule="auto"/>
              <w:jc w:val="center"/>
            </w:pPr>
            <m:oMathPara>
              <m:oMath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  <w:lang w:val="en-US"/>
                  </w:rPr>
                  <m:t>A</m:t>
                </m:r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</w:rPr>
                  <m:t xml:space="preserve"> </m:t>
                </m:r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  <w:lang w:val="en-US"/>
                  </w:rPr>
                  <m:t>=</m:t>
                </m:r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</w:rPr>
                  <m:t xml:space="preserve"> </m:t>
                </m:r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  <w:lang w:val="en-US"/>
                  </w:rPr>
                  <m:t>X</m:t>
                </m:r>
              </m:oMath>
            </m:oMathPara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FFFFFF"/>
          </w:tcPr>
          <w:p w14:paraId="19384F80" w14:textId="46B83729" w:rsidR="00136A69" w:rsidRDefault="00000000" w:rsidP="004115B3">
            <w:pPr>
              <w:widowControl/>
              <w:spacing w:after="160" w:line="36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Arial"/>
                        <w:i/>
                        <w:sz w:val="18"/>
                        <w:szCs w:val="1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i/>
                        <w:sz w:val="18"/>
                        <w:szCs w:val="18"/>
                        <w:lang w:val="en-US"/>
                      </w:rPr>
                      <m:t>0</m:t>
                    </m:r>
                  </m:sub>
                </m:sSub>
                <m:r>
                  <m:rPr>
                    <m:nor/>
                  </m:rPr>
                  <w:rPr>
                    <w:rFonts w:cs="Arial"/>
                    <w:sz w:val="18"/>
                    <w:szCs w:val="18"/>
                  </w:rPr>
                  <m:t xml:space="preserve"> </m:t>
                </m:r>
                <m:r>
                  <m:rPr>
                    <m:nor/>
                  </m:rPr>
                  <w:rPr>
                    <w:rFonts w:cs="Arial"/>
                    <w:sz w:val="18"/>
                    <w:szCs w:val="18"/>
                    <w:lang w:val="en-US"/>
                  </w:rPr>
                  <m:t>=</m:t>
                </m:r>
                <m:r>
                  <m:rPr>
                    <m:nor/>
                  </m:rPr>
                  <w:rPr>
                    <w:rFonts w:cs="Arial"/>
                    <w:sz w:val="18"/>
                    <w:szCs w:val="1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sz w:val="18"/>
                            <w:szCs w:val="18"/>
                            <w:lang w:val="en-US"/>
                          </w:rPr>
                          <m:t>Y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sz w:val="18"/>
                            <w:szCs w:val="18"/>
                            <w:lang w:val="en-US"/>
                          </w:rPr>
                          <m:t>0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Cs/>
                            <w:sz w:val="18"/>
                            <w:szCs w:val="1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cs="Arial"/>
                            <w:iCs/>
                            <w:sz w:val="18"/>
                            <w:szCs w:val="18"/>
                            <w:lang w:val="en-US"/>
                          </w:rPr>
                          <m:t>[1</m:t>
                        </m:r>
                        <m:r>
                          <m:rPr>
                            <m:nor/>
                          </m:rPr>
                          <w:rPr>
                            <w:rFonts w:ascii="Cambria Math" w:cs="Arial"/>
                            <w:iCs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cs="Arial"/>
                            <w:iCs/>
                            <w:sz w:val="18"/>
                            <w:szCs w:val="18"/>
                            <w:lang w:val="en-US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Cambria Math" w:cs="Arial"/>
                            <w:iCs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m:t>exp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18"/>
                                        <w:szCs w:val="1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cs="Arial"/>
                                        <w:i/>
                                        <w:sz w:val="18"/>
                                        <w:szCs w:val="18"/>
                                        <w:lang w:val="en-US"/>
                                      </w:rPr>
                                      <m:t xml:space="preserve">- 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sz w:val="18"/>
                                        <w:szCs w:val="18"/>
                                        <w:lang w:val="en-US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sz w:val="18"/>
                                        <w:szCs w:val="18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18"/>
                                        <w:szCs w:val="1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sz w:val="18"/>
                                        <w:szCs w:val="18"/>
                                        <w:lang w:val="en-US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sz w:val="18"/>
                                        <w:szCs w:val="18"/>
                                        <w:lang w:val="en-US"/>
                                      </w:rPr>
                                      <m:t>0</m:t>
                                    </m:r>
                                  </m:sub>
                                </m:sSub>
                              </m:e>
                            </m:d>
                          </m:sup>
                        </m:sSup>
                        <m:r>
                          <m:rPr>
                            <m:nor/>
                          </m:rPr>
                          <w:rPr>
                            <w:rFonts w:cs="Arial"/>
                            <w:iCs/>
                            <w:sz w:val="18"/>
                            <w:szCs w:val="18"/>
                            <w:lang w:val="en-US"/>
                          </w:rPr>
                          <m:t>]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m:t>2</m:t>
                            </m:r>
                          </m:sub>
                        </m:sSub>
                      </m:sup>
                    </m:sSup>
                  </m:den>
                </m:f>
              </m:oMath>
            </m:oMathPara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FFFFFF"/>
          </w:tcPr>
          <w:p w14:paraId="204E8E3C" w14:textId="2510BE11" w:rsidR="00136A69" w:rsidRPr="00767DE4" w:rsidRDefault="00000000" w:rsidP="004115B3">
            <w:pPr>
              <w:widowControl/>
              <w:spacing w:after="160" w:line="360" w:lineRule="auto"/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Arial"/>
                        <w:i/>
                        <w:sz w:val="18"/>
                        <w:szCs w:val="18"/>
                        <w:lang w:val="fr-FR"/>
                      </w:rPr>
                      <m:t>Y = Y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i/>
                        <w:sz w:val="18"/>
                        <w:szCs w:val="18"/>
                        <w:lang w:val="fr-FR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Arial"/>
                        <w:iCs/>
                        <w:sz w:val="18"/>
                        <w:szCs w:val="18"/>
                        <w:lang w:val="en-US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iCs/>
                            <w:sz w:val="18"/>
                            <w:szCs w:val="18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Cs/>
                                <w:sz w:val="18"/>
                                <w:szCs w:val="18"/>
                                <w:lang w:val="en-US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sz w:val="18"/>
                                <w:szCs w:val="18"/>
                                <w:lang w:val="fr-FR"/>
                              </w:rPr>
                              <m:t xml:space="preserve">1 -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iCs/>
                                    <w:sz w:val="18"/>
                                    <w:szCs w:val="1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i/>
                                    <w:iCs/>
                                    <w:sz w:val="18"/>
                                    <w:szCs w:val="18"/>
                                    <w:lang w:val="fr-FR"/>
                                  </w:rPr>
                                  <m:t>exp</m:t>
                                </m:r>
                              </m:e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sz w:val="18"/>
                                    <w:szCs w:val="18"/>
                                    <w:lang w:val="fr-FR"/>
                                  </w:rPr>
                                  <m:t>(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i/>
                                    <w:iCs/>
                                    <w:sz w:val="18"/>
                                    <w:szCs w:val="18"/>
                                    <w:lang w:val="fr-FR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val="fr-FR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val="fr-FR"/>
                                      </w:rPr>
                                      <m:t xml:space="preserve">1 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 w:eastAsia="pt-B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val="fr-FR" w:eastAsia="pt-BR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val="fr-FR" w:eastAsia="pt-BR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sz w:val="18"/>
                                    <w:szCs w:val="18"/>
                                    <w:lang w:val="fr-FR"/>
                                  </w:rPr>
                                  <m:t>)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sz w:val="18"/>
                                <w:szCs w:val="18"/>
                                <w:lang w:val="fr-FR"/>
                              </w:rPr>
                              <m:t xml:space="preserve">1 -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i/>
                                    <w:sz w:val="18"/>
                                    <w:szCs w:val="18"/>
                                    <w:lang w:val="fr-FR"/>
                                  </w:rPr>
                                  <m:t>exp</m:t>
                                </m:r>
                              </m:e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iCs/>
                                    <w:sz w:val="18"/>
                                    <w:szCs w:val="18"/>
                                    <w:lang w:val="fr-FR"/>
                                  </w:rPr>
                                  <m:t>(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i/>
                                    <w:sz w:val="18"/>
                                    <w:szCs w:val="18"/>
                                    <w:lang w:val="fr-FR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18"/>
                                        <w:szCs w:val="1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sz w:val="18"/>
                                        <w:szCs w:val="18"/>
                                        <w:lang w:val="fr-FR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sz w:val="18"/>
                                        <w:szCs w:val="18"/>
                                        <w:lang w:val="fr-FR"/>
                                      </w:rPr>
                                      <m:t xml:space="preserve">1 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18"/>
                                        <w:szCs w:val="1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sz w:val="18"/>
                                        <w:szCs w:val="18"/>
                                        <w:lang w:val="fr-FR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sz w:val="18"/>
                                        <w:szCs w:val="18"/>
                                        <w:lang w:val="fr-FR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iCs/>
                                    <w:sz w:val="18"/>
                                    <w:szCs w:val="18"/>
                                    <w:lang w:val="fr-FR"/>
                                  </w:rPr>
                                  <m:t>)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  <w:lang w:val="fr-FR"/>
                          </w:rPr>
                          <m:t>b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  <w:lang w:val="fr-FR"/>
                          </w:rPr>
                          <m:t>2</m:t>
                        </m:r>
                      </m:sub>
                    </m:sSub>
                  </m:sup>
                </m:sSup>
              </m:oMath>
            </m:oMathPara>
          </w:p>
        </w:tc>
      </w:tr>
      <w:tr w:rsidR="00136A69" w14:paraId="5FC1000F" w14:textId="77777777" w:rsidTr="005C0F70">
        <w:trPr>
          <w:trHeight w:val="291"/>
        </w:trPr>
        <w:tc>
          <w:tcPr>
            <w:tcW w:w="993" w:type="dxa"/>
            <w:shd w:val="clear" w:color="auto" w:fill="FFFFFF"/>
          </w:tcPr>
          <w:p w14:paraId="7B48DD00" w14:textId="0BB1933D" w:rsidR="00136A69" w:rsidRPr="00136A69" w:rsidRDefault="00136A69" w:rsidP="004115B3">
            <w:pPr>
              <w:widowControl/>
              <w:spacing w:after="160" w:line="360" w:lineRule="auto"/>
              <w:jc w:val="both"/>
              <w:rPr>
                <w:b/>
                <w:bCs/>
              </w:rPr>
            </w:pPr>
            <w:r w:rsidRPr="00136A69">
              <w:rPr>
                <w:b/>
                <w:bCs/>
              </w:rPr>
              <w:t>M3</w:t>
            </w:r>
          </w:p>
        </w:tc>
        <w:tc>
          <w:tcPr>
            <w:tcW w:w="1842" w:type="dxa"/>
            <w:shd w:val="clear" w:color="auto" w:fill="FFFFFF"/>
          </w:tcPr>
          <w:p w14:paraId="680B81F1" w14:textId="77777777" w:rsidR="0032368C" w:rsidRPr="0032368C" w:rsidRDefault="0032368C" w:rsidP="0032368C">
            <w:pPr>
              <w:pStyle w:val="Default"/>
              <w:jc w:val="both"/>
              <w:rPr>
                <w:rFonts w:ascii="Palatino Linotype" w:eastAsia="Times New Roman" w:hAnsi="Palatino Linotype" w:cs="Arial"/>
                <w:color w:val="auto"/>
                <w:sz w:val="18"/>
                <w:szCs w:val="18"/>
                <w:lang w:val="en-US" w:eastAsia="pt-BR"/>
              </w:rPr>
            </w:pPr>
            <w:r w:rsidRPr="0032368C">
              <w:rPr>
                <w:rFonts w:ascii="Palatino Linotype" w:eastAsia="Times New Roman" w:hAnsi="Palatino Linotype" w:cs="Arial"/>
                <w:color w:val="auto"/>
                <w:sz w:val="18"/>
                <w:szCs w:val="18"/>
                <w:lang w:val="en-US" w:eastAsia="pt-BR"/>
              </w:rPr>
              <w:t>Hossfeld</w:t>
            </w:r>
          </w:p>
          <w:p w14:paraId="3553423C" w14:textId="1C84E972" w:rsidR="00136A69" w:rsidRPr="00767DE4" w:rsidRDefault="0032368C" w:rsidP="0032368C">
            <w:pPr>
              <w:widowControl/>
              <w:spacing w:after="160" w:line="360" w:lineRule="auto"/>
              <w:jc w:val="center"/>
              <w:rPr>
                <w:vertAlign w:val="subscript"/>
                <w:lang w:val="en-US"/>
              </w:rPr>
            </w:pPr>
            <m:oMathPara>
              <m:oMath>
                <m:r>
                  <m:rPr>
                    <m:nor/>
                  </m:rPr>
                  <w:rPr>
                    <w:rFonts w:ascii="Palatino Linotype" w:hAnsi="Palatino Linotype" w:cs="Arial"/>
                    <w:i/>
                    <w:iCs/>
                    <w:sz w:val="18"/>
                    <w:szCs w:val="18"/>
                    <w:lang w:val="en-US"/>
                  </w:rPr>
                  <m:t xml:space="preserve">Y 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Palatino Linotype" w:hAnsi="Palatino Linotype" w:cs="Arial"/>
                        <w:i/>
                        <w:iCs/>
                        <w:sz w:val="18"/>
                        <w:szCs w:val="18"/>
                        <w:lang w:val="en-US"/>
                      </w:rPr>
                      <m:t>A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Palatino Linotype" w:hAnsi="Palatino Linotype" w:cs="Arial"/>
                        <w:sz w:val="18"/>
                        <w:szCs w:val="18"/>
                        <w:lang w:val="en-US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Palatino Linotype" w:hAnsi="Palatino Linotype" w:cs="Arial"/>
                        <w:i/>
                        <w:iCs/>
                        <w:sz w:val="18"/>
                        <w:szCs w:val="18"/>
                        <w:lang w:val="en-US"/>
                      </w:rPr>
                      <m:t xml:space="preserve"> +</m:t>
                    </m:r>
                    <m:r>
                      <m:rPr>
                        <m:nor/>
                      </m:rPr>
                      <w:rPr>
                        <w:rFonts w:ascii="Cambria Math" w:hAnsi="Palatino Linotype" w:cs="Arial"/>
                        <w:i/>
                        <w:iCs/>
                        <w:sz w:val="18"/>
                        <w:szCs w:val="18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Palatino Linotype" w:hAnsi="Palatino Linotype" w:cs="Arial"/>
                        <w:i/>
                        <w:iCs/>
                        <w:sz w:val="18"/>
                        <w:szCs w:val="18"/>
                        <w:lang w:val="en-US"/>
                      </w:rPr>
                      <m:t xml:space="preserve">B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Palatino Linotype" w:hAnsi="Palatino Linotype" w:cs="Arial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m:t>t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Cambria Math" w:hAnsi="Palatino Linotype" w:cs="Arial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Palatino Linotype" w:hAnsi="Palatino Linotype" w:cs="Arial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  <m:t>Γ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843" w:type="dxa"/>
          </w:tcPr>
          <w:p w14:paraId="5620D921" w14:textId="517A2A70" w:rsidR="00136A69" w:rsidRPr="00191570" w:rsidRDefault="00191570" w:rsidP="004115B3">
            <w:pPr>
              <w:widowControl/>
              <w:spacing w:after="160" w:line="360" w:lineRule="auto"/>
              <w:jc w:val="center"/>
            </w:pPr>
            <m:oMathPara>
              <m:oMath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  <w:lang w:val="en-US"/>
                  </w:rPr>
                  <m:t>B</m:t>
                </m:r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</w:rPr>
                  <m:t xml:space="preserve"> </m:t>
                </m:r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  <w:lang w:val="en-US"/>
                  </w:rPr>
                  <m:t>=</m:t>
                </m:r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</w:rPr>
                  <m:t xml:space="preserve"> </m:t>
                </m:r>
                <m:r>
                  <m:rPr>
                    <m:nor/>
                  </m:rPr>
                  <w:rPr>
                    <w:rFonts w:cs="Arial"/>
                    <w:i/>
                    <w:iCs/>
                    <w:sz w:val="18"/>
                    <w:szCs w:val="18"/>
                    <w:lang w:val="en-US"/>
                  </w:rPr>
                  <m:t>X</m:t>
                </m:r>
              </m:oMath>
            </m:oMathPara>
          </w:p>
        </w:tc>
        <w:tc>
          <w:tcPr>
            <w:tcW w:w="1985" w:type="dxa"/>
          </w:tcPr>
          <w:p w14:paraId="45369EF4" w14:textId="7A396C3B" w:rsidR="00136A69" w:rsidRDefault="00000000" w:rsidP="004115B3">
            <w:pPr>
              <w:widowControl/>
              <w:spacing w:after="160" w:line="36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Arial"/>
                        <w:i/>
                        <w:sz w:val="18"/>
                        <w:szCs w:val="1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i/>
                        <w:sz w:val="18"/>
                        <w:szCs w:val="18"/>
                        <w:lang w:val="en-US"/>
                      </w:rPr>
                      <m:t>0</m:t>
                    </m:r>
                  </m:sub>
                </m:sSub>
                <m:r>
                  <m:rPr>
                    <m:nor/>
                  </m:rPr>
                  <w:rPr>
                    <w:rFonts w:cs="Arial"/>
                    <w:sz w:val="18"/>
                    <w:szCs w:val="18"/>
                  </w:rPr>
                  <m:t xml:space="preserve"> </m:t>
                </m:r>
                <m:r>
                  <m:rPr>
                    <m:nor/>
                  </m:rPr>
                  <w:rPr>
                    <w:rFonts w:cs="Arial"/>
                    <w:sz w:val="18"/>
                    <w:szCs w:val="1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sz w:val="18"/>
                            <w:szCs w:val="18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sz w:val="18"/>
                            <w:szCs w:val="18"/>
                            <w:lang w:val="en-US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sz w:val="18"/>
                            <w:szCs w:val="18"/>
                            <w:lang w:val="en-US"/>
                          </w:rPr>
                          <m:t>0</m:t>
                        </m:r>
                      </m:sub>
                    </m:sSub>
                  </m:e>
                  <m:sup>
                    <m:r>
                      <m:rPr>
                        <m:nor/>
                      </m:rPr>
                      <w:rPr>
                        <w:rFonts w:ascii="Cambria Math" w:cs="Arial"/>
                        <w:i/>
                        <w:sz w:val="18"/>
                        <w:szCs w:val="18"/>
                        <w:lang w:val="en-US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sz w:val="18"/>
                            <w:szCs w:val="18"/>
                            <w:lang w:val="en-US"/>
                          </w:rPr>
                          <m:t>b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sz w:val="18"/>
                            <w:szCs w:val="18"/>
                            <w:lang w:val="en-US"/>
                          </w:rPr>
                          <m:t>3</m:t>
                        </m:r>
                      </m:sub>
                    </m:sSub>
                  </m:sup>
                </m:sSup>
                <m:r>
                  <m:rPr>
                    <m:nor/>
                  </m:rPr>
                  <w:rPr>
                    <w:rFonts w:cs="Arial"/>
                    <w:sz w:val="18"/>
                    <w:szCs w:val="18"/>
                    <w:lang w:val="en-US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i/>
                                <w:sz w:val="18"/>
                                <w:szCs w:val="18"/>
                                <w:lang w:val="en-US"/>
                              </w:rPr>
                              <m:t>0</m:t>
                            </m:r>
                          </m:sub>
                        </m:sSub>
                      </m:den>
                    </m:f>
                    <m:r>
                      <m:rPr>
                        <m:nor/>
                      </m:rPr>
                      <w:rPr>
                        <w:rFonts w:ascii="Cambria Math" w:cs="Arial"/>
                        <w:i/>
                        <w:sz w:val="18"/>
                        <w:szCs w:val="18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cs="Arial"/>
                        <w:i/>
                        <w:sz w:val="18"/>
                        <w:szCs w:val="18"/>
                      </w:rPr>
                      <m:t>-</m:t>
                    </m:r>
                    <m:r>
                      <m:rPr>
                        <m:nor/>
                      </m:rPr>
                      <w:rPr>
                        <w:rFonts w:ascii="Cambria Math" w:cs="Arial"/>
                        <w:i/>
                        <w:sz w:val="18"/>
                        <w:szCs w:val="18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cs="Arial"/>
                        <w:iCs/>
                        <w:sz w:val="18"/>
                        <w:szCs w:val="18"/>
                        <w:lang w:val="en-US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2409" w:type="dxa"/>
          </w:tcPr>
          <w:p w14:paraId="5B7CD9EB" w14:textId="3FB0D52D" w:rsidR="00136A69" w:rsidRDefault="00000000" w:rsidP="004115B3">
            <w:pPr>
              <w:widowControl/>
              <w:spacing w:after="160" w:line="360" w:lineRule="auto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18"/>
                        <w:szCs w:val="18"/>
                        <w:lang w:val="en-US" w:eastAsia="pt-BR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="Arial"/>
                        <w:i/>
                        <w:iCs/>
                        <w:sz w:val="18"/>
                        <w:szCs w:val="18"/>
                        <w:lang w:val="en-US" w:eastAsia="pt-BR"/>
                      </w:rPr>
                      <m:t>Y</m:t>
                    </m:r>
                    <m:r>
                      <m:rPr>
                        <m:nor/>
                      </m:rPr>
                      <w:rPr>
                        <w:rFonts w:ascii="Cambria Math" w:cs="Arial"/>
                        <w:i/>
                        <w:iCs/>
                        <w:sz w:val="18"/>
                        <w:szCs w:val="18"/>
                        <w:lang w:val="en-US" w:eastAsia="pt-BR"/>
                      </w:rPr>
                      <m:t xml:space="preserve"> = </m:t>
                    </m:r>
                    <m:r>
                      <m:rPr>
                        <m:nor/>
                      </m:rPr>
                      <w:rPr>
                        <w:rFonts w:cs="Arial"/>
                        <w:i/>
                        <w:iCs/>
                        <w:sz w:val="18"/>
                        <w:szCs w:val="18"/>
                        <w:lang w:val="en-US" w:eastAsia="pt-BR"/>
                      </w:rPr>
                      <m:t>b</m:t>
                    </m:r>
                  </m:e>
                  <m:sub>
                    <m:r>
                      <m:rPr>
                        <m:nor/>
                      </m:rPr>
                      <w:rPr>
                        <w:rFonts w:cs="Arial"/>
                        <w:i/>
                        <w:iCs/>
                        <w:sz w:val="18"/>
                        <w:szCs w:val="18"/>
                        <w:lang w:val="en-US" w:eastAsia="pt-BR"/>
                      </w:rPr>
                      <m:t>1</m:t>
                    </m:r>
                  </m:sub>
                </m:sSub>
                <m:r>
                  <m:rPr>
                    <m:nor/>
                  </m:rPr>
                  <w:rPr>
                    <w:rFonts w:cs="Arial"/>
                    <w:sz w:val="18"/>
                    <w:szCs w:val="18"/>
                    <w:lang w:val="en-US"/>
                  </w:rPr>
                  <m:t xml:space="preserve">/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bCs/>
                        <w:sz w:val="18"/>
                        <w:szCs w:val="18"/>
                        <w:lang w:val="en-US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cs="Arial"/>
                        <w:sz w:val="18"/>
                        <w:szCs w:val="18"/>
                        <w:lang w:val="en-US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cs="Arial"/>
                        <w:sz w:val="18"/>
                        <w:szCs w:val="18"/>
                        <w:lang w:val="en-US"/>
                      </w:rPr>
                      <m:t xml:space="preserve"> - 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bCs/>
                            <w:sz w:val="18"/>
                            <w:szCs w:val="1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cs="Arial"/>
                            <w:sz w:val="18"/>
                            <w:szCs w:val="18"/>
                            <w:lang w:val="en-US"/>
                          </w:rPr>
                          <m:t>1</m:t>
                        </m:r>
                        <m:r>
                          <m:rPr>
                            <m:nor/>
                          </m:rPr>
                          <w:rPr>
                            <w:rFonts w:ascii="Cambria Math" w:cs="Arial"/>
                            <w:sz w:val="18"/>
                            <w:szCs w:val="18"/>
                            <w:lang w:val="en-US"/>
                          </w:rPr>
                          <m:t xml:space="preserve"> - 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 w:eastAsia="pt-BR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lang w:val="en-US" w:eastAsia="pt-BR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i/>
                                    <w:iCs/>
                                    <w:sz w:val="18"/>
                                    <w:szCs w:val="18"/>
                                    <w:lang w:val="en-US" w:eastAsia="pt-BR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i/>
                                    <w:iCs/>
                                    <w:sz w:val="18"/>
                                    <w:szCs w:val="18"/>
                                    <w:lang w:val="en-US" w:eastAsia="pt-BR"/>
                                  </w:rPr>
                                  <m:t>1</m:t>
                                </m:r>
                              </m:sub>
                            </m:sSub>
                            <m:ctrlPr>
                              <w:rPr>
                                <w:rFonts w:ascii="Cambria Math" w:hAnsi="Cambria Math" w:cs="Arial"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m:ctrlP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lang w:val="en-US" w:eastAsia="pt-BR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i/>
                                    <w:iCs/>
                                    <w:sz w:val="18"/>
                                    <w:szCs w:val="18"/>
                                    <w:lang w:val="en-US" w:eastAsia="pt-BR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i/>
                                    <w:iCs/>
                                    <w:sz w:val="18"/>
                                    <w:szCs w:val="18"/>
                                    <w:lang w:val="en-US" w:eastAsia="pt-BR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  <m:ctrlPr>
                          <w:rPr>
                            <w:rFonts w:ascii="Cambria Math" w:hAnsi="Cambria Math" w:cs="Arial"/>
                            <w:bCs/>
                            <w:sz w:val="18"/>
                            <w:szCs w:val="18"/>
                            <w:lang w:val="en-US" w:eastAsia="pt-BR"/>
                          </w:rPr>
                        </m:ctrlP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Arial"/>
                            <w:bCs/>
                            <w:i/>
                            <w:iCs/>
                            <w:sz w:val="18"/>
                            <w:szCs w:val="18"/>
                            <w:lang w:val="en-US" w:eastAsia="pt-B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 w:eastAsia="pt-B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Arial"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lang w:val="en-US" w:eastAsia="pt-BR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 w:eastAsia="pt-B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 w:eastAsia="pt-BR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 w:eastAsia="pt-BR"/>
                                      </w:rPr>
                                      <m:t>0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 w:eastAsia="pt-BR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 w:eastAsia="pt-BR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 w:eastAsia="pt-BR"/>
                                      </w:rPr>
                                      <m:t>1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 w:eastAsia="pt-BR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i/>
                                <w:iCs/>
                                <w:sz w:val="18"/>
                                <w:szCs w:val="18"/>
                                <w:lang w:val="en-US" w:eastAsia="pt-BR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i/>
                                <w:iCs/>
                                <w:sz w:val="18"/>
                                <w:szCs w:val="18"/>
                                <w:lang w:val="en-US" w:eastAsia="pt-BR"/>
                              </w:rPr>
                              <m:t>3</m:t>
                            </m:r>
                          </m:sub>
                        </m:sSub>
                      </m:sup>
                    </m:sSup>
                  </m:e>
                </m:d>
              </m:oMath>
            </m:oMathPara>
          </w:p>
        </w:tc>
      </w:tr>
    </w:tbl>
    <w:p w14:paraId="2325B430" w14:textId="1C13C97D" w:rsidR="005C0F70" w:rsidRPr="00935B44" w:rsidRDefault="0032368C" w:rsidP="005C0F70">
      <w:pPr>
        <w:widowControl/>
        <w:spacing w:before="120" w:line="259" w:lineRule="auto"/>
        <w:jc w:val="both"/>
      </w:pPr>
      <w:r w:rsidRPr="00935B44">
        <w:t xml:space="preserve">Onde Y e Y₀: variáveis de interesse nas idades t₀ e t₁, respectivamente; t, t₀ e t₁: idades do povoamento (meses); X: variável teórica não observável e não quantificável; X₀: solução de X para altura e idade iniciais; A, B e Γ: parâmetros do modelo base; b₁, b₂ e b₃: parâmetros globais das equações dinâmicas. Fonte: </w:t>
      </w:r>
      <w:proofErr w:type="spellStart"/>
      <w:r w:rsidR="002F2AC2" w:rsidRPr="00935B44">
        <w:t>Tewari</w:t>
      </w:r>
      <w:proofErr w:type="spellEnd"/>
      <w:r w:rsidR="002F2AC2" w:rsidRPr="00935B44">
        <w:t xml:space="preserve"> </w:t>
      </w:r>
      <w:proofErr w:type="spellStart"/>
      <w:r w:rsidR="002F2AC2" w:rsidRPr="00935B44">
        <w:t>et</w:t>
      </w:r>
      <w:proofErr w:type="spellEnd"/>
      <w:r w:rsidR="002F2AC2" w:rsidRPr="00935B44">
        <w:t xml:space="preserve"> al. </w:t>
      </w:r>
      <w:r w:rsidR="004654F6" w:rsidRPr="00935B44">
        <w:t>(</w:t>
      </w:r>
      <w:r w:rsidR="002F2AC2" w:rsidRPr="00935B44">
        <w:t>2014</w:t>
      </w:r>
      <w:r w:rsidR="004654F6" w:rsidRPr="00935B44">
        <w:t>)</w:t>
      </w:r>
      <w:r w:rsidR="002F2AC2" w:rsidRPr="00935B44">
        <w:t>,</w:t>
      </w:r>
      <w:r w:rsidR="004654F6" w:rsidRPr="00935B44">
        <w:t xml:space="preserve"> </w:t>
      </w:r>
      <w:proofErr w:type="spellStart"/>
      <w:r w:rsidR="00F264CC" w:rsidRPr="00935B44">
        <w:t>Burkhart</w:t>
      </w:r>
      <w:proofErr w:type="spellEnd"/>
      <w:r w:rsidR="00F264CC" w:rsidRPr="00935B44">
        <w:t xml:space="preserve"> </w:t>
      </w:r>
      <w:r w:rsidR="00BF1C43" w:rsidRPr="00935B44">
        <w:t>e Tomé (2012).</w:t>
      </w:r>
      <w:r w:rsidR="005C0F70" w:rsidRPr="00935B44">
        <w:rPr>
          <w:b/>
        </w:rPr>
        <w:t xml:space="preserve"> </w:t>
      </w:r>
    </w:p>
    <w:p w14:paraId="2F08784B" w14:textId="77777777" w:rsidR="008667C0" w:rsidRDefault="008667C0" w:rsidP="0032368C">
      <w:pPr>
        <w:jc w:val="both"/>
        <w:rPr>
          <w:b/>
          <w:bCs/>
          <w:sz w:val="24"/>
          <w:szCs w:val="24"/>
        </w:rPr>
      </w:pPr>
    </w:p>
    <w:p w14:paraId="15AFE1DC" w14:textId="60802496" w:rsidR="0032368C" w:rsidRDefault="0032368C" w:rsidP="0032368C">
      <w:pPr>
        <w:jc w:val="both"/>
        <w:rPr>
          <w:b/>
          <w:bCs/>
          <w:sz w:val="24"/>
          <w:szCs w:val="24"/>
        </w:rPr>
      </w:pPr>
      <w:r w:rsidRPr="00060C30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>3</w:t>
      </w:r>
      <w:r w:rsidRPr="00060C3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B96A2C" w:rsidRPr="0032368C">
        <w:rPr>
          <w:b/>
          <w:bCs/>
          <w:sz w:val="24"/>
          <w:szCs w:val="24"/>
        </w:rPr>
        <w:t>AJUSTE E AVALIAÇÃO DOS MODELOS</w:t>
      </w:r>
    </w:p>
    <w:p w14:paraId="6463F3C3" w14:textId="77777777" w:rsidR="005C090D" w:rsidRDefault="005C090D" w:rsidP="0032368C">
      <w:pPr>
        <w:jc w:val="both"/>
        <w:rPr>
          <w:b/>
          <w:bCs/>
          <w:sz w:val="24"/>
          <w:szCs w:val="24"/>
        </w:rPr>
      </w:pPr>
    </w:p>
    <w:p w14:paraId="761FC54C" w14:textId="3C9297C5" w:rsidR="005C090D" w:rsidRPr="005C090D" w:rsidRDefault="005C090D" w:rsidP="00D10AD4">
      <w:pPr>
        <w:spacing w:line="360" w:lineRule="auto"/>
        <w:ind w:firstLine="720"/>
        <w:jc w:val="both"/>
        <w:rPr>
          <w:sz w:val="24"/>
          <w:szCs w:val="24"/>
        </w:rPr>
      </w:pPr>
      <w:r w:rsidRPr="005C090D">
        <w:rPr>
          <w:sz w:val="24"/>
          <w:szCs w:val="24"/>
        </w:rPr>
        <w:t xml:space="preserve">Os modelos foram ajustados </w:t>
      </w:r>
      <w:r w:rsidRPr="00D10AD4">
        <w:rPr>
          <w:sz w:val="24"/>
          <w:szCs w:val="24"/>
        </w:rPr>
        <w:t>por regressão não linear generalizada (GNLS),</w:t>
      </w:r>
      <w:r w:rsidRPr="005C090D">
        <w:rPr>
          <w:sz w:val="24"/>
          <w:szCs w:val="24"/>
        </w:rPr>
        <w:t xml:space="preserve"> considerando estrutura autorregressiva de primeira ordem para correção da </w:t>
      </w:r>
      <w:proofErr w:type="spellStart"/>
      <w:r w:rsidRPr="005C090D">
        <w:rPr>
          <w:sz w:val="24"/>
          <w:szCs w:val="24"/>
        </w:rPr>
        <w:t>autocorrelação</w:t>
      </w:r>
      <w:proofErr w:type="spellEnd"/>
      <w:r w:rsidRPr="005C090D">
        <w:rPr>
          <w:sz w:val="24"/>
          <w:szCs w:val="24"/>
        </w:rPr>
        <w:t xml:space="preserve"> serial dos resíduos.</w:t>
      </w:r>
    </w:p>
    <w:p w14:paraId="3BE0E048" w14:textId="77777777" w:rsidR="005C090D" w:rsidRPr="005C090D" w:rsidRDefault="005C090D" w:rsidP="008769A5">
      <w:pPr>
        <w:spacing w:line="360" w:lineRule="auto"/>
        <w:ind w:firstLine="720"/>
        <w:jc w:val="both"/>
        <w:rPr>
          <w:sz w:val="24"/>
          <w:szCs w:val="24"/>
        </w:rPr>
      </w:pPr>
      <w:r w:rsidRPr="005C090D">
        <w:rPr>
          <w:sz w:val="24"/>
          <w:szCs w:val="24"/>
        </w:rPr>
        <w:t>A avaliação de desempenho foi feita por meio dos seguintes critérios:</w:t>
      </w:r>
    </w:p>
    <w:p w14:paraId="3D0904BF" w14:textId="1F501091" w:rsidR="005C090D" w:rsidRPr="005C090D" w:rsidRDefault="005C090D" w:rsidP="005C090D">
      <w:pPr>
        <w:widowControl/>
        <w:numPr>
          <w:ilvl w:val="0"/>
          <w:numId w:val="2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090D">
        <w:rPr>
          <w:sz w:val="24"/>
          <w:szCs w:val="24"/>
        </w:rPr>
        <w:t>Coeficiente de correlação (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0"/>
                <w:szCs w:val="1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18"/>
                <w:lang w:val="en-US"/>
              </w:rPr>
              <m:t>r</m:t>
            </m:r>
          </m:e>
          <m:sub>
            <m:acc>
              <m:accPr>
                <m:ctrlPr>
                  <w:rPr>
                    <w:rFonts w:ascii="Cambria Math" w:hAnsi="Cambria Math" w:cs="Arial"/>
                    <w:b/>
                    <w:bCs/>
                    <w:sz w:val="20"/>
                    <w:szCs w:val="18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18"/>
                    <w:lang w:val="en-US"/>
                  </w:rPr>
                  <m:t>y</m:t>
                </m:r>
              </m:e>
            </m:acc>
            <m:r>
              <m:rPr>
                <m:sty m:val="bi"/>
              </m:rPr>
              <w:rPr>
                <w:rFonts w:ascii="Cambria Math" w:hAnsi="Cambria Math" w:cs="Arial"/>
                <w:sz w:val="20"/>
                <w:szCs w:val="18"/>
                <w:lang w:val="en-US"/>
              </w:rPr>
              <m:t>y</m:t>
            </m:r>
          </m:sub>
        </m:sSub>
      </m:oMath>
      <w:r w:rsidRPr="005C090D">
        <w:rPr>
          <w:sz w:val="24"/>
          <w:szCs w:val="24"/>
        </w:rPr>
        <w:t>);</w:t>
      </w:r>
    </w:p>
    <w:p w14:paraId="1E07DE05" w14:textId="77777777" w:rsidR="005C090D" w:rsidRPr="005C090D" w:rsidRDefault="005C090D" w:rsidP="005C090D">
      <w:pPr>
        <w:widowControl/>
        <w:numPr>
          <w:ilvl w:val="0"/>
          <w:numId w:val="2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090D">
        <w:rPr>
          <w:sz w:val="24"/>
          <w:szCs w:val="24"/>
        </w:rPr>
        <w:t>Erro quadrático médio (RMSE);</w:t>
      </w:r>
    </w:p>
    <w:p w14:paraId="2EDD15FF" w14:textId="77777777" w:rsidR="005C090D" w:rsidRPr="005C090D" w:rsidRDefault="005C090D" w:rsidP="005C090D">
      <w:pPr>
        <w:widowControl/>
        <w:numPr>
          <w:ilvl w:val="0"/>
          <w:numId w:val="2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090D">
        <w:rPr>
          <w:sz w:val="24"/>
          <w:szCs w:val="24"/>
        </w:rPr>
        <w:t>Erro percentual médio (RMSPE);</w:t>
      </w:r>
    </w:p>
    <w:p w14:paraId="72A1A99B" w14:textId="77777777" w:rsidR="005C090D" w:rsidRPr="005C090D" w:rsidRDefault="005C090D" w:rsidP="005C090D">
      <w:pPr>
        <w:widowControl/>
        <w:numPr>
          <w:ilvl w:val="0"/>
          <w:numId w:val="2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C090D">
        <w:rPr>
          <w:sz w:val="24"/>
          <w:szCs w:val="24"/>
        </w:rPr>
        <w:t>Critério de informação de Akaike (AIC);</w:t>
      </w:r>
    </w:p>
    <w:p w14:paraId="3EF49492" w14:textId="6BD3E120" w:rsidR="005C090D" w:rsidRDefault="005C090D" w:rsidP="005C090D">
      <w:pPr>
        <w:widowControl/>
        <w:numPr>
          <w:ilvl w:val="0"/>
          <w:numId w:val="2"/>
        </w:numPr>
        <w:autoSpaceDE/>
        <w:autoSpaceDN/>
        <w:spacing w:after="160" w:line="360" w:lineRule="auto"/>
        <w:rPr>
          <w:sz w:val="24"/>
          <w:szCs w:val="24"/>
        </w:rPr>
      </w:pPr>
      <w:r w:rsidRPr="005C090D">
        <w:rPr>
          <w:sz w:val="24"/>
          <w:szCs w:val="24"/>
        </w:rPr>
        <w:lastRenderedPageBreak/>
        <w:t>Análise gráfica dos resíduos.</w:t>
      </w:r>
    </w:p>
    <w:p w14:paraId="37122977" w14:textId="7654BAD5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3. RESULTADOS E DISCUSSÃO</w:t>
      </w:r>
      <w:r>
        <w:rPr>
          <w:b/>
          <w:sz w:val="28"/>
          <w:szCs w:val="28"/>
        </w:rPr>
        <w:t xml:space="preserve"> </w:t>
      </w:r>
    </w:p>
    <w:p w14:paraId="4D43008E" w14:textId="283FA3CD" w:rsidR="003949CE" w:rsidRDefault="005C090D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 w:rsidRPr="005C090D">
        <w:rPr>
          <w:sz w:val="24"/>
          <w:szCs w:val="24"/>
        </w:rPr>
        <w:t>Os três modelos apresentaram bom ajuste aos dados, com coeficientes de correlação superiores a 0,95 e distribuição aleatória dos resíduos. No entanto, o modelo de Hossfeld (M3–ADA) apresentou o melhor desempenho geral, com RMSE = 0,89 m, RMSPE = 4,7% e menor AIC, indicando maior precisão e parcimônia.</w:t>
      </w:r>
    </w:p>
    <w:p w14:paraId="12711B8C" w14:textId="6D3A391A" w:rsidR="00BC2C31" w:rsidRDefault="00BC2C31" w:rsidP="0040683B">
      <w:pPr>
        <w:widowControl/>
        <w:jc w:val="both"/>
        <w:rPr>
          <w:color w:val="FF0000"/>
        </w:rPr>
      </w:pPr>
      <w:r>
        <w:t>Tabela 2</w:t>
      </w:r>
      <w:r>
        <w:rPr>
          <w:b/>
        </w:rPr>
        <w:t xml:space="preserve"> – </w:t>
      </w:r>
      <w:r w:rsidRPr="00BC2C31">
        <w:rPr>
          <w:bCs/>
        </w:rPr>
        <w:t>Estimadores e estatísticas de precisão dos modelos de crescimento em altura dominante ajustados utilizando as abordagens ADA (M1, M2 e M3) em plantações clonais de teca na Amazônia Oriental Brasileira.</w:t>
      </w:r>
      <w:r>
        <w:rPr>
          <w:bCs/>
        </w:rPr>
        <w:t xml:space="preserve"> </w:t>
      </w:r>
    </w:p>
    <w:tbl>
      <w:tblPr>
        <w:tblW w:w="9072" w:type="dxa"/>
        <w:tblBorders>
          <w:top w:val="single" w:sz="8" w:space="0" w:color="000000"/>
          <w:bottom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559"/>
        <w:gridCol w:w="2126"/>
        <w:gridCol w:w="992"/>
        <w:gridCol w:w="1418"/>
        <w:gridCol w:w="1134"/>
        <w:gridCol w:w="850"/>
      </w:tblGrid>
      <w:tr w:rsidR="001838B5" w14:paraId="09F02B0C" w14:textId="3F93E00F" w:rsidTr="00B17426">
        <w:trPr>
          <w:trHeight w:val="376"/>
        </w:trPr>
        <w:tc>
          <w:tcPr>
            <w:tcW w:w="993" w:type="dxa"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FC1A394" w14:textId="77777777" w:rsidR="001838B5" w:rsidRDefault="001838B5" w:rsidP="001838B5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</w:rPr>
              <w:t>Nº do Modelo</w:t>
            </w:r>
          </w:p>
          <w:p w14:paraId="43B5D181" w14:textId="39330DA5" w:rsidR="001838B5" w:rsidRDefault="001838B5" w:rsidP="001838B5">
            <w:pPr>
              <w:widowControl/>
              <w:spacing w:after="160"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31330A52" w14:textId="27869F7E" w:rsidR="001838B5" w:rsidRDefault="001838B5" w:rsidP="001838B5">
            <w:pPr>
              <w:widowControl/>
              <w:spacing w:after="160" w:line="360" w:lineRule="auto"/>
              <w:jc w:val="center"/>
              <w:rPr>
                <w:b/>
              </w:rPr>
            </w:pPr>
            <w:r w:rsidRPr="00BC2C31">
              <w:rPr>
                <w:b/>
              </w:rPr>
              <w:t>Parâmetros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0E1FB812" w14:textId="11D14D70" w:rsidR="001838B5" w:rsidRDefault="001838B5" w:rsidP="001838B5">
            <w:pPr>
              <w:widowControl/>
              <w:spacing w:after="160" w:line="360" w:lineRule="auto"/>
              <w:jc w:val="center"/>
              <w:rPr>
                <w:b/>
              </w:rPr>
            </w:pPr>
            <w:r w:rsidRPr="00BC2C31">
              <w:rPr>
                <w:b/>
              </w:rPr>
              <w:t>Erro Padrão dos Parâmetros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71E53A91" w14:textId="5DF97980" w:rsidR="001838B5" w:rsidRDefault="00CB676D" w:rsidP="001838B5">
            <w:pPr>
              <w:widowControl/>
              <w:spacing w:after="160" w:line="360" w:lineRule="auto"/>
              <w:jc w:val="center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sz w:val="20"/>
                        <w:szCs w:val="1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18"/>
                        <w:lang w:val="en-US"/>
                      </w:rPr>
                      <m:t>r</m:t>
                    </m:r>
                  </m:e>
                  <m:sub>
                    <m:acc>
                      <m:accPr>
                        <m:ctrlPr>
                          <w:rPr>
                            <w:rFonts w:ascii="Cambria Math" w:hAnsi="Cambria Math" w:cs="Arial"/>
                            <w:b/>
                            <w:bCs/>
                            <w:sz w:val="20"/>
                            <w:szCs w:val="18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18"/>
                            <w:lang w:val="en-US"/>
                          </w:rPr>
                          <m:t>y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18"/>
                        <w:lang w:val="en-US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0204B714" w14:textId="2997D2E4" w:rsidR="001838B5" w:rsidRDefault="001838B5" w:rsidP="001838B5">
            <w:pPr>
              <w:widowControl/>
              <w:spacing w:after="160" w:line="360" w:lineRule="auto"/>
              <w:jc w:val="center"/>
              <w:rPr>
                <w:b/>
              </w:rPr>
            </w:pPr>
            <w:r w:rsidRPr="00BC2C31">
              <w:rPr>
                <w:b/>
              </w:rPr>
              <w:t>RMSE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7E77A52" w14:textId="5DC8F4A0" w:rsidR="001838B5" w:rsidRPr="00BC2C31" w:rsidRDefault="001838B5" w:rsidP="001838B5">
            <w:pPr>
              <w:widowControl/>
              <w:spacing w:after="160" w:line="360" w:lineRule="auto"/>
              <w:jc w:val="center"/>
              <w:rPr>
                <w:b/>
              </w:rPr>
            </w:pPr>
            <w:r w:rsidRPr="00BC2C31">
              <w:rPr>
                <w:b/>
              </w:rPr>
              <w:t>RMSPE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7078847" w14:textId="0B81BAA0" w:rsidR="001838B5" w:rsidRPr="001838B5" w:rsidRDefault="001838B5" w:rsidP="001838B5">
            <w:pPr>
              <w:widowControl/>
              <w:spacing w:after="160" w:line="360" w:lineRule="auto"/>
              <w:jc w:val="center"/>
              <w:rPr>
                <w:b/>
              </w:rPr>
            </w:pPr>
            <w:r w:rsidRPr="001838B5">
              <w:rPr>
                <w:b/>
              </w:rPr>
              <w:t>AIC</w:t>
            </w:r>
          </w:p>
        </w:tc>
      </w:tr>
      <w:tr w:rsidR="001838B5" w14:paraId="0EA661EA" w14:textId="6703C3B0" w:rsidTr="00B17426">
        <w:trPr>
          <w:trHeight w:val="376"/>
        </w:trPr>
        <w:tc>
          <w:tcPr>
            <w:tcW w:w="993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5DB0285A" w14:textId="77777777" w:rsidR="001838B5" w:rsidRPr="00136A69" w:rsidRDefault="001838B5" w:rsidP="001838B5">
            <w:pPr>
              <w:widowControl/>
              <w:spacing w:after="160" w:line="360" w:lineRule="auto"/>
              <w:jc w:val="both"/>
              <w:rPr>
                <w:b/>
                <w:bCs/>
                <w:highlight w:val="yellow"/>
              </w:rPr>
            </w:pPr>
            <w:r w:rsidRPr="00136A69">
              <w:rPr>
                <w:b/>
                <w:bCs/>
              </w:rPr>
              <w:t>M1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53EB654C" w14:textId="4FBD5A1C" w:rsidR="001838B5" w:rsidRDefault="001838B5" w:rsidP="001838B5">
            <w:pPr>
              <w:widowControl/>
              <w:spacing w:after="160" w:line="360" w:lineRule="auto"/>
            </w:pPr>
            <w:r w:rsidRPr="001838B5">
              <w:t>b₁ =24</w:t>
            </w:r>
            <w:r w:rsidR="00B17426">
              <w:t>,</w:t>
            </w:r>
            <w:r w:rsidRPr="001838B5">
              <w:t>958604</w:t>
            </w:r>
            <w:r w:rsidRPr="001838B5">
              <w:br/>
              <w:t>b₃ =0</w:t>
            </w:r>
            <w:r w:rsidR="00B17426">
              <w:t>,</w:t>
            </w:r>
            <w:r w:rsidRPr="001838B5">
              <w:t>605413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0899EAC8" w14:textId="381A2063" w:rsidR="001838B5" w:rsidRPr="00191570" w:rsidRDefault="00B80E33" w:rsidP="001838B5">
            <w:pPr>
              <w:widowControl/>
              <w:spacing w:after="160" w:line="360" w:lineRule="auto"/>
              <w:jc w:val="center"/>
            </w:pPr>
            <w:r w:rsidRPr="00B80E33">
              <w:t>1</w:t>
            </w:r>
            <w:r w:rsidR="00B17426">
              <w:t>,</w:t>
            </w:r>
            <w:r w:rsidRPr="00B80E33">
              <w:t>2115007</w:t>
            </w:r>
            <w:r w:rsidRPr="00B80E33">
              <w:br/>
              <w:t>0</w:t>
            </w:r>
            <w:r w:rsidR="00B17426">
              <w:t>,</w:t>
            </w:r>
            <w:r w:rsidRPr="00B80E33">
              <w:t>0382228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13D0A9CA" w14:textId="46E9FCE9" w:rsidR="001838B5" w:rsidRDefault="00B80E33" w:rsidP="001838B5">
            <w:pPr>
              <w:widowControl/>
              <w:spacing w:after="160" w:line="360" w:lineRule="auto"/>
              <w:jc w:val="center"/>
            </w:pPr>
            <w:r w:rsidRPr="00B80E33">
              <w:t>0</w:t>
            </w:r>
            <w:r w:rsidR="00B17426">
              <w:t>,</w:t>
            </w:r>
            <w:r w:rsidRPr="00B80E33">
              <w:t>9678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470E6786" w14:textId="0642B4F8" w:rsidR="001838B5" w:rsidRDefault="00B80E33" w:rsidP="001838B5">
            <w:pPr>
              <w:widowControl/>
              <w:spacing w:after="160" w:line="360" w:lineRule="auto"/>
              <w:jc w:val="center"/>
            </w:pPr>
            <w:r w:rsidRPr="00B80E33">
              <w:t>0</w:t>
            </w:r>
            <w:r w:rsidR="00B17426">
              <w:t>,</w:t>
            </w:r>
            <w:r w:rsidRPr="00B80E33">
              <w:t>6683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A94DDD6" w14:textId="580972F1" w:rsidR="001838B5" w:rsidRDefault="00B80E33" w:rsidP="001838B5">
            <w:pPr>
              <w:widowControl/>
              <w:spacing w:after="160" w:line="360" w:lineRule="auto"/>
              <w:jc w:val="center"/>
            </w:pPr>
            <w:r w:rsidRPr="00B80E33">
              <w:t>4</w:t>
            </w:r>
            <w:r w:rsidR="00B17426">
              <w:t>,</w:t>
            </w:r>
            <w:r w:rsidRPr="00B80E33">
              <w:t>5251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677241C" w14:textId="6B03BE61" w:rsidR="001838B5" w:rsidRDefault="00B80E33" w:rsidP="001838B5">
            <w:pPr>
              <w:widowControl/>
              <w:spacing w:after="160" w:line="360" w:lineRule="auto"/>
              <w:jc w:val="center"/>
            </w:pPr>
            <w:r w:rsidRPr="00B80E33">
              <w:t>875</w:t>
            </w:r>
            <w:r w:rsidR="00B17426">
              <w:t>,</w:t>
            </w:r>
            <w:r w:rsidRPr="00B80E33">
              <w:t>63</w:t>
            </w:r>
          </w:p>
        </w:tc>
      </w:tr>
      <w:tr w:rsidR="001838B5" w14:paraId="499137B4" w14:textId="73B11299" w:rsidTr="001838B5">
        <w:trPr>
          <w:trHeight w:val="390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FFFFFF"/>
          </w:tcPr>
          <w:p w14:paraId="20070682" w14:textId="77777777" w:rsidR="001838B5" w:rsidRPr="00136A69" w:rsidRDefault="001838B5" w:rsidP="001838B5">
            <w:pPr>
              <w:widowControl/>
              <w:spacing w:after="160" w:line="360" w:lineRule="auto"/>
              <w:jc w:val="both"/>
              <w:rPr>
                <w:b/>
                <w:bCs/>
              </w:rPr>
            </w:pPr>
            <w:r w:rsidRPr="00136A69">
              <w:rPr>
                <w:b/>
                <w:bCs/>
              </w:rPr>
              <w:t>M2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/>
          </w:tcPr>
          <w:p w14:paraId="0B5EF9E9" w14:textId="0C457367" w:rsidR="001838B5" w:rsidRDefault="001838B5" w:rsidP="001838B5">
            <w:pPr>
              <w:widowControl/>
              <w:spacing w:after="160" w:line="360" w:lineRule="auto"/>
            </w:pPr>
            <w:r w:rsidRPr="001838B5">
              <w:t>b₁ =0</w:t>
            </w:r>
            <w:r w:rsidR="00B17426">
              <w:t>,</w:t>
            </w:r>
            <w:r w:rsidRPr="001838B5">
              <w:t>0232586</w:t>
            </w:r>
            <w:r w:rsidRPr="001838B5">
              <w:br/>
              <w:t>b₂ =0</w:t>
            </w:r>
            <w:r w:rsidR="00B17426">
              <w:t>,</w:t>
            </w:r>
            <w:r w:rsidRPr="001838B5">
              <w:t>7577856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FFFFF"/>
          </w:tcPr>
          <w:p w14:paraId="55A6209B" w14:textId="54A73F99" w:rsidR="001838B5" w:rsidRPr="00191570" w:rsidRDefault="00B80E33" w:rsidP="001838B5">
            <w:pPr>
              <w:widowControl/>
              <w:spacing w:after="160" w:line="360" w:lineRule="auto"/>
              <w:jc w:val="center"/>
            </w:pPr>
            <w:r w:rsidRPr="00B80E33">
              <w:t>0</w:t>
            </w:r>
            <w:r w:rsidR="00B17426">
              <w:t>,</w:t>
            </w:r>
            <w:r w:rsidRPr="00B80E33">
              <w:t>00201532</w:t>
            </w:r>
            <w:r w:rsidRPr="00B80E33">
              <w:br/>
              <w:t>0</w:t>
            </w:r>
            <w:r w:rsidR="00B17426">
              <w:t>,</w:t>
            </w:r>
            <w:r w:rsidRPr="00B80E33">
              <w:t>03424046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FFFFF"/>
          </w:tcPr>
          <w:p w14:paraId="613DC6A7" w14:textId="391D9B89" w:rsidR="001838B5" w:rsidRDefault="00B80E33" w:rsidP="001838B5">
            <w:pPr>
              <w:widowControl/>
              <w:spacing w:after="160" w:line="360" w:lineRule="auto"/>
              <w:jc w:val="center"/>
            </w:pPr>
            <w:r w:rsidRPr="00B80E33">
              <w:t>0</w:t>
            </w:r>
            <w:r w:rsidR="00B17426">
              <w:t>,</w:t>
            </w:r>
            <w:r w:rsidRPr="00B80E33">
              <w:t>9596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FFFFF"/>
          </w:tcPr>
          <w:p w14:paraId="19FAE789" w14:textId="4291CB44" w:rsidR="001838B5" w:rsidRDefault="00B80E33" w:rsidP="001838B5">
            <w:pPr>
              <w:widowControl/>
              <w:spacing w:after="160" w:line="360" w:lineRule="auto"/>
              <w:jc w:val="center"/>
            </w:pPr>
            <w:r w:rsidRPr="00B80E33">
              <w:t>0</w:t>
            </w:r>
            <w:r w:rsidR="00B17426">
              <w:t>,</w:t>
            </w:r>
            <w:r w:rsidRPr="00B80E33">
              <w:t>7687</w:t>
            </w:r>
          </w:p>
        </w:tc>
        <w:tc>
          <w:tcPr>
            <w:tcW w:w="1134" w:type="dxa"/>
          </w:tcPr>
          <w:p w14:paraId="20E4ECD6" w14:textId="3CA0F0A8" w:rsidR="001838B5" w:rsidRDefault="00B80E33" w:rsidP="001838B5">
            <w:pPr>
              <w:widowControl/>
              <w:spacing w:after="160" w:line="360" w:lineRule="auto"/>
              <w:jc w:val="center"/>
            </w:pPr>
            <w:r w:rsidRPr="00B80E33">
              <w:t>5</w:t>
            </w:r>
            <w:r w:rsidR="00B17426">
              <w:t>,</w:t>
            </w:r>
            <w:r w:rsidRPr="00B80E33">
              <w:t>2047</w:t>
            </w:r>
          </w:p>
        </w:tc>
        <w:tc>
          <w:tcPr>
            <w:tcW w:w="850" w:type="dxa"/>
          </w:tcPr>
          <w:p w14:paraId="6B235BE9" w14:textId="1840DCC1" w:rsidR="001838B5" w:rsidRDefault="00B80E33" w:rsidP="001838B5">
            <w:pPr>
              <w:widowControl/>
              <w:spacing w:after="160" w:line="360" w:lineRule="auto"/>
              <w:jc w:val="center"/>
            </w:pPr>
            <w:r w:rsidRPr="00B80E33">
              <w:t>995</w:t>
            </w:r>
            <w:r w:rsidR="00B17426">
              <w:t>,</w:t>
            </w:r>
            <w:r w:rsidRPr="00B80E33">
              <w:t>12</w:t>
            </w:r>
          </w:p>
        </w:tc>
      </w:tr>
      <w:tr w:rsidR="001838B5" w14:paraId="356D049A" w14:textId="4689DBE0" w:rsidTr="001838B5">
        <w:trPr>
          <w:trHeight w:val="291"/>
        </w:trPr>
        <w:tc>
          <w:tcPr>
            <w:tcW w:w="993" w:type="dxa"/>
            <w:shd w:val="clear" w:color="auto" w:fill="FFFFFF"/>
          </w:tcPr>
          <w:p w14:paraId="6312D26C" w14:textId="77777777" w:rsidR="001838B5" w:rsidRPr="00136A69" w:rsidRDefault="001838B5" w:rsidP="001838B5">
            <w:pPr>
              <w:widowControl/>
              <w:spacing w:after="160" w:line="360" w:lineRule="auto"/>
              <w:jc w:val="both"/>
              <w:rPr>
                <w:b/>
                <w:bCs/>
              </w:rPr>
            </w:pPr>
            <w:r w:rsidRPr="00136A69">
              <w:rPr>
                <w:b/>
                <w:bCs/>
              </w:rPr>
              <w:t>M3</w:t>
            </w:r>
          </w:p>
        </w:tc>
        <w:tc>
          <w:tcPr>
            <w:tcW w:w="1559" w:type="dxa"/>
            <w:shd w:val="clear" w:color="auto" w:fill="FFFFFF"/>
          </w:tcPr>
          <w:p w14:paraId="26463214" w14:textId="0F8156F4" w:rsidR="001838B5" w:rsidRPr="00B80E33" w:rsidRDefault="00B80E33" w:rsidP="00B80E33">
            <w:pPr>
              <w:widowControl/>
              <w:spacing w:after="160" w:line="360" w:lineRule="auto"/>
            </w:pPr>
            <w:r w:rsidRPr="00B80E33">
              <w:t>b₁ =20</w:t>
            </w:r>
            <w:r w:rsidR="00B17426">
              <w:t>,</w:t>
            </w:r>
            <w:r w:rsidRPr="00B80E33">
              <w:t>870433</w:t>
            </w:r>
            <w:r w:rsidRPr="00B80E33">
              <w:br/>
              <w:t>b₃ = 1</w:t>
            </w:r>
            <w:r w:rsidR="00B17426">
              <w:t>,</w:t>
            </w:r>
            <w:r w:rsidRPr="00B80E33">
              <w:t>102182</w:t>
            </w:r>
          </w:p>
        </w:tc>
        <w:tc>
          <w:tcPr>
            <w:tcW w:w="2126" w:type="dxa"/>
          </w:tcPr>
          <w:p w14:paraId="6DFBE61B" w14:textId="01AEBFF6" w:rsidR="001838B5" w:rsidRPr="00B80E33" w:rsidRDefault="00B80E33" w:rsidP="001838B5">
            <w:pPr>
              <w:widowControl/>
              <w:spacing w:after="160" w:line="360" w:lineRule="auto"/>
              <w:jc w:val="center"/>
            </w:pPr>
            <w:r w:rsidRPr="00B80E33">
              <w:t>0</w:t>
            </w:r>
            <w:r w:rsidR="00B17426">
              <w:t>,</w:t>
            </w:r>
            <w:r w:rsidRPr="00B80E33">
              <w:t>5513357</w:t>
            </w:r>
            <w:r w:rsidRPr="00B80E33">
              <w:br/>
              <w:t>0</w:t>
            </w:r>
            <w:r w:rsidR="00B17426">
              <w:t>,</w:t>
            </w:r>
            <w:r w:rsidRPr="00B80E33">
              <w:t>0416282</w:t>
            </w:r>
          </w:p>
        </w:tc>
        <w:tc>
          <w:tcPr>
            <w:tcW w:w="992" w:type="dxa"/>
          </w:tcPr>
          <w:p w14:paraId="73B78687" w14:textId="2C330940" w:rsidR="001838B5" w:rsidRPr="00B80E33" w:rsidRDefault="00B80E33" w:rsidP="001838B5">
            <w:pPr>
              <w:widowControl/>
              <w:spacing w:after="160" w:line="360" w:lineRule="auto"/>
              <w:jc w:val="center"/>
            </w:pPr>
            <w:r w:rsidRPr="00B80E33">
              <w:t>0</w:t>
            </w:r>
            <w:r w:rsidR="00B17426">
              <w:t>,</w:t>
            </w:r>
            <w:r w:rsidRPr="00B80E33">
              <w:t>9678</w:t>
            </w:r>
          </w:p>
        </w:tc>
        <w:tc>
          <w:tcPr>
            <w:tcW w:w="1418" w:type="dxa"/>
          </w:tcPr>
          <w:p w14:paraId="62B0D876" w14:textId="5D8F5ABA" w:rsidR="001838B5" w:rsidRPr="00B80E33" w:rsidRDefault="00B80E33" w:rsidP="001838B5">
            <w:pPr>
              <w:widowControl/>
              <w:spacing w:after="160" w:line="360" w:lineRule="auto"/>
              <w:jc w:val="center"/>
            </w:pPr>
            <w:r w:rsidRPr="00B80E33">
              <w:t>0</w:t>
            </w:r>
            <w:r w:rsidR="00B17426">
              <w:t>,</w:t>
            </w:r>
            <w:r w:rsidRPr="00B80E33">
              <w:t>6676</w:t>
            </w:r>
          </w:p>
        </w:tc>
        <w:tc>
          <w:tcPr>
            <w:tcW w:w="1134" w:type="dxa"/>
          </w:tcPr>
          <w:p w14:paraId="092897AD" w14:textId="7845EB51" w:rsidR="001838B5" w:rsidRPr="00B80E33" w:rsidRDefault="00B80E33" w:rsidP="001838B5">
            <w:pPr>
              <w:widowControl/>
              <w:spacing w:after="160" w:line="360" w:lineRule="auto"/>
              <w:jc w:val="center"/>
            </w:pPr>
            <w:r w:rsidRPr="00B80E33">
              <w:t>4</w:t>
            </w:r>
            <w:r w:rsidR="00B17426">
              <w:t>,</w:t>
            </w:r>
            <w:r w:rsidRPr="00B80E33">
              <w:t>5199</w:t>
            </w:r>
          </w:p>
        </w:tc>
        <w:tc>
          <w:tcPr>
            <w:tcW w:w="850" w:type="dxa"/>
          </w:tcPr>
          <w:p w14:paraId="31C4FF4F" w14:textId="11D1812C" w:rsidR="001838B5" w:rsidRPr="00B80E33" w:rsidRDefault="00B80E33" w:rsidP="001838B5">
            <w:pPr>
              <w:widowControl/>
              <w:spacing w:after="160" w:line="360" w:lineRule="auto"/>
              <w:jc w:val="center"/>
            </w:pPr>
            <w:r w:rsidRPr="00B80E33">
              <w:t>874</w:t>
            </w:r>
            <w:r w:rsidR="00B17426">
              <w:t>,</w:t>
            </w:r>
            <w:r w:rsidRPr="00B80E33">
              <w:t>65</w:t>
            </w:r>
          </w:p>
        </w:tc>
      </w:tr>
    </w:tbl>
    <w:p w14:paraId="21D42E8D" w14:textId="2139029E" w:rsidR="00B17910" w:rsidRPr="00E26983" w:rsidRDefault="00A7024E" w:rsidP="0040683B">
      <w:pPr>
        <w:widowControl/>
        <w:jc w:val="both"/>
      </w:pPr>
      <w:r w:rsidRPr="00E26983">
        <w:t>Onde bᵢ: parâmetros do modelo; RMSE: raiz quadrada do erro médio; RMSPE: raiz quadrada do erro médio percentual;</w:t>
      </w:r>
      <w:r w:rsidR="00935B44">
        <w:t xml:space="preserve"> </w:t>
      </w:r>
      <m:oMath>
        <m:sSub>
          <m:sSubPr>
            <m:ctrlPr>
              <w:rPr>
                <w:rFonts w:ascii="Cambria Math" w:hAnsi="Cambria Math" w:cs="Arial"/>
                <w:b/>
                <w:bCs/>
                <w:sz w:val="20"/>
                <w:szCs w:val="1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18"/>
                <w:lang w:val="en-US"/>
              </w:rPr>
              <m:t>r</m:t>
            </m:r>
          </m:e>
          <m:sub>
            <m:acc>
              <m:accPr>
                <m:ctrlPr>
                  <w:rPr>
                    <w:rFonts w:ascii="Cambria Math" w:hAnsi="Cambria Math" w:cs="Arial"/>
                    <w:b/>
                    <w:bCs/>
                    <w:sz w:val="20"/>
                    <w:szCs w:val="18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18"/>
                    <w:lang w:val="en-US"/>
                  </w:rPr>
                  <m:t>y</m:t>
                </m:r>
              </m:e>
            </m:acc>
            <m:r>
              <m:rPr>
                <m:sty m:val="bi"/>
              </m:rPr>
              <w:rPr>
                <w:rFonts w:ascii="Cambria Math" w:hAnsi="Cambria Math" w:cs="Arial"/>
                <w:sz w:val="20"/>
                <w:szCs w:val="18"/>
                <w:lang w:val="en-US"/>
              </w:rPr>
              <m:t>y</m:t>
            </m:r>
          </m:sub>
        </m:sSub>
      </m:oMath>
      <w:r w:rsidRPr="00E26983">
        <w:t>: coeficiente de correlação entre os valores observados e preditos; e AIC: Critério de Informação de Akaike.</w:t>
      </w:r>
      <w:r w:rsidR="00B17910" w:rsidRPr="00E26983">
        <w:t xml:space="preserve"> </w:t>
      </w:r>
      <w:r w:rsidR="00B17910" w:rsidRPr="00E26983">
        <w:t>Fonte:</w:t>
      </w:r>
      <w:r w:rsidR="00B17910" w:rsidRPr="00E26983">
        <w:rPr>
          <w:b/>
        </w:rPr>
        <w:t xml:space="preserve"> </w:t>
      </w:r>
      <w:r w:rsidR="008667C0" w:rsidRPr="00E26983">
        <w:t>Autor</w:t>
      </w:r>
      <w:r w:rsidR="00B17910" w:rsidRPr="00E26983">
        <w:t xml:space="preserve"> </w:t>
      </w:r>
      <w:proofErr w:type="spellStart"/>
      <w:r w:rsidR="00B17910" w:rsidRPr="00E26983">
        <w:t>et</w:t>
      </w:r>
      <w:proofErr w:type="spellEnd"/>
      <w:r w:rsidR="00B17910" w:rsidRPr="00E26983">
        <w:t xml:space="preserve"> al. (20</w:t>
      </w:r>
      <w:r w:rsidR="008667C0" w:rsidRPr="00E26983">
        <w:t>25</w:t>
      </w:r>
      <w:r w:rsidR="00B17910" w:rsidRPr="00E26983">
        <w:t>).</w:t>
      </w:r>
      <w:r w:rsidR="00B17910" w:rsidRPr="00E26983">
        <w:rPr>
          <w:b/>
        </w:rPr>
        <w:t xml:space="preserve"> </w:t>
      </w:r>
    </w:p>
    <w:p w14:paraId="7EB89530" w14:textId="640A890C" w:rsidR="00A7024E" w:rsidRDefault="00A7024E" w:rsidP="00A7024E">
      <w:pPr>
        <w:pBdr>
          <w:bottom w:val="none" w:sz="0" w:space="6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</w:p>
    <w:p w14:paraId="48365D4A" w14:textId="5D2324B9" w:rsidR="00A7024E" w:rsidRDefault="00CD0AC7" w:rsidP="00A7024E">
      <w:pPr>
        <w:pBdr>
          <w:bottom w:val="none" w:sz="0" w:space="6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</w:pPr>
      <w:r w:rsidRPr="00CD0AC7">
        <w:t xml:space="preserve">As distribuições dos resíduos para os modelos ADA apresentaram semelhanças, especialmente para os modelos M1 e M3, que revelaram menor viés na estimativa da altura dominante tanto nas estatísticas construídas quanto nos padrões de resíduos. Em ambos os modelos (Figura 2a), a amplitude de ±2,4 m de resíduo absoluto concentrou-se nas classes de erro central, indicando um maior número de observações próximas de zero, o que foi confirmado pelo teste de </w:t>
      </w:r>
      <w:proofErr w:type="spellStart"/>
      <w:r w:rsidRPr="00CD0AC7">
        <w:t>Shapiro-Wilk</w:t>
      </w:r>
      <w:proofErr w:type="spellEnd"/>
      <w:r w:rsidRPr="00CD0AC7">
        <w:t>, concluindo que os resíduos seguem uma distribuição normal (Figura 2c), com correlações significativas e altas entre os valores observados e previstos (&gt;0,96) (Figura 2b). Ao avaliar o modelo M2, notou-se uma tendência particular, com amplitudes de resíduos de ±2,8 m, evidenciando subestimação e superestimação nas alturas dominantes menores e maiores, respectivamente.</w:t>
      </w:r>
    </w:p>
    <w:p w14:paraId="2A4BCC14" w14:textId="77777777" w:rsidR="0040683B" w:rsidRDefault="0040683B" w:rsidP="00A7024E">
      <w:pPr>
        <w:pBdr>
          <w:bottom w:val="none" w:sz="0" w:space="6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</w:pPr>
    </w:p>
    <w:p w14:paraId="3ACA1713" w14:textId="25001FEA" w:rsidR="00825DEA" w:rsidRDefault="00E12D2E" w:rsidP="0040683B">
      <w:pPr>
        <w:pBdr>
          <w:bottom w:val="none" w:sz="0" w:space="8" w:color="000000"/>
        </w:pBdr>
        <w:shd w:val="clear" w:color="auto" w:fill="FFFFFF"/>
        <w:tabs>
          <w:tab w:val="left" w:pos="699"/>
        </w:tabs>
        <w:jc w:val="both"/>
        <w:rPr>
          <w:highlight w:val="white"/>
        </w:rPr>
      </w:pPr>
      <w:r>
        <w:rPr>
          <w:b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66822370" wp14:editId="36DF42AF">
            <wp:simplePos x="0" y="0"/>
            <wp:positionH relativeFrom="margin">
              <wp:align>center</wp:align>
            </wp:positionH>
            <wp:positionV relativeFrom="paragraph">
              <wp:posOffset>604520</wp:posOffset>
            </wp:positionV>
            <wp:extent cx="5564505" cy="3943985"/>
            <wp:effectExtent l="0" t="0" r="0" b="0"/>
            <wp:wrapTopAndBottom/>
            <wp:docPr id="20760165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05" cy="394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DEA" w:rsidRPr="00825DEA">
        <w:rPr>
          <w:highlight w:val="white"/>
        </w:rPr>
        <w:t xml:space="preserve">Figura 2. Distribuição dos erros absolutos de estimativa (a), correlação entre volumes observados e preditos (b) e histograma da frequência do erro absoluto (c) dos modelos ADA, ajustados aos dados de altura dominante em plantações clonais de teca na Amazônia Oriental </w:t>
      </w:r>
      <w:r w:rsidR="00284DC9">
        <w:rPr>
          <w:highlight w:val="white"/>
        </w:rPr>
        <w:t>b</w:t>
      </w:r>
      <w:r w:rsidR="00825DEA" w:rsidRPr="00825DEA">
        <w:rPr>
          <w:highlight w:val="white"/>
        </w:rPr>
        <w:t>rasileira.</w:t>
      </w:r>
    </w:p>
    <w:p w14:paraId="192600DC" w14:textId="57F5D6DA" w:rsidR="0040683B" w:rsidRPr="00C05E71" w:rsidRDefault="0040683B" w:rsidP="0040683B">
      <w:pPr>
        <w:pBdr>
          <w:bottom w:val="none" w:sz="0" w:space="6" w:color="000000"/>
        </w:pBdr>
        <w:shd w:val="clear" w:color="auto" w:fill="FFFFFF"/>
        <w:tabs>
          <w:tab w:val="left" w:pos="2500"/>
        </w:tabs>
        <w:jc w:val="both"/>
      </w:pPr>
      <w:r w:rsidRPr="00C05E71">
        <w:t>Fonte: Santos, 202</w:t>
      </w:r>
      <w:r>
        <w:t>5</w:t>
      </w:r>
      <w:r w:rsidRPr="00C05E71">
        <w:t xml:space="preserve">. </w:t>
      </w:r>
    </w:p>
    <w:p w14:paraId="2814CE41" w14:textId="0849F83B" w:rsidR="00A96B1A" w:rsidRDefault="00A96B1A" w:rsidP="00AF1D4D">
      <w:pPr>
        <w:widowControl/>
        <w:spacing w:after="160" w:line="360" w:lineRule="auto"/>
        <w:ind w:firstLine="720"/>
        <w:jc w:val="both"/>
        <w:rPr>
          <w:sz w:val="24"/>
          <w:szCs w:val="24"/>
        </w:rPr>
      </w:pPr>
    </w:p>
    <w:p w14:paraId="29299F9B" w14:textId="32CC376F" w:rsidR="003949CE" w:rsidRDefault="00825DEA" w:rsidP="00AF1D4D">
      <w:pPr>
        <w:widowControl/>
        <w:spacing w:after="160" w:line="360" w:lineRule="auto"/>
        <w:ind w:firstLine="720"/>
        <w:jc w:val="both"/>
        <w:rPr>
          <w:sz w:val="24"/>
          <w:szCs w:val="24"/>
        </w:rPr>
      </w:pPr>
      <w:r w:rsidRPr="00825DEA">
        <w:rPr>
          <w:sz w:val="24"/>
          <w:szCs w:val="24"/>
        </w:rPr>
        <w:t xml:space="preserve">Resultados semelhantes foram relatados </w:t>
      </w:r>
      <w:r w:rsidRPr="00041C6F">
        <w:rPr>
          <w:sz w:val="24"/>
          <w:szCs w:val="24"/>
        </w:rPr>
        <w:t xml:space="preserve">por </w:t>
      </w:r>
      <w:proofErr w:type="spellStart"/>
      <w:r w:rsidR="009023CD" w:rsidRPr="00041C6F">
        <w:rPr>
          <w:sz w:val="24"/>
          <w:szCs w:val="24"/>
        </w:rPr>
        <w:t>Carrijo</w:t>
      </w:r>
      <w:proofErr w:type="spellEnd"/>
      <w:r w:rsidR="009023CD" w:rsidRPr="00041C6F">
        <w:rPr>
          <w:sz w:val="24"/>
          <w:szCs w:val="24"/>
        </w:rPr>
        <w:t xml:space="preserve"> </w:t>
      </w:r>
      <w:proofErr w:type="spellStart"/>
      <w:r w:rsidR="009023CD" w:rsidRPr="00041C6F">
        <w:rPr>
          <w:sz w:val="24"/>
          <w:szCs w:val="24"/>
        </w:rPr>
        <w:t>et</w:t>
      </w:r>
      <w:proofErr w:type="spellEnd"/>
      <w:r w:rsidR="009023CD" w:rsidRPr="00041C6F">
        <w:rPr>
          <w:sz w:val="24"/>
          <w:szCs w:val="24"/>
        </w:rPr>
        <w:t xml:space="preserve"> al.</w:t>
      </w:r>
      <w:r w:rsidR="00041C6F" w:rsidRPr="00041C6F">
        <w:rPr>
          <w:sz w:val="24"/>
          <w:szCs w:val="24"/>
        </w:rPr>
        <w:t xml:space="preserve"> (2020)</w:t>
      </w:r>
      <w:r w:rsidRPr="00041C6F">
        <w:rPr>
          <w:sz w:val="24"/>
          <w:szCs w:val="24"/>
        </w:rPr>
        <w:t xml:space="preserve"> e </w:t>
      </w:r>
      <w:r w:rsidR="00041C6F" w:rsidRPr="00041C6F">
        <w:rPr>
          <w:sz w:val="24"/>
          <w:szCs w:val="24"/>
        </w:rPr>
        <w:t>Miranda</w:t>
      </w:r>
      <w:r w:rsidRPr="00041C6F">
        <w:rPr>
          <w:sz w:val="24"/>
          <w:szCs w:val="24"/>
        </w:rPr>
        <w:t xml:space="preserve"> et al. </w:t>
      </w:r>
      <w:r w:rsidR="00041C6F" w:rsidRPr="00041C6F">
        <w:rPr>
          <w:sz w:val="24"/>
          <w:szCs w:val="24"/>
        </w:rPr>
        <w:t>(2021)</w:t>
      </w:r>
      <w:r w:rsidRPr="00041C6F">
        <w:rPr>
          <w:sz w:val="24"/>
          <w:szCs w:val="24"/>
        </w:rPr>
        <w:t xml:space="preserve"> em estudos com</w:t>
      </w:r>
      <w:r w:rsidR="00284DC9" w:rsidRPr="00041C6F">
        <w:rPr>
          <w:sz w:val="24"/>
          <w:szCs w:val="24"/>
        </w:rPr>
        <w:t xml:space="preserve"> espécies do gênero</w:t>
      </w:r>
      <w:r w:rsidRPr="00041C6F">
        <w:rPr>
          <w:sz w:val="24"/>
          <w:szCs w:val="24"/>
        </w:rPr>
        <w:t xml:space="preserve"> </w:t>
      </w:r>
      <w:proofErr w:type="spellStart"/>
      <w:r w:rsidRPr="00041C6F">
        <w:rPr>
          <w:i/>
          <w:iCs/>
          <w:sz w:val="24"/>
          <w:szCs w:val="24"/>
        </w:rPr>
        <w:t>Eucalyptus</w:t>
      </w:r>
      <w:proofErr w:type="spellEnd"/>
      <w:r w:rsidRPr="00041C6F">
        <w:rPr>
          <w:sz w:val="24"/>
          <w:szCs w:val="24"/>
        </w:rPr>
        <w:t xml:space="preserve"> e </w:t>
      </w:r>
      <w:proofErr w:type="spellStart"/>
      <w:r w:rsidRPr="00041C6F">
        <w:rPr>
          <w:i/>
          <w:iCs/>
          <w:sz w:val="24"/>
          <w:szCs w:val="24"/>
        </w:rPr>
        <w:t>Pinus</w:t>
      </w:r>
      <w:proofErr w:type="spellEnd"/>
      <w:r w:rsidRPr="00041C6F">
        <w:rPr>
          <w:sz w:val="24"/>
          <w:szCs w:val="24"/>
        </w:rPr>
        <w:t>, reforçando a adequação da abordagem</w:t>
      </w:r>
      <w:r w:rsidRPr="00825DEA">
        <w:rPr>
          <w:sz w:val="24"/>
          <w:szCs w:val="24"/>
        </w:rPr>
        <w:t xml:space="preserve"> ADA para descrever o crescimento em altura dominante em espécies tropicais.</w:t>
      </w:r>
      <w:r w:rsidR="00B24D87">
        <w:rPr>
          <w:sz w:val="24"/>
          <w:szCs w:val="24"/>
        </w:rPr>
        <w:t xml:space="preserve"> </w:t>
      </w:r>
      <w:r w:rsidRPr="00825DEA">
        <w:rPr>
          <w:sz w:val="24"/>
          <w:szCs w:val="24"/>
        </w:rPr>
        <w:t>A simplicidade estrutural e a consistência das projeções obtidas com o modelo M3–ADA tornam essa equação uma alternativa prática para aplicações em inventários contínuos e sistemas de apoio à decisão no manejo de teca.</w:t>
      </w:r>
    </w:p>
    <w:p w14:paraId="087E438F" w14:textId="3B2F69F1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7AAA96CE" w14:textId="77777777" w:rsidR="00143151" w:rsidRDefault="00143151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36BE0E33" w14:textId="3A1286DA" w:rsidR="00A96B1A" w:rsidRDefault="00A96B1A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6EF26A43" w14:textId="6AFBF4B4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4. CONCLUSÃO </w:t>
      </w:r>
    </w:p>
    <w:p w14:paraId="61519C84" w14:textId="05E43E11" w:rsidR="00825DEA" w:rsidRPr="00825DEA" w:rsidRDefault="00AF5EFC" w:rsidP="00041C6F">
      <w:pPr>
        <w:widowControl/>
        <w:autoSpaceDE/>
        <w:autoSpaceDN/>
        <w:spacing w:after="16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Com isso, a</w:t>
      </w:r>
      <w:r w:rsidR="00825DEA" w:rsidRPr="00825DEA">
        <w:rPr>
          <w:sz w:val="24"/>
          <w:szCs w:val="24"/>
        </w:rPr>
        <w:t xml:space="preserve"> Abordagem da Diferença Algébrica (ADA) demonstrou ser eficiente para representar o crescimento em altura dominante de </w:t>
      </w:r>
      <w:r w:rsidRPr="00AF5EFC">
        <w:rPr>
          <w:sz w:val="24"/>
          <w:szCs w:val="24"/>
        </w:rPr>
        <w:t>teca</w:t>
      </w:r>
      <w:r w:rsidR="00825DEA" w:rsidRPr="00825DEA">
        <w:rPr>
          <w:sz w:val="24"/>
          <w:szCs w:val="24"/>
        </w:rPr>
        <w:t xml:space="preserve"> na Amazônia Oriental.</w:t>
      </w:r>
      <w:r>
        <w:rPr>
          <w:sz w:val="24"/>
          <w:szCs w:val="24"/>
        </w:rPr>
        <w:t xml:space="preserve"> </w:t>
      </w:r>
      <w:r w:rsidR="00825DEA" w:rsidRPr="00825DEA">
        <w:rPr>
          <w:sz w:val="24"/>
          <w:szCs w:val="24"/>
        </w:rPr>
        <w:t xml:space="preserve">O modelo de </w:t>
      </w:r>
      <w:r w:rsidR="00825DEA" w:rsidRPr="00AF5EFC">
        <w:rPr>
          <w:sz w:val="24"/>
          <w:szCs w:val="24"/>
        </w:rPr>
        <w:t>Hossfeld (M3–ADA) apresentou</w:t>
      </w:r>
      <w:r w:rsidR="00825DEA" w:rsidRPr="00825DEA">
        <w:rPr>
          <w:sz w:val="24"/>
          <w:szCs w:val="24"/>
        </w:rPr>
        <w:t xml:space="preserve"> o melhor desempenho estatístico e biológico entre os modelos testados.</w:t>
      </w:r>
      <w:r>
        <w:rPr>
          <w:sz w:val="24"/>
          <w:szCs w:val="24"/>
        </w:rPr>
        <w:t xml:space="preserve"> </w:t>
      </w:r>
      <w:r w:rsidR="00825DEA" w:rsidRPr="00825DEA">
        <w:rPr>
          <w:sz w:val="24"/>
          <w:szCs w:val="24"/>
        </w:rPr>
        <w:t>As equações ajustadas podem ser utilizadas em programas de predição e projeção de crescimento, contribuindo para o planejamento silvicultural de povoamentos clonais de teca.</w:t>
      </w:r>
    </w:p>
    <w:p w14:paraId="748022AF" w14:textId="77777777" w:rsidR="00A96B1A" w:rsidRDefault="00A96B1A" w:rsidP="001E33B3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13B0724B" w14:textId="01C4C32C" w:rsidR="009023CD" w:rsidRDefault="003949CE" w:rsidP="001E33B3">
      <w:pPr>
        <w:widowControl/>
        <w:tabs>
          <w:tab w:val="left" w:pos="1290"/>
        </w:tabs>
        <w:spacing w:after="160" w:line="259" w:lineRule="auto"/>
        <w:jc w:val="both"/>
        <w:rPr>
          <w:sz w:val="24"/>
          <w:szCs w:val="24"/>
        </w:rPr>
      </w:pPr>
      <w:r w:rsidRPr="001E33B3">
        <w:rPr>
          <w:b/>
          <w:sz w:val="24"/>
          <w:szCs w:val="24"/>
        </w:rPr>
        <w:t xml:space="preserve">REFERÊNCIAS </w:t>
      </w:r>
    </w:p>
    <w:p w14:paraId="5E1EA399" w14:textId="77777777" w:rsidR="001E33B3" w:rsidRPr="001E33B3" w:rsidRDefault="001E33B3" w:rsidP="001E33B3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  <w:lang w:val="en-US"/>
        </w:rPr>
      </w:pPr>
      <w:r w:rsidRPr="001E33B3">
        <w:rPr>
          <w:sz w:val="24"/>
          <w:szCs w:val="24"/>
          <w:lang w:val="en-US"/>
        </w:rPr>
        <w:t xml:space="preserve">ASSMANN, E. </w:t>
      </w:r>
      <w:r w:rsidRPr="001E33B3">
        <w:rPr>
          <w:i/>
          <w:iCs/>
          <w:sz w:val="24"/>
          <w:szCs w:val="24"/>
          <w:lang w:val="en-US"/>
        </w:rPr>
        <w:t xml:space="preserve">The principles of forest yield study: studies in </w:t>
      </w:r>
      <w:proofErr w:type="gramStart"/>
      <w:r w:rsidRPr="001E33B3">
        <w:rPr>
          <w:i/>
          <w:iCs/>
          <w:sz w:val="24"/>
          <w:szCs w:val="24"/>
          <w:lang w:val="en-US"/>
        </w:rPr>
        <w:t>the organic</w:t>
      </w:r>
      <w:proofErr w:type="gramEnd"/>
      <w:r w:rsidRPr="001E33B3">
        <w:rPr>
          <w:i/>
          <w:iCs/>
          <w:sz w:val="24"/>
          <w:szCs w:val="24"/>
          <w:lang w:val="en-US"/>
        </w:rPr>
        <w:t xml:space="preserve"> production, structure, increment and yield of forest stands.</w:t>
      </w:r>
      <w:r w:rsidRPr="001E33B3">
        <w:rPr>
          <w:sz w:val="24"/>
          <w:szCs w:val="24"/>
          <w:lang w:val="en-US"/>
        </w:rPr>
        <w:t xml:space="preserve"> Turkey: Pergamon, 1970.</w:t>
      </w:r>
    </w:p>
    <w:p w14:paraId="58770C95" w14:textId="362C31FB" w:rsidR="001E33B3" w:rsidRPr="001E33B3" w:rsidRDefault="001E33B3" w:rsidP="001E33B3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  <w:lang w:val="en-US"/>
        </w:rPr>
      </w:pPr>
      <w:r w:rsidRPr="001E33B3">
        <w:rPr>
          <w:sz w:val="24"/>
          <w:szCs w:val="24"/>
          <w:lang w:val="en-US"/>
        </w:rPr>
        <w:t xml:space="preserve">BURKHART, H. E.; TOMÉ, </w:t>
      </w:r>
      <w:proofErr w:type="gramStart"/>
      <w:r w:rsidRPr="001E33B3">
        <w:rPr>
          <w:sz w:val="24"/>
          <w:szCs w:val="24"/>
          <w:lang w:val="en-US"/>
        </w:rPr>
        <w:t>M.</w:t>
      </w:r>
      <w:r w:rsidR="00B17426">
        <w:rPr>
          <w:sz w:val="24"/>
          <w:szCs w:val="24"/>
          <w:lang w:val="en-US"/>
        </w:rPr>
        <w:t xml:space="preserve"> </w:t>
      </w:r>
      <w:r w:rsidRPr="001E33B3">
        <w:rPr>
          <w:i/>
          <w:iCs/>
          <w:sz w:val="24"/>
          <w:szCs w:val="24"/>
          <w:lang w:val="en-US"/>
        </w:rPr>
        <w:t>Modeling forest</w:t>
      </w:r>
      <w:proofErr w:type="gramEnd"/>
      <w:r w:rsidRPr="001E33B3">
        <w:rPr>
          <w:i/>
          <w:iCs/>
          <w:sz w:val="24"/>
          <w:szCs w:val="24"/>
          <w:lang w:val="en-US"/>
        </w:rPr>
        <w:t xml:space="preserve"> trees and stands.</w:t>
      </w:r>
      <w:r w:rsidRPr="001E33B3">
        <w:rPr>
          <w:sz w:val="24"/>
          <w:szCs w:val="24"/>
          <w:lang w:val="en-US"/>
        </w:rPr>
        <w:t xml:space="preserve"> Berlin; Heidelberg: Springer, 2012.</w:t>
      </w:r>
    </w:p>
    <w:p w14:paraId="6A2A8E76" w14:textId="77777777" w:rsidR="001E33B3" w:rsidRPr="001E33B3" w:rsidRDefault="001E33B3" w:rsidP="001E33B3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  <w:lang w:val="en-US"/>
        </w:rPr>
      </w:pPr>
      <w:r w:rsidRPr="001E33B3">
        <w:rPr>
          <w:sz w:val="24"/>
          <w:szCs w:val="24"/>
          <w:lang w:val="en-US"/>
        </w:rPr>
        <w:t xml:space="preserve">CARRIJO, J. V. N.; FERREIRA, A. B. F. de; FERREIRA, M. C.; AGUIAR, M. C. de; MIGUEL, E. P.; MATRICARDI, E. A. T.; REZENDE, A. V. The growth and production modeling of individual trees of </w:t>
      </w:r>
      <w:r w:rsidRPr="001E33B3">
        <w:rPr>
          <w:i/>
          <w:iCs/>
          <w:sz w:val="24"/>
          <w:szCs w:val="24"/>
          <w:lang w:val="en-US"/>
        </w:rPr>
        <w:t xml:space="preserve">Eucalyptus </w:t>
      </w:r>
      <w:proofErr w:type="spellStart"/>
      <w:r w:rsidRPr="001E33B3">
        <w:rPr>
          <w:i/>
          <w:iCs/>
          <w:sz w:val="24"/>
          <w:szCs w:val="24"/>
          <w:lang w:val="en-US"/>
        </w:rPr>
        <w:t>urophylla</w:t>
      </w:r>
      <w:proofErr w:type="spellEnd"/>
      <w:r w:rsidRPr="001E33B3">
        <w:rPr>
          <w:sz w:val="24"/>
          <w:szCs w:val="24"/>
          <w:lang w:val="en-US"/>
        </w:rPr>
        <w:t xml:space="preserve"> plantations. </w:t>
      </w:r>
      <w:r w:rsidRPr="001E33B3">
        <w:rPr>
          <w:i/>
          <w:iCs/>
          <w:sz w:val="24"/>
          <w:szCs w:val="24"/>
          <w:lang w:val="en-US"/>
        </w:rPr>
        <w:t>Journal of Forestry Research</w:t>
      </w:r>
      <w:r w:rsidRPr="001E33B3">
        <w:rPr>
          <w:sz w:val="24"/>
          <w:szCs w:val="24"/>
          <w:lang w:val="en-US"/>
        </w:rPr>
        <w:t xml:space="preserve">, v. 31, p. 1663–1672, 2020. DOI: </w:t>
      </w:r>
      <w:hyperlink r:id="rId11" w:tgtFrame="_new" w:history="1">
        <w:r w:rsidRPr="001E33B3">
          <w:rPr>
            <w:rStyle w:val="Hyperlink"/>
            <w:sz w:val="24"/>
            <w:szCs w:val="24"/>
            <w:lang w:val="en-US"/>
          </w:rPr>
          <w:t>10.1007/s11676-019-00920-1</w:t>
        </w:r>
      </w:hyperlink>
      <w:r w:rsidRPr="001E33B3">
        <w:rPr>
          <w:sz w:val="24"/>
          <w:szCs w:val="24"/>
          <w:lang w:val="en-US"/>
        </w:rPr>
        <w:t>.</w:t>
      </w:r>
    </w:p>
    <w:p w14:paraId="7DA83901" w14:textId="77777777" w:rsidR="001E33B3" w:rsidRPr="001E33B3" w:rsidRDefault="001E33B3" w:rsidP="001E33B3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  <w:lang w:val="pt-BR"/>
        </w:rPr>
      </w:pPr>
      <w:r w:rsidRPr="001E33B3">
        <w:rPr>
          <w:sz w:val="24"/>
          <w:szCs w:val="24"/>
          <w:lang w:val="en-US"/>
        </w:rPr>
        <w:t xml:space="preserve">CIESZEWSKI, C. J.; BELLA, I. E. Polymorphic height and site index curves for lodgepole pine in Alberta. </w:t>
      </w:r>
      <w:r w:rsidRPr="001E33B3">
        <w:rPr>
          <w:i/>
          <w:iCs/>
          <w:sz w:val="24"/>
          <w:szCs w:val="24"/>
          <w:lang w:val="pt-BR"/>
        </w:rPr>
        <w:t xml:space="preserve">Canadian </w:t>
      </w:r>
      <w:proofErr w:type="spellStart"/>
      <w:r w:rsidRPr="001E33B3">
        <w:rPr>
          <w:i/>
          <w:iCs/>
          <w:sz w:val="24"/>
          <w:szCs w:val="24"/>
          <w:lang w:val="pt-BR"/>
        </w:rPr>
        <w:t>Journal</w:t>
      </w:r>
      <w:proofErr w:type="spellEnd"/>
      <w:r w:rsidRPr="001E33B3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1E33B3">
        <w:rPr>
          <w:i/>
          <w:iCs/>
          <w:sz w:val="24"/>
          <w:szCs w:val="24"/>
          <w:lang w:val="pt-BR"/>
        </w:rPr>
        <w:t>of</w:t>
      </w:r>
      <w:proofErr w:type="spellEnd"/>
      <w:r w:rsidRPr="001E33B3">
        <w:rPr>
          <w:i/>
          <w:iCs/>
          <w:sz w:val="24"/>
          <w:szCs w:val="24"/>
          <w:lang w:val="pt-BR"/>
        </w:rPr>
        <w:t xml:space="preserve"> Forest </w:t>
      </w:r>
      <w:proofErr w:type="spellStart"/>
      <w:r w:rsidRPr="001E33B3">
        <w:rPr>
          <w:i/>
          <w:iCs/>
          <w:sz w:val="24"/>
          <w:szCs w:val="24"/>
          <w:lang w:val="pt-BR"/>
        </w:rPr>
        <w:t>Research</w:t>
      </w:r>
      <w:proofErr w:type="spellEnd"/>
      <w:r w:rsidRPr="001E33B3">
        <w:rPr>
          <w:sz w:val="24"/>
          <w:szCs w:val="24"/>
          <w:lang w:val="pt-BR"/>
        </w:rPr>
        <w:t xml:space="preserve">, v. 19, p. 1151–1160, 1989. DOI: </w:t>
      </w:r>
      <w:hyperlink r:id="rId12" w:tgtFrame="_new" w:history="1">
        <w:r w:rsidRPr="001E33B3">
          <w:rPr>
            <w:rStyle w:val="Hyperlink"/>
            <w:sz w:val="24"/>
            <w:szCs w:val="24"/>
            <w:lang w:val="pt-BR"/>
          </w:rPr>
          <w:t>10.1139/x89-174</w:t>
        </w:r>
      </w:hyperlink>
      <w:r w:rsidRPr="001E33B3">
        <w:rPr>
          <w:sz w:val="24"/>
          <w:szCs w:val="24"/>
          <w:lang w:val="pt-BR"/>
        </w:rPr>
        <w:t>.</w:t>
      </w:r>
    </w:p>
    <w:p w14:paraId="399FCA08" w14:textId="77777777" w:rsidR="001E33B3" w:rsidRPr="001E33B3" w:rsidRDefault="001E33B3" w:rsidP="001E33B3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  <w:lang w:val="en-US"/>
        </w:rPr>
      </w:pPr>
      <w:r w:rsidRPr="001E33B3">
        <w:rPr>
          <w:sz w:val="24"/>
          <w:szCs w:val="24"/>
          <w:lang w:val="pt-BR"/>
        </w:rPr>
        <w:t xml:space="preserve">DE MIRANDA, R. O. V.; FIGUEIREDO FILHO, A.; COSTA, E. A.; FIORENTIN, L. D.; KOHLER, S. V.; EBLING, Â. A. Métodos da curva guia e equação das diferenças na classificação de sítio e sua relação na descrição da altura em </w:t>
      </w:r>
      <w:r w:rsidRPr="001E33B3">
        <w:rPr>
          <w:i/>
          <w:iCs/>
          <w:sz w:val="24"/>
          <w:szCs w:val="24"/>
          <w:lang w:val="pt-BR"/>
        </w:rPr>
        <w:t>Pinus taeda</w:t>
      </w:r>
      <w:r w:rsidRPr="001E33B3">
        <w:rPr>
          <w:sz w:val="24"/>
          <w:szCs w:val="24"/>
          <w:lang w:val="pt-BR"/>
        </w:rPr>
        <w:t xml:space="preserve"> L. </w:t>
      </w:r>
      <w:proofErr w:type="spellStart"/>
      <w:r w:rsidRPr="001E33B3">
        <w:rPr>
          <w:i/>
          <w:iCs/>
          <w:sz w:val="24"/>
          <w:szCs w:val="24"/>
          <w:lang w:val="pt-BR"/>
        </w:rPr>
        <w:t>Scientia</w:t>
      </w:r>
      <w:proofErr w:type="spellEnd"/>
      <w:r w:rsidRPr="001E33B3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1E33B3">
        <w:rPr>
          <w:i/>
          <w:iCs/>
          <w:sz w:val="24"/>
          <w:szCs w:val="24"/>
          <w:lang w:val="pt-BR"/>
        </w:rPr>
        <w:t>Forestalis</w:t>
      </w:r>
      <w:proofErr w:type="spellEnd"/>
      <w:r w:rsidRPr="001E33B3">
        <w:rPr>
          <w:sz w:val="24"/>
          <w:szCs w:val="24"/>
          <w:lang w:val="pt-BR"/>
        </w:rPr>
        <w:t xml:space="preserve">, v. 49, p. 1–12, 2021. </w:t>
      </w:r>
      <w:r w:rsidRPr="001E33B3">
        <w:rPr>
          <w:sz w:val="24"/>
          <w:szCs w:val="24"/>
          <w:lang w:val="en-US"/>
        </w:rPr>
        <w:t xml:space="preserve">DOI: </w:t>
      </w:r>
      <w:hyperlink r:id="rId13" w:tgtFrame="_new" w:history="1">
        <w:r w:rsidRPr="001E33B3">
          <w:rPr>
            <w:rStyle w:val="Hyperlink"/>
            <w:sz w:val="24"/>
            <w:szCs w:val="24"/>
            <w:lang w:val="en-US"/>
          </w:rPr>
          <w:t>10.18671/</w:t>
        </w:r>
        <w:proofErr w:type="gramStart"/>
        <w:r w:rsidRPr="001E33B3">
          <w:rPr>
            <w:rStyle w:val="Hyperlink"/>
            <w:sz w:val="24"/>
            <w:szCs w:val="24"/>
            <w:lang w:val="en-US"/>
          </w:rPr>
          <w:t>scifor.v</w:t>
        </w:r>
        <w:proofErr w:type="gramEnd"/>
        <w:r w:rsidRPr="001E33B3">
          <w:rPr>
            <w:rStyle w:val="Hyperlink"/>
            <w:sz w:val="24"/>
            <w:szCs w:val="24"/>
            <w:lang w:val="en-US"/>
          </w:rPr>
          <w:t>49n131.24</w:t>
        </w:r>
      </w:hyperlink>
      <w:r w:rsidRPr="001E33B3">
        <w:rPr>
          <w:sz w:val="24"/>
          <w:szCs w:val="24"/>
          <w:lang w:val="en-US"/>
        </w:rPr>
        <w:t>.</w:t>
      </w:r>
    </w:p>
    <w:p w14:paraId="421679AF" w14:textId="77777777" w:rsidR="001E33B3" w:rsidRPr="001E33B3" w:rsidRDefault="001E33B3" w:rsidP="001E33B3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  <w:lang w:val="en-US"/>
        </w:rPr>
      </w:pPr>
      <w:r w:rsidRPr="001E33B3">
        <w:rPr>
          <w:sz w:val="24"/>
          <w:szCs w:val="24"/>
          <w:lang w:val="en-US"/>
        </w:rPr>
        <w:t>KENZO, T.; HIMMAPAN, W.; YONEDA, R.; TEDSORN, N.; VACHARANGKURA, T.; HITSUMA, G.; NODA, I. General estimation models for above- and below-ground biomass of teak (</w:t>
      </w:r>
      <w:r w:rsidRPr="001E33B3">
        <w:rPr>
          <w:i/>
          <w:iCs/>
          <w:sz w:val="24"/>
          <w:szCs w:val="24"/>
          <w:lang w:val="en-US"/>
        </w:rPr>
        <w:t>Tectona grandis</w:t>
      </w:r>
      <w:r w:rsidRPr="001E33B3">
        <w:rPr>
          <w:sz w:val="24"/>
          <w:szCs w:val="24"/>
          <w:lang w:val="en-US"/>
        </w:rPr>
        <w:t xml:space="preserve">) plantations in Thailand. </w:t>
      </w:r>
      <w:r w:rsidRPr="001E33B3">
        <w:rPr>
          <w:i/>
          <w:iCs/>
          <w:sz w:val="24"/>
          <w:szCs w:val="24"/>
          <w:lang w:val="en-US"/>
        </w:rPr>
        <w:t>Forest Ecology and Management</w:t>
      </w:r>
      <w:r w:rsidRPr="001E33B3">
        <w:rPr>
          <w:sz w:val="24"/>
          <w:szCs w:val="24"/>
          <w:lang w:val="en-US"/>
        </w:rPr>
        <w:t xml:space="preserve">, v. 457, 117701, 2020. DOI: </w:t>
      </w:r>
      <w:hyperlink r:id="rId14" w:tgtFrame="_new" w:history="1">
        <w:r w:rsidRPr="001E33B3">
          <w:rPr>
            <w:rStyle w:val="Hyperlink"/>
            <w:sz w:val="24"/>
            <w:szCs w:val="24"/>
            <w:lang w:val="en-US"/>
          </w:rPr>
          <w:t>10.1016/j.foreco.2019.117701</w:t>
        </w:r>
      </w:hyperlink>
      <w:r w:rsidRPr="001E33B3">
        <w:rPr>
          <w:sz w:val="24"/>
          <w:szCs w:val="24"/>
          <w:lang w:val="en-US"/>
        </w:rPr>
        <w:t>.</w:t>
      </w:r>
    </w:p>
    <w:p w14:paraId="7347142D" w14:textId="77777777" w:rsidR="001E33B3" w:rsidRPr="001E33B3" w:rsidRDefault="001E33B3" w:rsidP="001E33B3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  <w:lang w:val="pt-BR"/>
        </w:rPr>
      </w:pPr>
      <w:r w:rsidRPr="001E33B3">
        <w:rPr>
          <w:sz w:val="24"/>
          <w:szCs w:val="24"/>
          <w:lang w:val="en-US"/>
        </w:rPr>
        <w:lastRenderedPageBreak/>
        <w:t>KOIRALA, A.; MONTES, C. R.; BULLOCK, B. P.; WAGLE, B. H. Developing taper equations for planted teak (</w:t>
      </w:r>
      <w:r w:rsidRPr="001E33B3">
        <w:rPr>
          <w:i/>
          <w:iCs/>
          <w:sz w:val="24"/>
          <w:szCs w:val="24"/>
          <w:lang w:val="en-US"/>
        </w:rPr>
        <w:t>Tectona grandis</w:t>
      </w:r>
      <w:r w:rsidRPr="001E33B3">
        <w:rPr>
          <w:sz w:val="24"/>
          <w:szCs w:val="24"/>
          <w:lang w:val="en-US"/>
        </w:rPr>
        <w:t xml:space="preserve"> </w:t>
      </w:r>
      <w:proofErr w:type="spellStart"/>
      <w:r w:rsidRPr="001E33B3">
        <w:rPr>
          <w:sz w:val="24"/>
          <w:szCs w:val="24"/>
          <w:lang w:val="en-US"/>
        </w:rPr>
        <w:t>L.f.</w:t>
      </w:r>
      <w:proofErr w:type="spellEnd"/>
      <w:r w:rsidRPr="001E33B3">
        <w:rPr>
          <w:sz w:val="24"/>
          <w:szCs w:val="24"/>
          <w:lang w:val="en-US"/>
        </w:rPr>
        <w:t xml:space="preserve">) trees of central lowland Nepal. </w:t>
      </w:r>
      <w:proofErr w:type="spellStart"/>
      <w:r w:rsidRPr="001E33B3">
        <w:rPr>
          <w:i/>
          <w:iCs/>
          <w:sz w:val="24"/>
          <w:szCs w:val="24"/>
          <w:lang w:val="pt-BR"/>
        </w:rPr>
        <w:t>Trees</w:t>
      </w:r>
      <w:proofErr w:type="spellEnd"/>
      <w:r w:rsidRPr="001E33B3">
        <w:rPr>
          <w:i/>
          <w:iCs/>
          <w:sz w:val="24"/>
          <w:szCs w:val="24"/>
          <w:lang w:val="pt-BR"/>
        </w:rPr>
        <w:t xml:space="preserve">, </w:t>
      </w:r>
      <w:proofErr w:type="spellStart"/>
      <w:r w:rsidRPr="001E33B3">
        <w:rPr>
          <w:i/>
          <w:iCs/>
          <w:sz w:val="24"/>
          <w:szCs w:val="24"/>
          <w:lang w:val="pt-BR"/>
        </w:rPr>
        <w:t>Forests</w:t>
      </w:r>
      <w:proofErr w:type="spellEnd"/>
      <w:r w:rsidRPr="001E33B3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1E33B3">
        <w:rPr>
          <w:i/>
          <w:iCs/>
          <w:sz w:val="24"/>
          <w:szCs w:val="24"/>
          <w:lang w:val="pt-BR"/>
        </w:rPr>
        <w:t>and</w:t>
      </w:r>
      <w:proofErr w:type="spellEnd"/>
      <w:r w:rsidRPr="001E33B3">
        <w:rPr>
          <w:i/>
          <w:iCs/>
          <w:sz w:val="24"/>
          <w:szCs w:val="24"/>
          <w:lang w:val="pt-BR"/>
        </w:rPr>
        <w:t xml:space="preserve"> People</w:t>
      </w:r>
      <w:r w:rsidRPr="001E33B3">
        <w:rPr>
          <w:sz w:val="24"/>
          <w:szCs w:val="24"/>
          <w:lang w:val="pt-BR"/>
        </w:rPr>
        <w:t xml:space="preserve">, v. 5, 100103, 2021. DOI: </w:t>
      </w:r>
      <w:hyperlink r:id="rId15" w:tgtFrame="_new" w:history="1">
        <w:r w:rsidRPr="001E33B3">
          <w:rPr>
            <w:rStyle w:val="Hyperlink"/>
            <w:sz w:val="24"/>
            <w:szCs w:val="24"/>
            <w:lang w:val="pt-BR"/>
          </w:rPr>
          <w:t>10.1016/j.tfp.2021.100103</w:t>
        </w:r>
      </w:hyperlink>
      <w:r w:rsidRPr="001E33B3">
        <w:rPr>
          <w:sz w:val="24"/>
          <w:szCs w:val="24"/>
          <w:lang w:val="pt-BR"/>
        </w:rPr>
        <w:t>.</w:t>
      </w:r>
    </w:p>
    <w:p w14:paraId="08DDE7E1" w14:textId="77777777" w:rsidR="001E33B3" w:rsidRPr="001E33B3" w:rsidRDefault="001E33B3" w:rsidP="001E33B3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  <w:lang w:val="en-US"/>
        </w:rPr>
      </w:pPr>
      <w:r w:rsidRPr="001E33B3">
        <w:rPr>
          <w:sz w:val="24"/>
          <w:szCs w:val="24"/>
          <w:lang w:val="en-US"/>
        </w:rPr>
        <w:t xml:space="preserve">KOLLERT, W.; KLEINE, M. </w:t>
      </w:r>
      <w:r w:rsidRPr="001E33B3">
        <w:rPr>
          <w:i/>
          <w:iCs/>
          <w:sz w:val="24"/>
          <w:szCs w:val="24"/>
          <w:lang w:val="en-US"/>
        </w:rPr>
        <w:t>The global teak study.</w:t>
      </w:r>
      <w:r w:rsidRPr="001E33B3">
        <w:rPr>
          <w:sz w:val="24"/>
          <w:szCs w:val="24"/>
          <w:lang w:val="en-US"/>
        </w:rPr>
        <w:t xml:space="preserve"> (IUFRO World Series, v. 36). Vienna: IUFRO, 2017. ISBN 978-3-902762-77-1.</w:t>
      </w:r>
    </w:p>
    <w:p w14:paraId="44155B02" w14:textId="77777777" w:rsidR="001E33B3" w:rsidRPr="001E33B3" w:rsidRDefault="001E33B3" w:rsidP="001E33B3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  <w:lang w:val="en-US"/>
        </w:rPr>
      </w:pPr>
      <w:r w:rsidRPr="001E33B3">
        <w:rPr>
          <w:sz w:val="24"/>
          <w:szCs w:val="24"/>
          <w:lang w:val="en-US"/>
        </w:rPr>
        <w:t xml:space="preserve">MIDGLEY, S.; MOUNLAMAI, K.; FLANAGAN, A.; PHENGSOPHA, K. Global markets for plantation teak: implications for growers in Lao PDR. </w:t>
      </w:r>
      <w:proofErr w:type="spellStart"/>
      <w:r w:rsidRPr="001E33B3">
        <w:rPr>
          <w:i/>
          <w:iCs/>
          <w:sz w:val="24"/>
          <w:szCs w:val="24"/>
          <w:lang w:val="en-US"/>
        </w:rPr>
        <w:t>Valtip</w:t>
      </w:r>
      <w:proofErr w:type="spellEnd"/>
      <w:r w:rsidRPr="001E33B3">
        <w:rPr>
          <w:sz w:val="24"/>
          <w:szCs w:val="24"/>
          <w:lang w:val="en-US"/>
        </w:rPr>
        <w:t>, v. 2, p. 74, 2015.</w:t>
      </w:r>
    </w:p>
    <w:p w14:paraId="02514561" w14:textId="77777777" w:rsidR="001E33B3" w:rsidRPr="001E33B3" w:rsidRDefault="001E33B3" w:rsidP="001E33B3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  <w:lang w:val="en-US"/>
        </w:rPr>
      </w:pPr>
      <w:r w:rsidRPr="001E33B3">
        <w:rPr>
          <w:sz w:val="24"/>
          <w:szCs w:val="24"/>
          <w:lang w:val="en-US"/>
        </w:rPr>
        <w:t xml:space="preserve">MIDGLEY, S.; SOMAIYA, R. T.; STEVENS, P. R.; BROWN, A.; KIEN, N. D.; LAITY, R. Planted teak: global production and markets, with reference to Solomon Islands. </w:t>
      </w:r>
      <w:r w:rsidRPr="001E33B3">
        <w:rPr>
          <w:i/>
          <w:iCs/>
          <w:sz w:val="24"/>
          <w:szCs w:val="24"/>
          <w:lang w:val="en-US"/>
        </w:rPr>
        <w:t>Australian Centre for International Agricultural Research</w:t>
      </w:r>
      <w:r w:rsidRPr="001E33B3">
        <w:rPr>
          <w:sz w:val="24"/>
          <w:szCs w:val="24"/>
          <w:lang w:val="en-US"/>
        </w:rPr>
        <w:t>, v. 85, p. 92, 2015.</w:t>
      </w:r>
    </w:p>
    <w:p w14:paraId="02DF5210" w14:textId="77777777" w:rsidR="001E33B3" w:rsidRPr="001E33B3" w:rsidRDefault="001E33B3" w:rsidP="001E33B3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  <w:lang w:val="en-US"/>
        </w:rPr>
      </w:pPr>
      <w:r w:rsidRPr="001E33B3">
        <w:rPr>
          <w:sz w:val="24"/>
          <w:szCs w:val="24"/>
          <w:lang w:val="en-US"/>
        </w:rPr>
        <w:t>MULYADIANA, A.; TRIKOESOEMANINGTYAS; SIREGAR, I. Z. Evaluation of early growth performance of 41 clones of teak (</w:t>
      </w:r>
      <w:r w:rsidRPr="001E33B3">
        <w:rPr>
          <w:i/>
          <w:iCs/>
          <w:sz w:val="24"/>
          <w:szCs w:val="24"/>
          <w:lang w:val="en-US"/>
        </w:rPr>
        <w:t>Tectona grandis</w:t>
      </w:r>
      <w:r w:rsidRPr="001E33B3">
        <w:rPr>
          <w:sz w:val="24"/>
          <w:szCs w:val="24"/>
          <w:lang w:val="en-US"/>
        </w:rPr>
        <w:t xml:space="preserve"> Linn. f.) at four microsites in Purwakarta, Indonesia. </w:t>
      </w:r>
      <w:r w:rsidRPr="001E33B3">
        <w:rPr>
          <w:i/>
          <w:iCs/>
          <w:sz w:val="24"/>
          <w:szCs w:val="24"/>
          <w:lang w:val="en-US"/>
        </w:rPr>
        <w:t>Journal of Forestry Research</w:t>
      </w:r>
      <w:r w:rsidRPr="001E33B3">
        <w:rPr>
          <w:sz w:val="24"/>
          <w:szCs w:val="24"/>
          <w:lang w:val="en-US"/>
        </w:rPr>
        <w:t xml:space="preserve">, v. 31, p. 901–907, 2020. DOI: </w:t>
      </w:r>
      <w:hyperlink r:id="rId16" w:tgtFrame="_new" w:history="1">
        <w:r w:rsidRPr="001E33B3">
          <w:rPr>
            <w:rStyle w:val="Hyperlink"/>
            <w:sz w:val="24"/>
            <w:szCs w:val="24"/>
            <w:lang w:val="en-US"/>
          </w:rPr>
          <w:t>10.1007/s11676-019-00878-0</w:t>
        </w:r>
      </w:hyperlink>
      <w:r w:rsidRPr="001E33B3">
        <w:rPr>
          <w:sz w:val="24"/>
          <w:szCs w:val="24"/>
          <w:lang w:val="en-US"/>
        </w:rPr>
        <w:t>.</w:t>
      </w:r>
    </w:p>
    <w:p w14:paraId="4C5BEFA7" w14:textId="77777777" w:rsidR="001E33B3" w:rsidRPr="001E33B3" w:rsidRDefault="001E33B3" w:rsidP="001E33B3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  <w:lang w:val="en-US"/>
        </w:rPr>
      </w:pPr>
      <w:r w:rsidRPr="001E33B3">
        <w:rPr>
          <w:sz w:val="24"/>
          <w:szCs w:val="24"/>
          <w:lang w:val="en-US"/>
        </w:rPr>
        <w:t xml:space="preserve">SALEKIN, S.; MASON, E. G.; MORGENROTH, J.; MEASON, D. F. A preliminary growth and yield model for </w:t>
      </w:r>
      <w:r w:rsidRPr="001E33B3">
        <w:rPr>
          <w:i/>
          <w:iCs/>
          <w:sz w:val="24"/>
          <w:szCs w:val="24"/>
          <w:lang w:val="en-US"/>
        </w:rPr>
        <w:t xml:space="preserve">Eucalyptus </w:t>
      </w:r>
      <w:proofErr w:type="spellStart"/>
      <w:r w:rsidRPr="001E33B3">
        <w:rPr>
          <w:i/>
          <w:iCs/>
          <w:sz w:val="24"/>
          <w:szCs w:val="24"/>
          <w:lang w:val="en-US"/>
        </w:rPr>
        <w:t>globoidea</w:t>
      </w:r>
      <w:proofErr w:type="spellEnd"/>
      <w:r w:rsidRPr="001E33B3">
        <w:rPr>
          <w:sz w:val="24"/>
          <w:szCs w:val="24"/>
          <w:lang w:val="en-US"/>
        </w:rPr>
        <w:t xml:space="preserve"> Blakely plantations in New Zealand. </w:t>
      </w:r>
      <w:r w:rsidRPr="001E33B3">
        <w:rPr>
          <w:i/>
          <w:iCs/>
          <w:sz w:val="24"/>
          <w:szCs w:val="24"/>
          <w:lang w:val="en-US"/>
        </w:rPr>
        <w:t>New Zealand Journal of Forestry Science</w:t>
      </w:r>
      <w:r w:rsidRPr="001E33B3">
        <w:rPr>
          <w:sz w:val="24"/>
          <w:szCs w:val="24"/>
          <w:lang w:val="en-US"/>
        </w:rPr>
        <w:t xml:space="preserve">, v. 50, p. 1–15, 2020. DOI: </w:t>
      </w:r>
      <w:hyperlink r:id="rId17" w:tgtFrame="_new" w:history="1">
        <w:r w:rsidRPr="001E33B3">
          <w:rPr>
            <w:rStyle w:val="Hyperlink"/>
            <w:sz w:val="24"/>
            <w:szCs w:val="24"/>
            <w:lang w:val="en-US"/>
          </w:rPr>
          <w:t>10.33494/nzjfs502020x55x</w:t>
        </w:r>
      </w:hyperlink>
      <w:r w:rsidRPr="001E33B3">
        <w:rPr>
          <w:sz w:val="24"/>
          <w:szCs w:val="24"/>
          <w:lang w:val="en-US"/>
        </w:rPr>
        <w:t>.</w:t>
      </w:r>
    </w:p>
    <w:p w14:paraId="7E05C136" w14:textId="77777777" w:rsidR="001E33B3" w:rsidRPr="001E33B3" w:rsidRDefault="001E33B3" w:rsidP="001E33B3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  <w:lang w:val="pt-BR"/>
        </w:rPr>
      </w:pPr>
      <w:r w:rsidRPr="001E33B3">
        <w:rPr>
          <w:sz w:val="24"/>
          <w:szCs w:val="24"/>
          <w:lang w:val="en-US"/>
        </w:rPr>
        <w:t xml:space="preserve">TEWARI, V.; ÁLVAREZ-GONZÁLEZ, J.; GARCÍA, O. Developing a dynamic growth model for teak plantations in India. </w:t>
      </w:r>
      <w:r w:rsidRPr="001E33B3">
        <w:rPr>
          <w:i/>
          <w:iCs/>
          <w:sz w:val="24"/>
          <w:szCs w:val="24"/>
          <w:lang w:val="pt-BR"/>
        </w:rPr>
        <w:t xml:space="preserve">Forest </w:t>
      </w:r>
      <w:proofErr w:type="spellStart"/>
      <w:r w:rsidRPr="001E33B3">
        <w:rPr>
          <w:i/>
          <w:iCs/>
          <w:sz w:val="24"/>
          <w:szCs w:val="24"/>
          <w:lang w:val="pt-BR"/>
        </w:rPr>
        <w:t>Ecosystems</w:t>
      </w:r>
      <w:proofErr w:type="spellEnd"/>
      <w:r w:rsidRPr="001E33B3">
        <w:rPr>
          <w:sz w:val="24"/>
          <w:szCs w:val="24"/>
          <w:lang w:val="pt-BR"/>
        </w:rPr>
        <w:t xml:space="preserve">, v. 1, p. 9, 2014. DOI: </w:t>
      </w:r>
      <w:hyperlink r:id="rId18" w:tgtFrame="_new" w:history="1">
        <w:r w:rsidRPr="001E33B3">
          <w:rPr>
            <w:rStyle w:val="Hyperlink"/>
            <w:sz w:val="24"/>
            <w:szCs w:val="24"/>
            <w:lang w:val="pt-BR"/>
          </w:rPr>
          <w:t>10.1186/2197-5620-1-9</w:t>
        </w:r>
      </w:hyperlink>
      <w:r w:rsidRPr="001E33B3">
        <w:rPr>
          <w:sz w:val="24"/>
          <w:szCs w:val="24"/>
          <w:lang w:val="pt-BR"/>
        </w:rPr>
        <w:t>.</w:t>
      </w:r>
    </w:p>
    <w:p w14:paraId="0ACFBF0C" w14:textId="77777777" w:rsidR="001E33B3" w:rsidRPr="001E33B3" w:rsidRDefault="001E33B3" w:rsidP="001E33B3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</w:rPr>
      </w:pPr>
    </w:p>
    <w:p w14:paraId="1641B050" w14:textId="77777777" w:rsidR="00F264CC" w:rsidRPr="009023CD" w:rsidRDefault="00F264CC" w:rsidP="00F90D64">
      <w:pPr>
        <w:pStyle w:val="MDPI71References"/>
        <w:numPr>
          <w:ilvl w:val="0"/>
          <w:numId w:val="0"/>
        </w:numPr>
        <w:ind w:left="425" w:hanging="425"/>
        <w:rPr>
          <w:lang w:val="pt-BR"/>
        </w:rPr>
      </w:pPr>
    </w:p>
    <w:p w14:paraId="7FAA2BBB" w14:textId="77777777" w:rsidR="00F90D64" w:rsidRPr="009023CD" w:rsidRDefault="00F90D64" w:rsidP="00F90D64">
      <w:pPr>
        <w:pStyle w:val="MDPI71References"/>
        <w:numPr>
          <w:ilvl w:val="0"/>
          <w:numId w:val="0"/>
        </w:numPr>
        <w:rPr>
          <w:lang w:val="pt-BR"/>
        </w:rPr>
      </w:pPr>
    </w:p>
    <w:p w14:paraId="1E6171C0" w14:textId="77777777" w:rsidR="00C35A0F" w:rsidRPr="009023CD" w:rsidRDefault="00C35A0F" w:rsidP="00C35A0F">
      <w:pPr>
        <w:widowControl/>
        <w:tabs>
          <w:tab w:val="left" w:pos="709"/>
        </w:tabs>
        <w:spacing w:after="160" w:line="360" w:lineRule="auto"/>
        <w:jc w:val="both"/>
        <w:rPr>
          <w:sz w:val="24"/>
          <w:szCs w:val="24"/>
          <w:lang w:val="pt-BR"/>
        </w:rPr>
      </w:pPr>
    </w:p>
    <w:p w14:paraId="74D32050" w14:textId="28F745B6" w:rsidR="00DB5854" w:rsidRPr="009023CD" w:rsidRDefault="00DB5854" w:rsidP="003949CE">
      <w:pPr>
        <w:rPr>
          <w:lang w:val="pt-BR"/>
        </w:rPr>
      </w:pPr>
    </w:p>
    <w:sectPr w:rsidR="00DB5854" w:rsidRPr="009023CD" w:rsidSect="005A1575">
      <w:headerReference w:type="default" r:id="rId19"/>
      <w:footerReference w:type="default" r:id="rId20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8293" w14:textId="77777777" w:rsidR="008D182C" w:rsidRDefault="008D182C" w:rsidP="005A1575">
      <w:r>
        <w:separator/>
      </w:r>
    </w:p>
  </w:endnote>
  <w:endnote w:type="continuationSeparator" w:id="0">
    <w:p w14:paraId="00AC90E8" w14:textId="77777777" w:rsidR="008D182C" w:rsidRDefault="008D182C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A0DE" w14:textId="77777777" w:rsidR="008D182C" w:rsidRDefault="008D182C" w:rsidP="005A1575">
      <w:r>
        <w:separator/>
      </w:r>
    </w:p>
  </w:footnote>
  <w:footnote w:type="continuationSeparator" w:id="0">
    <w:p w14:paraId="18B3F441" w14:textId="77777777" w:rsidR="008D182C" w:rsidRDefault="008D182C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B468F5"/>
    <w:multiLevelType w:val="hybridMultilevel"/>
    <w:tmpl w:val="9C8E6F96"/>
    <w:lvl w:ilvl="0" w:tplc="3FE0FB7E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rFonts w:hint="default"/>
        <w:b w:val="0"/>
        <w:i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24603"/>
    <w:multiLevelType w:val="multilevel"/>
    <w:tmpl w:val="5200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C7EF1"/>
    <w:multiLevelType w:val="multilevel"/>
    <w:tmpl w:val="7A0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408314">
    <w:abstractNumId w:val="0"/>
  </w:num>
  <w:num w:numId="2" w16cid:durableId="4862509">
    <w:abstractNumId w:val="3"/>
  </w:num>
  <w:num w:numId="3" w16cid:durableId="1002784608">
    <w:abstractNumId w:val="2"/>
  </w:num>
  <w:num w:numId="4" w16cid:durableId="75565923">
    <w:abstractNumId w:val="1"/>
  </w:num>
  <w:num w:numId="5" w16cid:durableId="276640106">
    <w:abstractNumId w:val="1"/>
    <w:lvlOverride w:ilvl="0">
      <w:startOverride w:val="7"/>
    </w:lvlOverride>
  </w:num>
  <w:num w:numId="6" w16cid:durableId="1350716121">
    <w:abstractNumId w:val="1"/>
    <w:lvlOverride w:ilvl="0">
      <w:startOverride w:val="20"/>
    </w:lvlOverride>
  </w:num>
  <w:num w:numId="7" w16cid:durableId="2100902847">
    <w:abstractNumId w:val="1"/>
  </w:num>
  <w:num w:numId="8" w16cid:durableId="665017278">
    <w:abstractNumId w:val="1"/>
    <w:lvlOverride w:ilvl="0">
      <w:startOverride w:val="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20981"/>
    <w:rsid w:val="000408A1"/>
    <w:rsid w:val="00041C6F"/>
    <w:rsid w:val="000436E8"/>
    <w:rsid w:val="00050A98"/>
    <w:rsid w:val="00060C30"/>
    <w:rsid w:val="000A1B4B"/>
    <w:rsid w:val="000D2257"/>
    <w:rsid w:val="000E6288"/>
    <w:rsid w:val="0010423B"/>
    <w:rsid w:val="00136A69"/>
    <w:rsid w:val="00143151"/>
    <w:rsid w:val="00155A9A"/>
    <w:rsid w:val="00177FDF"/>
    <w:rsid w:val="001821FF"/>
    <w:rsid w:val="001838B5"/>
    <w:rsid w:val="00191570"/>
    <w:rsid w:val="001D4FA5"/>
    <w:rsid w:val="001E33B3"/>
    <w:rsid w:val="0024785C"/>
    <w:rsid w:val="002511A2"/>
    <w:rsid w:val="002849EE"/>
    <w:rsid w:val="00284DC9"/>
    <w:rsid w:val="002A7B36"/>
    <w:rsid w:val="002F2AC2"/>
    <w:rsid w:val="002F3682"/>
    <w:rsid w:val="002F630A"/>
    <w:rsid w:val="00302FD2"/>
    <w:rsid w:val="0031571D"/>
    <w:rsid w:val="0032368C"/>
    <w:rsid w:val="00340B04"/>
    <w:rsid w:val="00377EE3"/>
    <w:rsid w:val="003949CE"/>
    <w:rsid w:val="003C400F"/>
    <w:rsid w:val="003E5A1C"/>
    <w:rsid w:val="0040683B"/>
    <w:rsid w:val="0043264C"/>
    <w:rsid w:val="00434CBB"/>
    <w:rsid w:val="0044029D"/>
    <w:rsid w:val="004654F6"/>
    <w:rsid w:val="004749FA"/>
    <w:rsid w:val="004A2E7A"/>
    <w:rsid w:val="004B3514"/>
    <w:rsid w:val="004B3806"/>
    <w:rsid w:val="004E409D"/>
    <w:rsid w:val="005304C2"/>
    <w:rsid w:val="00545549"/>
    <w:rsid w:val="00556469"/>
    <w:rsid w:val="00566F9E"/>
    <w:rsid w:val="00590ADB"/>
    <w:rsid w:val="005A1575"/>
    <w:rsid w:val="005A4969"/>
    <w:rsid w:val="005B2585"/>
    <w:rsid w:val="005C090D"/>
    <w:rsid w:val="005C0F70"/>
    <w:rsid w:val="005E7CD4"/>
    <w:rsid w:val="00620B28"/>
    <w:rsid w:val="00625926"/>
    <w:rsid w:val="00645BA4"/>
    <w:rsid w:val="00767DE4"/>
    <w:rsid w:val="007701A8"/>
    <w:rsid w:val="007A2758"/>
    <w:rsid w:val="007A3840"/>
    <w:rsid w:val="007B00E2"/>
    <w:rsid w:val="007F65CB"/>
    <w:rsid w:val="00825DEA"/>
    <w:rsid w:val="00836259"/>
    <w:rsid w:val="008543EA"/>
    <w:rsid w:val="008667C0"/>
    <w:rsid w:val="008769A5"/>
    <w:rsid w:val="008B3721"/>
    <w:rsid w:val="008D182C"/>
    <w:rsid w:val="008E786B"/>
    <w:rsid w:val="009023CD"/>
    <w:rsid w:val="00906E49"/>
    <w:rsid w:val="00930857"/>
    <w:rsid w:val="00935B44"/>
    <w:rsid w:val="0095131E"/>
    <w:rsid w:val="009613E3"/>
    <w:rsid w:val="00962C69"/>
    <w:rsid w:val="00975DFA"/>
    <w:rsid w:val="00995FE8"/>
    <w:rsid w:val="00A34E31"/>
    <w:rsid w:val="00A7024E"/>
    <w:rsid w:val="00A81517"/>
    <w:rsid w:val="00A93A1E"/>
    <w:rsid w:val="00A96B1A"/>
    <w:rsid w:val="00AF1D4D"/>
    <w:rsid w:val="00AF5EFC"/>
    <w:rsid w:val="00B17426"/>
    <w:rsid w:val="00B17910"/>
    <w:rsid w:val="00B24D87"/>
    <w:rsid w:val="00B80E33"/>
    <w:rsid w:val="00B96A2C"/>
    <w:rsid w:val="00BC2C31"/>
    <w:rsid w:val="00BD4817"/>
    <w:rsid w:val="00BF1C43"/>
    <w:rsid w:val="00C05E71"/>
    <w:rsid w:val="00C1146C"/>
    <w:rsid w:val="00C35A0F"/>
    <w:rsid w:val="00C35B1A"/>
    <w:rsid w:val="00C535EB"/>
    <w:rsid w:val="00C65904"/>
    <w:rsid w:val="00CB676D"/>
    <w:rsid w:val="00CB73D2"/>
    <w:rsid w:val="00CD0AC7"/>
    <w:rsid w:val="00CE2B1C"/>
    <w:rsid w:val="00CE7ED2"/>
    <w:rsid w:val="00D10AD4"/>
    <w:rsid w:val="00D21F2D"/>
    <w:rsid w:val="00D24272"/>
    <w:rsid w:val="00D45E44"/>
    <w:rsid w:val="00DB0477"/>
    <w:rsid w:val="00DB383E"/>
    <w:rsid w:val="00DB5854"/>
    <w:rsid w:val="00DE04D3"/>
    <w:rsid w:val="00E064B6"/>
    <w:rsid w:val="00E12D2E"/>
    <w:rsid w:val="00E13641"/>
    <w:rsid w:val="00E26983"/>
    <w:rsid w:val="00E51072"/>
    <w:rsid w:val="00E532BB"/>
    <w:rsid w:val="00ED4E2E"/>
    <w:rsid w:val="00EE025B"/>
    <w:rsid w:val="00F14FC7"/>
    <w:rsid w:val="00F264CC"/>
    <w:rsid w:val="00F46632"/>
    <w:rsid w:val="00F50AAB"/>
    <w:rsid w:val="00F90D64"/>
    <w:rsid w:val="00F948A7"/>
    <w:rsid w:val="00FC3290"/>
    <w:rsid w:val="00FD1365"/>
    <w:rsid w:val="00FD2830"/>
    <w:rsid w:val="00FD4ED8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1E333C23-9645-43DA-A077-99D7ED56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91570"/>
    <w:pPr>
      <w:widowControl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table" w:customStyle="1" w:styleId="Mdeck5tablebodythreelines">
    <w:name w:val="M_deck_5_table_body_three_lines"/>
    <w:basedOn w:val="Tabelanormal"/>
    <w:uiPriority w:val="99"/>
    <w:rsid w:val="005C090D"/>
    <w:pPr>
      <w:widowControl/>
      <w:autoSpaceDE/>
      <w:autoSpaceDN/>
      <w:adjustRightInd w:val="0"/>
      <w:snapToGrid w:val="0"/>
      <w:spacing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41tablecaption">
    <w:name w:val="MDPI_4.1_table_caption"/>
    <w:qFormat/>
    <w:rsid w:val="005C090D"/>
    <w:pPr>
      <w:widowControl/>
      <w:autoSpaceDE/>
      <w:autoSpaceDN/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paragraph" w:customStyle="1" w:styleId="MDPI43tablefooter">
    <w:name w:val="MDPI_4.3_table_footer"/>
    <w:next w:val="Normal"/>
    <w:qFormat/>
    <w:rsid w:val="005C090D"/>
    <w:pPr>
      <w:widowControl/>
      <w:autoSpaceDE/>
      <w:autoSpaceDN/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2"/>
      <w:sz w:val="18"/>
      <w:lang w:eastAsia="de-DE" w:bidi="en-US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FD4E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4ED8"/>
    <w:rPr>
      <w:color w:val="605E5C"/>
      <w:shd w:val="clear" w:color="auto" w:fill="E1DFDD"/>
    </w:rPr>
  </w:style>
  <w:style w:type="paragraph" w:customStyle="1" w:styleId="MDPI71References">
    <w:name w:val="MDPI_7.1_References"/>
    <w:qFormat/>
    <w:rsid w:val="00C35A0F"/>
    <w:pPr>
      <w:widowControl/>
      <w:numPr>
        <w:numId w:val="7"/>
      </w:numPr>
      <w:autoSpaceDE/>
      <w:autoSpaceDN/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eastAsia="de-DE" w:bidi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limaeng@gmail.com" TargetMode="External"/><Relationship Id="rId13" Type="http://schemas.openxmlformats.org/officeDocument/2006/relationships/hyperlink" Target="https://doi.org/10.18671/scifor.v49n131.24" TargetMode="External"/><Relationship Id="rId18" Type="http://schemas.openxmlformats.org/officeDocument/2006/relationships/hyperlink" Target="https://doi.org/10.1186/2197-5620-1-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1139/x89-174" TargetMode="External"/><Relationship Id="rId17" Type="http://schemas.openxmlformats.org/officeDocument/2006/relationships/hyperlink" Target="https://doi.org/10.33494/nzjfs502020x55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1676-019-00878-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s11676-019-00920-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tfp.2021.100103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doi.org/10.1016/j.foreco.2019.117701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45278-ECDC-489E-9D69-9AE48D38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8</Pages>
  <Words>2104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Lísias Faria</dc:creator>
  <cp:keywords/>
  <dc:description/>
  <cp:lastModifiedBy>Mario Lima dos Santos</cp:lastModifiedBy>
  <cp:revision>93</cp:revision>
  <dcterms:created xsi:type="dcterms:W3CDTF">2023-08-30T02:53:00Z</dcterms:created>
  <dcterms:modified xsi:type="dcterms:W3CDTF">2025-10-31T19:27:00Z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