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A307">
      <w:pPr>
        <w:spacing w:before="3"/>
        <w:ind w:right="1338"/>
        <w:jc w:val="center"/>
        <w:rPr>
          <w:rFonts w:ascii="Times New Roman" w:hAnsi="Times New Roman" w:eastAsia="Arial" w:cs="Times New Roman"/>
          <w:sz w:val="28"/>
          <w:szCs w:val="28"/>
          <w:lang w:val="pt-BR"/>
        </w:rPr>
      </w:pPr>
      <w:bookmarkStart w:id="0" w:name="_GoBack"/>
      <w:bookmarkEnd w:id="0"/>
      <w:r>
        <w:rPr>
          <w:rFonts w:ascii="Times New Roman" w:hAnsi="Times New Roman" w:eastAsia="Arial" w:cs="Times New Roman"/>
          <w:b/>
          <w:bCs/>
          <w:sz w:val="28"/>
          <w:szCs w:val="28"/>
          <w:lang w:val="pt-BR"/>
        </w:rPr>
        <w:t>BRINCANDO DE ALFALETRAR: UM RELATO DE EXPERIÊNCIA DO PIBID A PARTIR DE UMA ABORDAGEM LÚDICA COM ESTUDANTES DO 1° AO 4° ANO DO ENSINO FUNDAMENTAL ANOS INICIAIS</w:t>
      </w:r>
    </w:p>
    <w:p w14:paraId="133B3177">
      <w:pPr>
        <w:spacing w:before="3"/>
        <w:ind w:left="-566" w:right="1338"/>
        <w:jc w:val="center"/>
        <w:rPr>
          <w:rFonts w:ascii="Arial" w:hAnsi="Arial" w:eastAsia="Arial" w:cs="Arial"/>
          <w:sz w:val="17"/>
          <w:szCs w:val="17"/>
          <w:lang w:val="pt-BR"/>
        </w:rPr>
      </w:pPr>
    </w:p>
    <w:p w14:paraId="60E5679D">
      <w:pPr>
        <w:spacing w:before="3"/>
        <w:ind w:left="-566" w:right="1338"/>
        <w:jc w:val="right"/>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¹ Amanda Cibelly Correia de Silva </w:t>
      </w:r>
    </w:p>
    <w:p w14:paraId="5BC4D384">
      <w:pPr>
        <w:spacing w:before="3"/>
        <w:ind w:left="-566" w:right="1338"/>
        <w:jc w:val="right"/>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² Ana Luiza Belchior da Silva</w:t>
      </w:r>
    </w:p>
    <w:p w14:paraId="28F354DB">
      <w:pPr>
        <w:spacing w:before="3"/>
        <w:ind w:left="-566" w:right="1338"/>
        <w:jc w:val="right"/>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³ Daniele Silva de Carvalho</w:t>
      </w:r>
    </w:p>
    <w:p w14:paraId="1A0B3099">
      <w:pPr>
        <w:spacing w:before="3"/>
        <w:ind w:left="-566" w:right="1338"/>
        <w:jc w:val="right"/>
        <w:rPr>
          <w:rFonts w:ascii="Times New Roman" w:hAnsi="Times New Roman" w:eastAsia="Arial" w:cs="Times New Roman"/>
          <w:sz w:val="24"/>
          <w:szCs w:val="24"/>
          <w:lang w:val="pt-BR"/>
        </w:rPr>
      </w:pPr>
      <w:r>
        <w:rPr>
          <w:rFonts w:ascii="Times New Roman" w:hAnsi="Times New Roman" w:eastAsia="Arial" w:cs="Times New Roman"/>
          <w:sz w:val="24"/>
          <w:szCs w:val="24"/>
          <w:vertAlign w:val="superscript"/>
          <w:lang w:val="pt-BR"/>
        </w:rPr>
        <w:t>4</w:t>
      </w:r>
      <w:r>
        <w:rPr>
          <w:rFonts w:ascii="Times New Roman" w:hAnsi="Times New Roman" w:eastAsia="Arial" w:cs="Times New Roman"/>
          <w:sz w:val="24"/>
          <w:szCs w:val="24"/>
          <w:lang w:val="pt-BR"/>
        </w:rPr>
        <w:t xml:space="preserve"> Maira Sabrina Silva Pereira  </w:t>
      </w:r>
    </w:p>
    <w:p w14:paraId="3A542BA8">
      <w:pPr>
        <w:spacing w:before="3"/>
        <w:ind w:left="-566" w:right="1338"/>
        <w:jc w:val="right"/>
        <w:rPr>
          <w:rFonts w:ascii="Times New Roman" w:hAnsi="Times New Roman" w:eastAsia="Arial" w:cs="Times New Roman"/>
          <w:sz w:val="24"/>
          <w:szCs w:val="24"/>
          <w:lang w:val="pt-BR"/>
        </w:rPr>
      </w:pPr>
      <w:r>
        <w:rPr>
          <w:rFonts w:ascii="Times New Roman" w:hAnsi="Times New Roman" w:eastAsia="Arial" w:cs="Times New Roman"/>
          <w:sz w:val="24"/>
          <w:szCs w:val="24"/>
          <w:vertAlign w:val="superscript"/>
          <w:lang w:val="pt-BR"/>
        </w:rPr>
        <w:t xml:space="preserve">5 </w:t>
      </w:r>
      <w:r>
        <w:rPr>
          <w:rFonts w:ascii="Times New Roman" w:hAnsi="Times New Roman" w:eastAsia="Arial" w:cs="Times New Roman"/>
          <w:sz w:val="24"/>
          <w:szCs w:val="24"/>
          <w:lang w:val="pt-BR"/>
        </w:rPr>
        <w:t>Taís Maria dos Santos </w:t>
      </w:r>
    </w:p>
    <w:p w14:paraId="4A1BB036">
      <w:pPr>
        <w:spacing w:before="3"/>
        <w:ind w:left="-566" w:right="1338"/>
        <w:jc w:val="right"/>
        <w:rPr>
          <w:rFonts w:ascii="Times New Roman" w:hAnsi="Times New Roman" w:eastAsia="Arial" w:cs="Times New Roman"/>
          <w:sz w:val="24"/>
          <w:szCs w:val="24"/>
          <w:lang w:val="pt-BR"/>
        </w:rPr>
      </w:pPr>
      <w:r>
        <w:rPr>
          <w:rFonts w:ascii="Times New Roman" w:hAnsi="Times New Roman" w:eastAsia="Arial" w:cs="Times New Roman"/>
          <w:sz w:val="24"/>
          <w:szCs w:val="24"/>
          <w:vertAlign w:val="superscript"/>
          <w:lang w:val="pt-BR"/>
        </w:rPr>
        <w:t>6</w:t>
      </w:r>
      <w:r>
        <w:rPr>
          <w:rFonts w:ascii="Times New Roman" w:hAnsi="Times New Roman" w:eastAsia="Arial" w:cs="Times New Roman"/>
          <w:sz w:val="24"/>
          <w:szCs w:val="24"/>
          <w:lang w:val="pt-BR"/>
        </w:rPr>
        <w:t xml:space="preserve"> Vanessa Thaís Torres da Silva </w:t>
      </w:r>
    </w:p>
    <w:p w14:paraId="2343DBD7">
      <w:pPr>
        <w:spacing w:before="3"/>
        <w:ind w:left="-566" w:right="1338"/>
        <w:jc w:val="right"/>
        <w:rPr>
          <w:rFonts w:ascii="Times New Roman" w:hAnsi="Times New Roman" w:eastAsia="Arial" w:cs="Times New Roman"/>
          <w:sz w:val="24"/>
          <w:szCs w:val="24"/>
          <w:lang w:val="pt-BR"/>
        </w:rPr>
      </w:pPr>
      <w:r>
        <w:rPr>
          <w:rFonts w:ascii="Times New Roman" w:hAnsi="Times New Roman" w:eastAsia="Arial" w:cs="Times New Roman"/>
          <w:sz w:val="24"/>
          <w:szCs w:val="24"/>
          <w:vertAlign w:val="superscript"/>
          <w:lang w:val="pt-BR"/>
        </w:rPr>
        <w:t xml:space="preserve">                                                                                                                                           7 </w:t>
      </w:r>
      <w:r>
        <w:rPr>
          <w:rFonts w:ascii="Times New Roman" w:hAnsi="Times New Roman" w:eastAsia="Arial" w:cs="Times New Roman"/>
          <w:sz w:val="24"/>
          <w:szCs w:val="24"/>
          <w:lang w:val="pt-BR"/>
        </w:rPr>
        <w:t>Rosimere dos Santos Dutra (supervisora)</w:t>
      </w:r>
    </w:p>
    <w:p w14:paraId="543DECF0">
      <w:pPr>
        <w:spacing w:before="3"/>
        <w:ind w:left="-566" w:right="1338"/>
        <w:jc w:val="right"/>
        <w:rPr>
          <w:rFonts w:ascii="Times New Roman" w:hAnsi="Times New Roman" w:eastAsia="Arial" w:cs="Times New Roman"/>
          <w:sz w:val="24"/>
          <w:szCs w:val="24"/>
          <w:lang w:val="pt-BR"/>
        </w:rPr>
      </w:pPr>
      <w:r>
        <w:rPr>
          <w:rFonts w:ascii="Times New Roman" w:hAnsi="Times New Roman" w:eastAsia="Arial" w:cs="Times New Roman"/>
          <w:sz w:val="24"/>
          <w:szCs w:val="24"/>
          <w:vertAlign w:val="superscript"/>
          <w:lang w:val="pt-BR"/>
        </w:rPr>
        <w:t xml:space="preserve">8 </w:t>
      </w:r>
      <w:r>
        <w:rPr>
          <w:rFonts w:ascii="Times New Roman" w:hAnsi="Times New Roman" w:eastAsia="Arial" w:cs="Times New Roman"/>
          <w:sz w:val="24"/>
          <w:szCs w:val="24"/>
          <w:lang w:val="pt-BR"/>
        </w:rPr>
        <w:t>Maria Joselma do Nascimento Franco (coordenadora)</w:t>
      </w:r>
    </w:p>
    <w:p w14:paraId="7D8459A0">
      <w:pPr>
        <w:spacing w:before="3"/>
        <w:ind w:left="-566" w:right="1338"/>
        <w:jc w:val="right"/>
        <w:rPr>
          <w:rFonts w:ascii="Arial" w:hAnsi="Arial" w:eastAsia="Arial" w:cs="Arial"/>
          <w:sz w:val="17"/>
          <w:szCs w:val="17"/>
          <w:lang w:val="pt-BR"/>
        </w:rPr>
      </w:pPr>
    </w:p>
    <w:p w14:paraId="66B78BD3">
      <w:pPr>
        <w:spacing w:before="3"/>
        <w:ind w:left="-566" w:right="1338"/>
        <w:jc w:val="both"/>
        <w:rPr>
          <w:rFonts w:ascii="Times New Roman" w:hAnsi="Times New Roman" w:eastAsia="Arial" w:cs="Times New Roman"/>
          <w:lang w:val="pt-BR"/>
        </w:rPr>
      </w:pPr>
      <w:r>
        <w:rPr>
          <w:rFonts w:ascii="Times New Roman" w:hAnsi="Times New Roman" w:eastAsia="Arial" w:cs="Times New Roman"/>
          <w:b/>
          <w:bCs/>
          <w:lang w:val="pt-BR"/>
        </w:rPr>
        <w:t>Resumo:</w:t>
      </w:r>
      <w:r>
        <w:rPr>
          <w:rFonts w:ascii="Times New Roman" w:hAnsi="Times New Roman" w:eastAsia="Arial" w:cs="Times New Roman"/>
          <w:lang w:val="pt-BR"/>
        </w:rPr>
        <w:t xml:space="preserve"> O presente trabalho que tem como objeto de estudo o brincando de alfaletrar: um relato de experiência do PIBID a partir de uma abordagem lúdica com estudantes do 1° ao 4° ano do ensino fundamental anos iniciais, tem como objetivo geral analisar as contribuições das práticas lúdicas desenvolvidas no âmbito do Pibid, no processo de alfabetização e letramento com estudantes do 1º ao 4º ano do ensino fundamental anos iniciais realizando este estudo com embasamento nos estudos de Soares (2004); Tfouni (2010); Ferreiro e Teberosky (1999); Kishimoto (1994) e Vygotsky (1998), se pautando em uma metodologia de caráter etnográfico e qualitativo, utilizando como instrumento de pesquisa a observação e diário de campo. O relato, construído a partir da experiência em uma escola pública municipal da cidade de Caruaru, consegue demonstrar que o brincar através da utilização da ludicidade atribui no processo do alfabeto, para consolidação das aprendizagens e avanço no processo de alfabetização e letramento.</w:t>
      </w:r>
    </w:p>
    <w:p w14:paraId="2A7C1949">
      <w:pPr>
        <w:spacing w:before="3"/>
        <w:ind w:left="-566" w:right="1338"/>
        <w:jc w:val="both"/>
        <w:rPr>
          <w:rFonts w:ascii="Arial" w:hAnsi="Arial" w:eastAsia="Arial" w:cs="Arial"/>
          <w:lang w:val="pt-BR"/>
        </w:rPr>
      </w:pPr>
      <w:r>
        <w:rPr>
          <w:rFonts w:ascii="Times New Roman" w:hAnsi="Times New Roman" w:eastAsia="Arial" w:cs="Times New Roman"/>
          <w:lang w:val="pt-BR"/>
        </w:rPr>
        <w:t>Palavras chave: Alfaletrar, Alfabetização e letramento, ludicidade, ensino fundamental, brincando</w:t>
      </w:r>
      <w:r>
        <w:rPr>
          <w:rFonts w:ascii="Arial" w:hAnsi="Arial" w:eastAsia="Arial" w:cs="Arial"/>
          <w:lang w:val="pt-BR"/>
        </w:rPr>
        <w:t>.</w:t>
      </w:r>
    </w:p>
    <w:p w14:paraId="75E2D41E">
      <w:pPr>
        <w:spacing w:before="3"/>
        <w:ind w:left="-566" w:right="1338"/>
        <w:jc w:val="center"/>
        <w:rPr>
          <w:rFonts w:ascii="Arial" w:hAnsi="Arial" w:eastAsia="Arial" w:cs="Arial"/>
          <w:sz w:val="17"/>
          <w:szCs w:val="17"/>
          <w:lang w:val="pt-BR"/>
        </w:rPr>
      </w:pPr>
    </w:p>
    <w:p w14:paraId="19F0717F">
      <w:pPr>
        <w:spacing w:before="3" w:line="360" w:lineRule="auto"/>
        <w:ind w:left="-566" w:right="1338"/>
        <w:jc w:val="both"/>
        <w:rPr>
          <w:rFonts w:ascii="Times New Roman" w:hAnsi="Times New Roman" w:eastAsia="Arial" w:cs="Times New Roman"/>
          <w:sz w:val="24"/>
          <w:szCs w:val="24"/>
          <w:lang w:val="pt-BR"/>
        </w:rPr>
      </w:pPr>
      <w:r>
        <w:rPr>
          <w:rFonts w:ascii="Times New Roman" w:hAnsi="Times New Roman" w:eastAsia="Arial" w:cs="Times New Roman"/>
          <w:b/>
          <w:bCs/>
          <w:sz w:val="24"/>
          <w:szCs w:val="24"/>
          <w:lang w:val="pt-BR"/>
        </w:rPr>
        <w:t>1.Introdução.</w:t>
      </w:r>
    </w:p>
    <w:p w14:paraId="383ECC82">
      <w:pPr>
        <w:spacing w:before="3" w:line="360" w:lineRule="auto"/>
        <w:ind w:left="-566" w:right="1338" w:firstLine="1275"/>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O processo de alfabetização e letramento perpassa por uma dinâmica de aprendizagens voltadas para a compreensão do sistema de escrita e letramento sobre o mundo, com isso, a prática pedagógica deve ser adequada, possibilitando uma aprendizagem significativa da aquisição desses processos. Dessa forma, o objeto de pesquisa proposto neste trabalho, traz a pesquisar e refletir sobre a temática do brincando de alfaletrar: Um relato de experiência do PIBID a partir de uma abordagem lúdica com estudantes do 1° ao 4° ano do ensino fundamental- anos iniciais, colocando como uma de suas categorias teóricas a ludicidade e compreendendo sua atuação no alfaletrar, durante o ensino fundamental.</w:t>
      </w:r>
    </w:p>
    <w:p w14:paraId="5C3879FB">
      <w:pPr>
        <w:spacing w:before="3" w:line="360" w:lineRule="auto"/>
        <w:ind w:left="-566" w:right="1338" w:firstLine="1275"/>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Este artigo possui sua relevância social embasada na compreensão de que o alfaletrar é um processo único e extremamente importante na formação de todo cidadão, se ancorando também na sua relevância acadêmica, de que enquanto profissionais em formação, o estudo da prática pedagógica e a compreensão da utilização da ludicidade para a aprendizagem dos estudantes durante seu período de concretização da alfabetização e letramento é necessário ser compreendido, para aperfeiçoamento da prática pedagógica. </w:t>
      </w:r>
    </w:p>
    <w:p w14:paraId="1103A3D0">
      <w:pPr>
        <w:spacing w:before="3" w:line="360" w:lineRule="auto"/>
        <w:ind w:left="-566" w:right="1338" w:firstLine="1275"/>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Desta forma, esta pesquisa se movimenta a partir da seguinte questão problema: Quais as contribuições das práticas lúdicas desenvolvidas no âmbito do Pibid, no processo de alfabetização e letramento com estudantes do 1º ao 4º ano do ensino fundamental anos iniciais, buscando responder a essa indagação a partir do objetivo geral do trabalho que busca analisar as contribuições das práticas lúdicas desenvolvidas no âmbito do Pibid, no processo de alfabetização e letramento com estudantes do 1º ao 4º ano do ensino fundamental anos iniciais, se destrinchando em dois objetivos específicos para melhor realizar a pesquisa, que é o objetivo específico 1: Relatar abordagens lúdicas utilizadas durante as intervenções realizadas no Pibid voltadas ao alfaletrar; e objetivo específico 2: Discutir as contribuições da abordagem lúdica no processo de alfabetização e letramento. O relato aqui desenvolvido, se pauta na utilização de um referencial teórico embasado em Soares (2004),Tfouni (2010), Ferreiro e Teberosky (1999), Kishimoto (1994) e Vygotsky (1998) elaborando sobre o brincar.</w:t>
      </w:r>
    </w:p>
    <w:p w14:paraId="2155FDFB">
      <w:pPr>
        <w:spacing w:before="3" w:line="360" w:lineRule="auto"/>
        <w:ind w:left="-566" w:right="1338"/>
        <w:jc w:val="both"/>
        <w:rPr>
          <w:rFonts w:ascii="Times New Roman" w:hAnsi="Times New Roman" w:eastAsia="Arial" w:cs="Times New Roman"/>
          <w:sz w:val="24"/>
          <w:szCs w:val="24"/>
          <w:lang w:val="pt-BR"/>
        </w:rPr>
      </w:pPr>
      <w:r>
        <w:rPr>
          <w:rFonts w:ascii="Times New Roman" w:hAnsi="Times New Roman" w:eastAsia="Arial" w:cs="Times New Roman"/>
          <w:b/>
          <w:bCs/>
          <w:sz w:val="24"/>
          <w:szCs w:val="24"/>
          <w:lang w:val="pt-BR"/>
        </w:rPr>
        <w:t>2.</w:t>
      </w:r>
      <w:r>
        <w:rPr>
          <w:rFonts w:ascii="Times New Roman" w:hAnsi="Times New Roman" w:eastAsia="Arial" w:cs="Times New Roman"/>
          <w:sz w:val="24"/>
          <w:szCs w:val="24"/>
          <w:lang w:val="pt-BR"/>
        </w:rPr>
        <w:t xml:space="preserve"> </w:t>
      </w:r>
      <w:r>
        <w:rPr>
          <w:rFonts w:ascii="Times New Roman" w:hAnsi="Times New Roman" w:eastAsia="Arial" w:cs="Times New Roman"/>
          <w:b/>
          <w:bCs/>
          <w:sz w:val="24"/>
          <w:szCs w:val="24"/>
          <w:lang w:val="pt-BR"/>
        </w:rPr>
        <w:t>Referencial Teórico.</w:t>
      </w:r>
    </w:p>
    <w:p w14:paraId="78307606">
      <w:pPr>
        <w:spacing w:before="3" w:line="360" w:lineRule="auto"/>
        <w:ind w:left="-566" w:right="1338"/>
        <w:jc w:val="both"/>
        <w:rPr>
          <w:rFonts w:ascii="Times New Roman" w:hAnsi="Times New Roman" w:eastAsia="Arial" w:cs="Times New Roman"/>
          <w:sz w:val="24"/>
          <w:szCs w:val="24"/>
          <w:lang w:val="pt-BR"/>
        </w:rPr>
      </w:pPr>
      <w:r>
        <w:rPr>
          <w:rFonts w:ascii="Times New Roman" w:hAnsi="Times New Roman" w:eastAsia="Arial" w:cs="Times New Roman"/>
          <w:b/>
          <w:bCs/>
          <w:sz w:val="24"/>
          <w:szCs w:val="24"/>
          <w:lang w:val="pt-BR"/>
        </w:rPr>
        <w:t>2.1 Alfaletrar: A alfabetização e letramento</w:t>
      </w:r>
    </w:p>
    <w:p w14:paraId="32A49BCF">
      <w:pPr>
        <w:spacing w:before="3" w:line="360" w:lineRule="auto"/>
        <w:ind w:left="-566" w:right="1338" w:firstLine="1275"/>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 xml:space="preserve">O processo de alfabetização e letramento é fundamental para o desenvolvimento cognitivo, uma vez que representa a porta de entrada para o universo da linguagem e da escrita e para a participação social. A esse respeito, Magda Soares (2004) apresenta o conceito de “alfaletrar” e destaca que alfabetizar e letrar não devem ser vistos como práticas separadas, mas como ações integradas. A autora propõe que o conceito de “alfaletrar” como forma de unir esses dois processos em uma abordagem única e significativa. Segundo a autora: “Alfabetizar letrando é ensinar a ler e escrever no contexto das práticas sociais de leitura e escrita, proporcionando à criança tanto o domínio do sistema alfabético quanto a inserção em situações significativas de uso da língua escrita” (SOARES, 2004, p. 94). </w:t>
      </w:r>
    </w:p>
    <w:p w14:paraId="5FEC19C4">
      <w:pPr>
        <w:spacing w:before="3" w:line="360" w:lineRule="auto"/>
        <w:ind w:left="-566" w:right="1338" w:firstLine="1275"/>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Corroborando com essa visão, Tfouni (2010) defende que o letramento é um processo sociocultural, que não pode ser reduzido apenas à aprendizagem mecânica da leitura e da escrita. Para ela: “Letramento é o conjunto de práticas sociais que utilizam a escrita como tecnologia, envolvem habilidades cognitivas e são permeadas por valores e relações sociais” (TFOUNI, 2010, p. 19).</w:t>
      </w:r>
    </w:p>
    <w:p w14:paraId="2F5B19FD">
      <w:pPr>
        <w:spacing w:before="3" w:line="360" w:lineRule="auto"/>
        <w:ind w:left="-566" w:right="1338" w:firstLine="1275"/>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 A esse processo de conhecimento sobre a escrita também se soma a contribuição de Ferreiro (1999), que propõe uma visão construtivista da alfabetização. Em seus estudos sobre a psicogênese da língua escrita, ela evidência que a criança elabora hipóteses sobre a escrita antes mesmo de ser formalmente alfabetizada: “A criança constrói ativamente seu conhecimento sobre a escrita, fazendo suposições e reorganizando-as à medida que interage com os objetos de conhecimento” (FERREIRO; TEBEROSKY, 1999, p. 17).</w:t>
      </w:r>
    </w:p>
    <w:p w14:paraId="18CDBA5C">
      <w:pPr>
        <w:spacing w:before="3" w:line="360" w:lineRule="auto"/>
        <w:ind w:left="-566" w:right="1338" w:firstLine="1275"/>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Nesse sentido, percebe-se que o aprendizado da leitura e da dinâmica da escrita é uma construção, pois é um processo dinâmico que se constrói com base na interação da criança com o meio e com as práticas significativas, as ações pedagógicas podem contribuir como sujeito ativo no processo de aprendizagem.</w:t>
      </w:r>
    </w:p>
    <w:p w14:paraId="277327ED">
      <w:pPr>
        <w:spacing w:before="3" w:line="360" w:lineRule="auto"/>
        <w:ind w:left="-566" w:right="1338"/>
        <w:jc w:val="both"/>
        <w:rPr>
          <w:rFonts w:ascii="Times New Roman" w:hAnsi="Times New Roman" w:eastAsia="Arial" w:cs="Times New Roman"/>
          <w:sz w:val="24"/>
          <w:szCs w:val="24"/>
          <w:lang w:val="pt-BR"/>
        </w:rPr>
      </w:pPr>
      <w:r>
        <w:rPr>
          <w:rFonts w:ascii="Times New Roman" w:hAnsi="Times New Roman" w:eastAsia="Arial" w:cs="Times New Roman"/>
          <w:b/>
          <w:bCs/>
          <w:sz w:val="24"/>
          <w:szCs w:val="24"/>
          <w:lang w:val="pt-BR"/>
        </w:rPr>
        <w:t>2.2 O brincar- a ludicidade na educação</w:t>
      </w:r>
    </w:p>
    <w:p w14:paraId="07CF7409">
      <w:pPr>
        <w:spacing w:before="3" w:line="360" w:lineRule="auto"/>
        <w:ind w:left="-566" w:right="1338" w:firstLine="1275"/>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A ludicidade tem sido objeto de estudos e reflexões no campo da Pedagogia, especialmente por sua relevância no desenvolvimento cognitivo, social e emocional das crianças. O brincar, entendido como uma atividade lúdica, assume um papel fundamental no processo educativo, indo além do simples entretenimento e se consolidando como um recurso pedagógico essencial. </w:t>
      </w:r>
    </w:p>
    <w:p w14:paraId="3CA334F1">
      <w:pPr>
        <w:spacing w:before="3" w:line="360" w:lineRule="auto"/>
        <w:ind w:left="-566" w:right="1338" w:firstLine="1275"/>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Segundo Kishimoto (1994), a ludicidade é uma dimensão que contribui não apenas para a aprendizagem de conteúdos escolares, mas contribui também para a construção da autonomia, socialização e criatividade. O jogo e as atividades lúdicas, para a autora, podem ser utilizados como instrumentos que favorecem o desenvolvimento infantil, uma vez que permitem à criança experimentar, criar, imaginar e interagir com o mundo ao seu redor. Assim sendo, o jogo é visto como uma das estratégias pedagógicas que articulam aprendizagem e prazer, possibilitando que o aluno aprenda de maneira significativa. </w:t>
      </w:r>
    </w:p>
    <w:p w14:paraId="1CBB104C">
      <w:pPr>
        <w:spacing w:before="3" w:line="360" w:lineRule="auto"/>
        <w:ind w:left="-566" w:right="1338" w:firstLine="1275"/>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Complementando essa visão, Vygotsky (1998) destaca que o brincar tem uma função essencial no desenvolvimento da criança, pois cria uma “zona de desenvolvimento proximal”, em que ela consegue desempenhar papéis e resolver problemas que, sozinha, ela não conseguiria realizar de forma plena e eficaz. Desse modo, as atividades lúdicas permitem que a criança avance em seu desenvolvimento cognitivo e social, funcionando como uma ponte para fazer a ligação do que ela já sabe e o que ela ainda vai aprender.</w:t>
      </w:r>
    </w:p>
    <w:p w14:paraId="2323038D">
      <w:pPr>
        <w:spacing w:before="3" w:line="360" w:lineRule="auto"/>
        <w:ind w:left="-566" w:right="1338"/>
        <w:jc w:val="both"/>
        <w:rPr>
          <w:rFonts w:ascii="Times New Roman" w:hAnsi="Times New Roman" w:eastAsia="Arial" w:cs="Times New Roman"/>
          <w:sz w:val="24"/>
          <w:szCs w:val="24"/>
          <w:lang w:val="pt-BR"/>
        </w:rPr>
      </w:pPr>
      <w:r>
        <w:rPr>
          <w:rFonts w:ascii="Times New Roman" w:hAnsi="Times New Roman" w:eastAsia="Arial" w:cs="Times New Roman"/>
          <w:b/>
          <w:bCs/>
          <w:sz w:val="24"/>
          <w:szCs w:val="24"/>
          <w:lang w:val="pt-BR"/>
        </w:rPr>
        <w:t>3.Metodologia</w:t>
      </w:r>
    </w:p>
    <w:p w14:paraId="114BF1C5">
      <w:pPr>
        <w:spacing w:before="3" w:line="360" w:lineRule="auto"/>
        <w:ind w:left="-566" w:right="1338" w:firstLine="1275"/>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O presente relato de experiência ancora-se em uma abordagem qualitativa do tipo etnográfica, que demonstra a possibilidade do/a pesquisador/a adentrar nas camadas de maneira integral, considerando aspectos sociais, econômicos e culturais do campo da pesquisa. Essa abordagem, debruça-se ao ambiente natural como fonte direta de dados, sendo capaz de adentrar nos diversos aspectos que permeiam e compõem o local de forma integral (Ludke; André, 1986, p. 12-13). Foram utilizados como instrumentos metodológicos a observação que se expressa além das falas, mas na atenção de diferentes aspectos que cercam o ambiente (Lage, 2005, p. 198) e os registros do diário de campo que se torna um instrumento de análise que proporciona uma grande satisfação ao ser construído e redescoberto em cada consulta (Lage, 2005, p. 452). A utilização da observação e do diário de campo possibilitou compreender o contexto de forma ampla, captando aspectos que extrapolam as falas, promovendo uma análise reflexiva coerente com a abordagem etnográfica.</w:t>
      </w:r>
    </w:p>
    <w:p w14:paraId="35484490">
      <w:pPr>
        <w:spacing w:before="3" w:line="360" w:lineRule="auto"/>
        <w:ind w:left="-566" w:right="1338" w:firstLine="1275"/>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A pesquisa ocorreu no âmbito do Pibid, em uma escola municipal do bairro São Francisco, Caruaru-PE. Para a discussão de dados, tomamos como fundamento a análise de extratos de campo elaborados com o intuito de registrar momentos significativos em aulas realizadas durante o Pibid. Sendo assim, as turmas selecionadas para a discussão de dados foram: - 3º ano, dia 11/03/2025: Atividade denominada “Brincando de detetive de palavras”, cujo objetivo foi trabalhar o realismo nominal e explorar a relação fonema-grafema. E 4º ano, dias: 27/02, 11/03 e 03/04/2025: Atividades envolvendo cultura regional (Carnaval de Pernambuco), gênero textual (carta) e práticas de multiletramentos (interpretação de curtas-metragens e produção escrita).</w:t>
      </w:r>
    </w:p>
    <w:p w14:paraId="307B0E86">
      <w:pPr>
        <w:spacing w:before="3" w:line="360" w:lineRule="auto"/>
        <w:ind w:left="-566" w:right="1338"/>
        <w:jc w:val="both"/>
        <w:rPr>
          <w:rFonts w:ascii="Times New Roman" w:hAnsi="Times New Roman" w:eastAsia="Arial" w:cs="Times New Roman"/>
          <w:sz w:val="24"/>
          <w:szCs w:val="24"/>
          <w:lang w:val="pt-BR"/>
        </w:rPr>
      </w:pPr>
      <w:r>
        <w:rPr>
          <w:rFonts w:ascii="Times New Roman" w:hAnsi="Times New Roman" w:eastAsia="Arial" w:cs="Times New Roman"/>
          <w:b/>
          <w:bCs/>
          <w:sz w:val="24"/>
          <w:szCs w:val="24"/>
          <w:lang w:val="pt-BR"/>
        </w:rPr>
        <w:t>4. Discussão de dados.</w:t>
      </w:r>
    </w:p>
    <w:p w14:paraId="30C1C924">
      <w:pPr>
        <w:spacing w:before="3" w:line="360" w:lineRule="auto"/>
        <w:ind w:left="-566" w:right="1338"/>
        <w:jc w:val="both"/>
        <w:rPr>
          <w:rFonts w:ascii="Times New Roman" w:hAnsi="Times New Roman" w:eastAsia="Arial" w:cs="Times New Roman"/>
          <w:b/>
          <w:bCs/>
          <w:sz w:val="24"/>
          <w:szCs w:val="24"/>
          <w:lang w:val="pt-BR"/>
        </w:rPr>
      </w:pPr>
      <w:r>
        <w:rPr>
          <w:rFonts w:ascii="Times New Roman" w:hAnsi="Times New Roman" w:eastAsia="Arial" w:cs="Times New Roman"/>
          <w:b/>
          <w:bCs/>
          <w:sz w:val="24"/>
          <w:szCs w:val="24"/>
          <w:lang w:val="pt-BR"/>
        </w:rPr>
        <w:t>4.1. Abordagens lúdicas utilizadas nas intervenções.</w:t>
      </w:r>
    </w:p>
    <w:p w14:paraId="154E4951">
      <w:pPr>
        <w:spacing w:before="3" w:line="360" w:lineRule="auto"/>
        <w:ind w:left="-566" w:right="1338" w:firstLine="1275"/>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As observações registradas nos diários de campo demonstram que a ludicidade constituiu um eixo central das práticas pedagógicas implementadas no Pibid, atuando como instrumento para o engajamento e a motivação dos alunos. No dia 27/02/2025 na turma do 4ª ano, durante as atividades relacionadas ao Carnaval pernambucano, a ludicidade foi mobilizada por meio de slides, fichas de leitura, jogo da memória e brincadeiras de perguntas e respostas, articulando essas aprendizagens com as manifestações culturais como o Galo da Madrugada, o Homem da Meia-Noite e o Papangu. </w:t>
      </w:r>
    </w:p>
    <w:p w14:paraId="775F56BA">
      <w:pPr>
        <w:spacing w:before="3"/>
        <w:ind w:left="2268" w:right="1338"/>
        <w:jc w:val="both"/>
        <w:rPr>
          <w:rFonts w:ascii="Times New Roman" w:hAnsi="Times New Roman" w:eastAsia="Arial" w:cs="Times New Roman"/>
          <w:sz w:val="20"/>
          <w:szCs w:val="20"/>
          <w:lang w:val="pt-BR"/>
        </w:rPr>
      </w:pPr>
      <w:r>
        <w:rPr>
          <w:rFonts w:ascii="Times New Roman" w:hAnsi="Times New Roman" w:eastAsia="Arial" w:cs="Times New Roman"/>
          <w:sz w:val="20"/>
          <w:szCs w:val="20"/>
          <w:lang w:val="pt-BR"/>
        </w:rPr>
        <w:t>[…] No primeiro momento, trabalhamos a diferença entre país, região, estado e cidade, pois as crianças demonstraram dificuldades nesse conceito. Estudamos diversas manifestações, festas e danças típicas do Carnaval de Pernambuco, como o Galo da Madrugada, o Homem da Meia-Noite, o Papangu, entre outras. O objetivo foi promover o conhecimento e o reconhecimento da cultura regional, conectando esses aspectos às vivências das crianças em sala de aula. Utilizamos slides com imagens e vídeos como base para a condução da aula. Em seguida, as crianças receberam fichas de leitura contendo pequenos textos que descreviam cada manifestação cultural estudada. Realizamos uma leitura compartilhada, na qual eu iniciava a leitura e a criança lia a palavra que eu indicava, dando continuidade ao processo. (Extrato do diário de campo, 27/02/2025, Pibid.)</w:t>
      </w:r>
    </w:p>
    <w:p w14:paraId="17EEC8C7">
      <w:pPr>
        <w:spacing w:before="3"/>
        <w:ind w:left="2268" w:right="1338"/>
        <w:jc w:val="both"/>
        <w:rPr>
          <w:rFonts w:ascii="Times New Roman" w:hAnsi="Times New Roman" w:eastAsia="Arial" w:cs="Times New Roman"/>
          <w:sz w:val="20"/>
          <w:szCs w:val="20"/>
          <w:lang w:val="pt-BR"/>
        </w:rPr>
      </w:pPr>
    </w:p>
    <w:p w14:paraId="1F8F2784">
      <w:pPr>
        <w:spacing w:before="3" w:line="360" w:lineRule="auto"/>
        <w:ind w:left="-566" w:right="1338" w:firstLine="1275"/>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Segundo Soares (2004), o letramento exige a participação em práticas sociais de leitura e escrita que possuam significado para os sujeitos, evidenciando que o caráter lúdico da aula favoreceu a contextualização da aprendizagem e sua relação com o cotidiano dos estudantes.</w:t>
      </w:r>
    </w:p>
    <w:p w14:paraId="51EBB5DD">
      <w:pPr>
        <w:spacing w:before="3" w:line="360" w:lineRule="auto"/>
        <w:ind w:left="-566" w:right="1338" w:firstLine="1275"/>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Outro exemplo significativo foi a dinâmica “Brincando de detetive de palavras”, registrada no dia 11/03/2025 na turma do 3º ano, cujo objetivo foi trabalhar o realismo nominal. A atividade combinou análise de imagens, contagem silábica e utilização do alfabeto móvel, recurso que estimulou a experimentação e a construção ativa de palavras. </w:t>
      </w:r>
    </w:p>
    <w:p w14:paraId="5AACC0FE">
      <w:pPr>
        <w:spacing w:before="3"/>
        <w:ind w:left="2268" w:right="1338"/>
        <w:jc w:val="both"/>
        <w:rPr>
          <w:rFonts w:ascii="Times New Roman" w:hAnsi="Times New Roman" w:eastAsia="Arial" w:cs="Times New Roman"/>
          <w:sz w:val="20"/>
          <w:szCs w:val="20"/>
          <w:lang w:val="pt-BR"/>
        </w:rPr>
      </w:pPr>
      <w:r>
        <w:rPr>
          <w:rFonts w:ascii="Times New Roman" w:hAnsi="Times New Roman" w:eastAsia="Arial" w:cs="Times New Roman"/>
          <w:sz w:val="20"/>
          <w:szCs w:val="20"/>
          <w:lang w:val="pt-BR"/>
        </w:rPr>
        <w:t>[...] A dinâmica denominada de "brincando de detetive de palavras" que teve como objetivo trabalhar o realismo nominal, iniciou com as crianças em duplas analisando cada uma, uma imagem, em conjunto com a sala refletimos sobre o tamanho dos objetos e animais e as diferenças de tamanho entre eles, assim os estudantes realizaram uma contagem silábica das palavras e tentamos escrever estas no quadro para após refletir com o restante da turma, onde eles puderam perceber que não se tem relação do tamanho da palavra com o tamanho do objeto. (Extrato do diário de campo, 11/03/2025, Pibid.)</w:t>
      </w:r>
    </w:p>
    <w:p w14:paraId="116C9834">
      <w:pPr>
        <w:spacing w:before="3"/>
        <w:ind w:left="2268" w:right="1338"/>
        <w:jc w:val="both"/>
        <w:rPr>
          <w:rFonts w:ascii="Times New Roman" w:hAnsi="Times New Roman" w:eastAsia="Arial" w:cs="Times New Roman"/>
          <w:sz w:val="20"/>
          <w:szCs w:val="20"/>
          <w:lang w:val="pt-BR"/>
        </w:rPr>
      </w:pPr>
    </w:p>
    <w:p w14:paraId="3074A4B8">
      <w:pPr>
        <w:spacing w:before="3" w:line="360" w:lineRule="auto"/>
        <w:ind w:left="-566" w:right="1338" w:firstLine="1275"/>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No mesmo dia 11/03/2025 na turma do 4ª ano, a abordagem lúdica  foi incorporada ao ensino do gênero textual “Carta”, aproximando esse gênero textual da comunicação contemporânea por meio da simulação de uma conversa no aplicativo “WhatsApp”, em uma atividade de ordenação de falas impressas em formato de tela de celular. A ludicidade mediou a reflexão sobre os a compreensão da função comunicativa da carta sem dissociá-la de práticas sociais atuais. </w:t>
      </w:r>
    </w:p>
    <w:p w14:paraId="05DFF586">
      <w:pPr>
        <w:spacing w:before="3"/>
        <w:ind w:left="2268" w:right="1338"/>
        <w:jc w:val="both"/>
        <w:rPr>
          <w:rFonts w:ascii="Times New Roman" w:hAnsi="Times New Roman" w:eastAsia="Arial" w:cs="Times New Roman"/>
          <w:sz w:val="20"/>
          <w:szCs w:val="20"/>
          <w:lang w:val="pt-BR"/>
        </w:rPr>
      </w:pPr>
      <w:r>
        <w:rPr>
          <w:rFonts w:ascii="Times New Roman" w:hAnsi="Times New Roman" w:eastAsia="Arial" w:cs="Times New Roman"/>
          <w:sz w:val="20"/>
          <w:szCs w:val="20"/>
          <w:lang w:val="pt-BR"/>
        </w:rPr>
        <w:t>[...] A aula iniciou com a exibição de um slide explicativo, apresentando os objetivos da atividade, conceitos relacionados ao gênero textual, questões motivadoras e a estrutura da carta. Em seguida, foi realizada a leitura de uma carta para análise e compreensão do formato, além da exibição de um vídeo complementar para reforçar o aprendizado. As crianças demonstraram interesse e participaram ativamente das discussões. Na primeira atividade, os alunos foram desafiados a completar uma carta a partir de um ditado, exercitando a escuta atenta e a escrita. Ao final, precisaram identificar e preencher os elementos estruturais que faltavam, consolidando o entendimento sobre a organização do gênero textual. A segunda atividade teve como objetivo relacionar a carta a meios de comunicação mais contemporâneos, como o WhatsApp. Extrato do diário de campo, 11/03/2025, Pibid.</w:t>
      </w:r>
    </w:p>
    <w:p w14:paraId="7BDABE83">
      <w:pPr>
        <w:spacing w:before="3" w:line="360" w:lineRule="auto"/>
        <w:ind w:left="-566" w:right="1338" w:firstLine="1275"/>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 xml:space="preserve">Por fim, o registro feito no dia 03/04/2025 na turma do 4ª ano, onde evidenciou a utilização da ludicidade na leitura e produção textual criativa, quando os alunos, a partir de curtas-metragens do personagem Groot, construíram falas e as transcreveram em balões de diálogo. </w:t>
      </w:r>
    </w:p>
    <w:p w14:paraId="11CBA792">
      <w:pPr>
        <w:spacing w:before="3"/>
        <w:ind w:left="2268" w:right="1338"/>
        <w:jc w:val="both"/>
        <w:rPr>
          <w:rFonts w:ascii="Times New Roman" w:hAnsi="Times New Roman" w:eastAsia="Arial" w:cs="Times New Roman"/>
          <w:sz w:val="20"/>
          <w:szCs w:val="20"/>
          <w:lang w:val="pt-BR"/>
        </w:rPr>
      </w:pPr>
      <w:r>
        <w:rPr>
          <w:rFonts w:ascii="Times New Roman" w:hAnsi="Times New Roman" w:eastAsia="Arial" w:cs="Times New Roman"/>
          <w:sz w:val="20"/>
          <w:szCs w:val="20"/>
          <w:lang w:val="pt-BR"/>
        </w:rPr>
        <w:t>No segundo momento da aula, assistimos a curtas-metragens do personagem “Groot”, da Marvel, que se comunica apenas pela frase “Eu sou Groot”. A proposta da atividade consistia em observar o que acontecia nas cenas e, a partir disso, criar falas para o personagem, considerando o contexto e a expressão das situações apresentadas. Inicialmente, as crianças encontraram certa dificuldade em associar a proposta, mas, com orientação, conseguiram construir falas funcionais e coerentes com o que era mostrado no vídeo. Durante a criação, eu registrava as frases no quadro, com o apoio das crianças, que posteriormente as transcreviam nos balões de fala da atividade, promovendo, assim, a integração da interpretação audiovisual com a produção escrita. (Extrato do diário de campo, 03/04/2025, Pibid.)</w:t>
      </w:r>
    </w:p>
    <w:p w14:paraId="4CE848CE">
      <w:pPr>
        <w:spacing w:before="3" w:line="360" w:lineRule="auto"/>
        <w:ind w:left="-567" w:right="1338" w:firstLine="1276"/>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 xml:space="preserve">Esses exemplos demonstram como a ludicidade permeou sobre os diferentes contextos e objetivos pedagógicos, evidenciando sua versatilidade como ferramenta de mediação. </w:t>
      </w:r>
    </w:p>
    <w:p w14:paraId="063DEC98">
      <w:pPr>
        <w:spacing w:before="3" w:line="360" w:lineRule="auto"/>
        <w:ind w:left="-566" w:right="1338"/>
        <w:jc w:val="both"/>
        <w:rPr>
          <w:rFonts w:ascii="Times New Roman" w:hAnsi="Times New Roman" w:eastAsia="Arial" w:cs="Times New Roman"/>
          <w:b/>
          <w:bCs/>
          <w:sz w:val="24"/>
          <w:szCs w:val="24"/>
          <w:lang w:val="pt-BR"/>
        </w:rPr>
      </w:pPr>
      <w:r>
        <w:rPr>
          <w:rFonts w:ascii="Times New Roman" w:hAnsi="Times New Roman" w:eastAsia="Arial" w:cs="Times New Roman"/>
          <w:b/>
          <w:bCs/>
          <w:sz w:val="24"/>
          <w:szCs w:val="24"/>
          <w:lang w:val="pt-BR"/>
        </w:rPr>
        <w:t>4.2 Contribuições da abordagem lúdica no processo de alfabetização e letramento.</w:t>
      </w:r>
    </w:p>
    <w:p w14:paraId="10AA29F6">
      <w:pPr>
        <w:spacing w:before="3" w:line="360" w:lineRule="auto"/>
        <w:ind w:left="-566" w:right="1338" w:firstLine="1275"/>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A análise dos dados indica que a abordagem lúdica apresenta diversas contribuições para o processo de alfabetização e letramento. Primeiramente, porque promove engajamento e motivação para os estudantes, aspectos fundamentais para a aprendizagem significativa, uma vez que atividades prazerosas favorecem a atenção, a participação ativa e a retenção de conteúdos (Soares, 2004). Em segundo lugar, as práticas lúdicas favorecem o desenvolvimento da consciência fonológica e das habilidades de escrita, como observado na dinâmica “Brincando de detetive de palavras” relatada no registro de campo do dia 11/03/2015 na turma do 3ª ano. Ao experimentar a segmentação silábica, a construção de palavras e o uso do alfabeto móvel, os alunos puderam compreender o funcionamento do sistema de escrita, alinhando-se à perspectiva de Ferreiro e Teberosky (1999), que destacam a importância da experimentação ativa na alfabetização.</w:t>
      </w:r>
    </w:p>
    <w:p w14:paraId="23E69739">
      <w:pPr>
        <w:spacing w:before="3" w:line="360" w:lineRule="auto"/>
        <w:ind w:left="-566" w:right="1338" w:firstLine="1275"/>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 xml:space="preserve">Outra contribuição importante refere-se à aproximação entre a linguagem formal e social, evidenciada na atividade de escrita de cartas e ordenação de diálogos do WhatsApp, registrada no diário de campo do dia 11/03/2025 na turma do 4ª ano. Essa mediação permitiu aos estudantes reconhecerem a função comunicativa dos textos e refletir sobre os diferentes registros de linguagem, articulando alfabetização e letramento em contextos significativos para eles.Além disso, a ludicidade estimulou a criatividade e a autoria textual, como observado na produção de falas para o personagem “Groot”. </w:t>
      </w:r>
    </w:p>
    <w:p w14:paraId="499097A8">
      <w:pPr>
        <w:spacing w:before="3" w:line="360" w:lineRule="auto"/>
        <w:ind w:left="-566" w:right="1338" w:firstLine="1275"/>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Dessa forma, podemos afirmar que as intervenções realizadas no PIBID demonstram que a ludicidade contribuiu para uma aprendizagem mais significativa e contextualizada; O desenvolvimento de habilidades de consciência fonológica, leitura e escrita; Integração entre a linguagem as práticas sociais dos estudantes; Estímulo de criatividade, a autonomia e pensamento crítico dos estudantes. Sendo assim, os dados aqui apresentados demonstram que a ludicidade constitui não apenas uma estratégia motivacional, mas um instrumento pedagógico capaz de articular alfabetização, letramento e vivências culturais. (Soares, 2020).</w:t>
      </w:r>
    </w:p>
    <w:p w14:paraId="2FC06F29">
      <w:pPr>
        <w:spacing w:before="3" w:line="360" w:lineRule="auto"/>
        <w:ind w:right="1338"/>
        <w:jc w:val="both"/>
        <w:rPr>
          <w:rFonts w:ascii="Times New Roman" w:hAnsi="Times New Roman" w:eastAsia="Arial" w:cs="Times New Roman"/>
          <w:sz w:val="24"/>
          <w:szCs w:val="24"/>
          <w:lang w:val="pt-BR"/>
        </w:rPr>
      </w:pPr>
      <w:r>
        <w:rPr>
          <w:rFonts w:ascii="Times New Roman" w:hAnsi="Times New Roman" w:eastAsia="Arial" w:cs="Times New Roman"/>
          <w:b/>
          <w:bCs/>
          <w:sz w:val="24"/>
          <w:szCs w:val="24"/>
          <w:lang w:val="pt-BR"/>
        </w:rPr>
        <w:t>5.Considerações Parciais</w:t>
      </w:r>
    </w:p>
    <w:p w14:paraId="35779F44">
      <w:pPr>
        <w:spacing w:before="3" w:line="360" w:lineRule="auto"/>
        <w:ind w:left="-566" w:right="1338" w:firstLine="1275"/>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A análise das intervenções pedagógicas realizadas no âmbito Pibid evidencia que a ludicidade constitui uma ferramenta pedagógica fundamental para o processo de alfabetização e letramento. Observou-se que práticas como jogos, uso do alfabeto móvel, exploração de gêneros textuais e interpretação de curtas-metragens articulam o aprendizado da escrita às experiências sociais e culturais das crianças, promovendo aprendizagens significativas e contextualizadas. Contudo, a pesquisa confirma que o brincar, quando planejado e intencional, transcende o aspecto recreativo e se consolida como instrumento essencial para integrar alfabetização, letramento e vivências culturais.</w:t>
      </w:r>
    </w:p>
    <w:p w14:paraId="22E1B593">
      <w:pPr>
        <w:spacing w:before="3" w:line="360" w:lineRule="auto"/>
        <w:ind w:left="-566" w:right="1338"/>
        <w:jc w:val="both"/>
        <w:rPr>
          <w:rFonts w:ascii="Times New Roman" w:hAnsi="Times New Roman" w:eastAsia="Arial" w:cs="Times New Roman"/>
          <w:sz w:val="24"/>
          <w:szCs w:val="24"/>
          <w:lang w:val="pt-BR"/>
        </w:rPr>
      </w:pPr>
      <w:r>
        <w:rPr>
          <w:rFonts w:ascii="Times New Roman" w:hAnsi="Times New Roman" w:eastAsia="Arial" w:cs="Times New Roman"/>
          <w:b/>
          <w:bCs/>
          <w:sz w:val="24"/>
          <w:szCs w:val="24"/>
          <w:lang w:val="pt-BR"/>
        </w:rPr>
        <w:t>6.Referências. </w:t>
      </w:r>
    </w:p>
    <w:p w14:paraId="47FF9A73">
      <w:pPr>
        <w:spacing w:before="3" w:line="360" w:lineRule="auto"/>
        <w:ind w:left="-566" w:right="1338"/>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 xml:space="preserve">FERREIRO, Emília; TEBEROSKY, Ana. </w:t>
      </w:r>
      <w:r>
        <w:rPr>
          <w:rFonts w:ascii="Times New Roman" w:hAnsi="Times New Roman" w:eastAsia="Arial" w:cs="Times New Roman"/>
          <w:i/>
          <w:iCs/>
          <w:sz w:val="24"/>
          <w:szCs w:val="24"/>
          <w:lang w:val="pt-BR"/>
        </w:rPr>
        <w:t>A psicogênese da língua escrita</w:t>
      </w:r>
      <w:r>
        <w:rPr>
          <w:rFonts w:ascii="Times New Roman" w:hAnsi="Times New Roman" w:eastAsia="Arial" w:cs="Times New Roman"/>
          <w:sz w:val="24"/>
          <w:szCs w:val="24"/>
          <w:lang w:val="pt-BR"/>
        </w:rPr>
        <w:t>. 17. ed. Porto Alegre: Artmed, 1999.</w:t>
      </w:r>
    </w:p>
    <w:p w14:paraId="33D503A5">
      <w:pPr>
        <w:spacing w:before="3" w:line="360" w:lineRule="auto"/>
        <w:ind w:left="-566" w:right="1338"/>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 xml:space="preserve">KISHIMOTO, Tizuko Morchida. </w:t>
      </w:r>
      <w:r>
        <w:rPr>
          <w:rFonts w:ascii="Times New Roman" w:hAnsi="Times New Roman" w:eastAsia="Arial" w:cs="Times New Roman"/>
          <w:i/>
          <w:iCs/>
          <w:sz w:val="24"/>
          <w:szCs w:val="24"/>
          <w:lang w:val="pt-BR"/>
        </w:rPr>
        <w:t>Jogo, brinquedo, brincadeira e a educação</w:t>
      </w:r>
      <w:r>
        <w:rPr>
          <w:rFonts w:ascii="Times New Roman" w:hAnsi="Times New Roman" w:eastAsia="Arial" w:cs="Times New Roman"/>
          <w:sz w:val="24"/>
          <w:szCs w:val="24"/>
          <w:lang w:val="pt-BR"/>
        </w:rPr>
        <w:t>. São Paulo: Cortez, 2011.</w:t>
      </w:r>
    </w:p>
    <w:p w14:paraId="6C72BF55">
      <w:pPr>
        <w:spacing w:before="3" w:line="360" w:lineRule="auto"/>
        <w:ind w:left="-566" w:right="1338"/>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 xml:space="preserve">KISHIMOTO, Tizuko Morchida. </w:t>
      </w:r>
      <w:r>
        <w:rPr>
          <w:rFonts w:ascii="Times New Roman" w:hAnsi="Times New Roman" w:eastAsia="Arial" w:cs="Times New Roman"/>
          <w:i/>
          <w:iCs/>
          <w:sz w:val="24"/>
          <w:szCs w:val="24"/>
          <w:lang w:val="pt-BR"/>
        </w:rPr>
        <w:t>O jogo e a educação infantil</w:t>
      </w:r>
      <w:r>
        <w:rPr>
          <w:rFonts w:ascii="Times New Roman" w:hAnsi="Times New Roman" w:eastAsia="Arial" w:cs="Times New Roman"/>
          <w:sz w:val="24"/>
          <w:szCs w:val="24"/>
          <w:lang w:val="pt-BR"/>
        </w:rPr>
        <w:t>. 5. ed. São Paulo: Cortez, 1994.</w:t>
      </w:r>
    </w:p>
    <w:p w14:paraId="3F0541B9">
      <w:pPr>
        <w:spacing w:before="3" w:line="360" w:lineRule="auto"/>
        <w:ind w:left="-566" w:right="1338"/>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 xml:space="preserve">LAGE, Allene Carvalho. </w:t>
      </w:r>
      <w:r>
        <w:rPr>
          <w:rFonts w:ascii="Times New Roman" w:hAnsi="Times New Roman" w:eastAsia="Arial" w:cs="Times New Roman"/>
          <w:i/>
          <w:iCs/>
          <w:sz w:val="24"/>
          <w:szCs w:val="24"/>
          <w:lang w:val="pt-BR"/>
        </w:rPr>
        <w:t>Lutas por Inclusão nas Margens do Atlântico: um estudo comparado entre as experiências do Movimento dos Sem Terra/Brasil e da Associação In Loco/Portugal</w:t>
      </w:r>
      <w:r>
        <w:rPr>
          <w:rFonts w:ascii="Times New Roman" w:hAnsi="Times New Roman" w:eastAsia="Arial" w:cs="Times New Roman"/>
          <w:sz w:val="24"/>
          <w:szCs w:val="24"/>
          <w:lang w:val="pt-BR"/>
        </w:rPr>
        <w:t>. Volume I – Dissertação de Doutoramento. Orientador: Boaventura de Sousa Santos. Coimbra: Universidade de Coimbra, Faculdade de Economia, Programa de Pós-Graduação em Sociologia, 2005.</w:t>
      </w:r>
    </w:p>
    <w:p w14:paraId="47B736F0">
      <w:pPr>
        <w:spacing w:before="3" w:line="360" w:lineRule="auto"/>
        <w:ind w:left="-566" w:right="1338"/>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 xml:space="preserve">LÜDKE, Menga; ANDRÉ, Marli E. D. A. </w:t>
      </w:r>
      <w:r>
        <w:rPr>
          <w:rFonts w:ascii="Times New Roman" w:hAnsi="Times New Roman" w:eastAsia="Arial" w:cs="Times New Roman"/>
          <w:i/>
          <w:iCs/>
          <w:sz w:val="24"/>
          <w:szCs w:val="24"/>
          <w:lang w:val="pt-BR"/>
        </w:rPr>
        <w:t>Pesquisa em educação: abordagens qualitativas</w:t>
      </w:r>
      <w:r>
        <w:rPr>
          <w:rFonts w:ascii="Times New Roman" w:hAnsi="Times New Roman" w:eastAsia="Arial" w:cs="Times New Roman"/>
          <w:sz w:val="24"/>
          <w:szCs w:val="24"/>
          <w:lang w:val="pt-BR"/>
        </w:rPr>
        <w:t>. São Paulo: EPU, 1986.</w:t>
      </w:r>
    </w:p>
    <w:p w14:paraId="5AC38222">
      <w:pPr>
        <w:spacing w:before="3" w:line="360" w:lineRule="auto"/>
        <w:ind w:left="-566" w:right="1338"/>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 xml:space="preserve">SOARES, Magda. </w:t>
      </w:r>
      <w:r>
        <w:rPr>
          <w:rFonts w:ascii="Times New Roman" w:hAnsi="Times New Roman" w:eastAsia="Arial" w:cs="Times New Roman"/>
          <w:i/>
          <w:iCs/>
          <w:sz w:val="24"/>
          <w:szCs w:val="24"/>
          <w:lang w:val="pt-BR"/>
        </w:rPr>
        <w:t>Alfabetização e letramento</w:t>
      </w:r>
      <w:r>
        <w:rPr>
          <w:rFonts w:ascii="Times New Roman" w:hAnsi="Times New Roman" w:eastAsia="Arial" w:cs="Times New Roman"/>
          <w:sz w:val="24"/>
          <w:szCs w:val="24"/>
          <w:lang w:val="pt-BR"/>
        </w:rPr>
        <w:t>. 11. ed. São Paulo: Contexto, 2004.</w:t>
      </w:r>
    </w:p>
    <w:p w14:paraId="1964303D">
      <w:pPr>
        <w:spacing w:before="3" w:line="360" w:lineRule="auto"/>
        <w:ind w:left="-566" w:right="1338"/>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 xml:space="preserve">SOARES, Magda. </w:t>
      </w:r>
      <w:r>
        <w:rPr>
          <w:rFonts w:ascii="Times New Roman" w:hAnsi="Times New Roman" w:eastAsia="Arial" w:cs="Times New Roman"/>
          <w:i/>
          <w:iCs/>
          <w:sz w:val="24"/>
          <w:szCs w:val="24"/>
          <w:lang w:val="pt-BR"/>
        </w:rPr>
        <w:t>Alfaletrar: toda criança pode aprender a ler e a escrever</w:t>
      </w:r>
      <w:r>
        <w:rPr>
          <w:rFonts w:ascii="Times New Roman" w:hAnsi="Times New Roman" w:eastAsia="Arial" w:cs="Times New Roman"/>
          <w:sz w:val="24"/>
          <w:szCs w:val="24"/>
          <w:lang w:val="pt-BR"/>
        </w:rPr>
        <w:t>. São Paulo: Contexto, 2020.</w:t>
      </w:r>
    </w:p>
    <w:p w14:paraId="339B5E7D">
      <w:pPr>
        <w:spacing w:before="3" w:line="360" w:lineRule="auto"/>
        <w:ind w:left="-566" w:right="1338"/>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 xml:space="preserve">TFOUNI, Leda Verdiani. </w:t>
      </w:r>
      <w:r>
        <w:rPr>
          <w:rFonts w:ascii="Times New Roman" w:hAnsi="Times New Roman" w:eastAsia="Arial" w:cs="Times New Roman"/>
          <w:i/>
          <w:iCs/>
          <w:sz w:val="24"/>
          <w:szCs w:val="24"/>
          <w:lang w:val="pt-BR"/>
        </w:rPr>
        <w:t>Letramento e alfabetização</w:t>
      </w:r>
      <w:r>
        <w:rPr>
          <w:rFonts w:ascii="Times New Roman" w:hAnsi="Times New Roman" w:eastAsia="Arial" w:cs="Times New Roman"/>
          <w:sz w:val="24"/>
          <w:szCs w:val="24"/>
          <w:lang w:val="pt-BR"/>
        </w:rPr>
        <w:t>. 17. ed. São Paulo: Cortez, 2010.</w:t>
      </w:r>
    </w:p>
    <w:p w14:paraId="6A84C271">
      <w:pPr>
        <w:spacing w:before="3" w:line="360" w:lineRule="auto"/>
        <w:ind w:left="-566" w:right="1338"/>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 xml:space="preserve">VYGOTSKY, Lev Semionovich. </w:t>
      </w:r>
      <w:r>
        <w:rPr>
          <w:rFonts w:ascii="Times New Roman" w:hAnsi="Times New Roman" w:eastAsia="Arial" w:cs="Times New Roman"/>
          <w:i/>
          <w:iCs/>
          <w:sz w:val="24"/>
          <w:szCs w:val="24"/>
          <w:lang w:val="pt-BR"/>
        </w:rPr>
        <w:t>A formação social da mente</w:t>
      </w:r>
      <w:r>
        <w:rPr>
          <w:rFonts w:ascii="Times New Roman" w:hAnsi="Times New Roman" w:eastAsia="Arial" w:cs="Times New Roman"/>
          <w:sz w:val="24"/>
          <w:szCs w:val="24"/>
          <w:lang w:val="pt-BR"/>
        </w:rPr>
        <w:t>. 6. ed. São Paulo: Martins Fontes, 1998.</w:t>
      </w:r>
    </w:p>
    <w:p w14:paraId="02244B83">
      <w:pPr>
        <w:spacing w:before="3" w:line="360" w:lineRule="auto"/>
        <w:ind w:left="-566" w:right="1338"/>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 xml:space="preserve">VYGOTSKY, Lev Semionovich. </w:t>
      </w:r>
      <w:r>
        <w:rPr>
          <w:rFonts w:ascii="Times New Roman" w:hAnsi="Times New Roman" w:eastAsia="Arial" w:cs="Times New Roman"/>
          <w:i/>
          <w:iCs/>
          <w:sz w:val="24"/>
          <w:szCs w:val="24"/>
          <w:lang w:val="pt-BR"/>
        </w:rPr>
        <w:t>A formação social da mente</w:t>
      </w:r>
      <w:r>
        <w:rPr>
          <w:rFonts w:ascii="Times New Roman" w:hAnsi="Times New Roman" w:eastAsia="Arial" w:cs="Times New Roman"/>
          <w:sz w:val="24"/>
          <w:szCs w:val="24"/>
          <w:lang w:val="pt-BR"/>
        </w:rPr>
        <w:t>. São Paulo: Martins Fontes, 1991.</w:t>
      </w:r>
    </w:p>
    <w:p w14:paraId="2555CECA">
      <w:pPr>
        <w:spacing w:before="3" w:line="360" w:lineRule="auto"/>
        <w:ind w:left="-566" w:right="1338"/>
        <w:jc w:val="both"/>
        <w:rPr>
          <w:rFonts w:ascii="Times New Roman" w:hAnsi="Times New Roman" w:eastAsia="Arial" w:cs="Times New Roman"/>
          <w:sz w:val="24"/>
          <w:szCs w:val="24"/>
          <w:lang w:val="pt-BR"/>
        </w:rPr>
      </w:pPr>
    </w:p>
    <w:p w14:paraId="00B95901">
      <w:pPr>
        <w:spacing w:before="3" w:line="360" w:lineRule="auto"/>
        <w:ind w:left="-566" w:right="1338"/>
        <w:jc w:val="both"/>
        <w:rPr>
          <w:rFonts w:ascii="Times New Roman" w:hAnsi="Times New Roman" w:eastAsia="Arial" w:cs="Times New Roman"/>
          <w:sz w:val="24"/>
          <w:szCs w:val="24"/>
        </w:rPr>
      </w:pPr>
    </w:p>
    <w:sectPr>
      <w:headerReference r:id="rId3" w:type="default"/>
      <w:footerReference r:id="rId4" w:type="default"/>
      <w:pgSz w:w="11900" w:h="16840"/>
      <w:pgMar w:top="0" w:right="1700" w:bottom="280" w:left="1700" w:header="0" w:footer="36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43883">
    <w:pPr>
      <w:pStyle w:val="13"/>
      <w:pBdr>
        <w:bottom w:val="single" w:color="auto" w:sz="12" w:space="1"/>
      </w:pBdr>
      <w:rPr>
        <w:vertAlign w:val="superscript"/>
        <w:lang w:val="pt-BR"/>
      </w:rPr>
    </w:pPr>
  </w:p>
  <w:p w14:paraId="0C835858">
    <w:pPr>
      <w:pStyle w:val="13"/>
      <w:rPr>
        <w:rFonts w:ascii="Times New Roman" w:hAnsi="Times New Roman" w:cs="Times New Roman"/>
        <w:lang w:val="pt-BR"/>
      </w:rPr>
    </w:pPr>
    <w:r>
      <w:rPr>
        <w:rFonts w:ascii="Times New Roman" w:hAnsi="Times New Roman" w:cs="Times New Roman"/>
        <w:vertAlign w:val="superscript"/>
        <w:lang w:val="pt-BR"/>
      </w:rPr>
      <w:t>1 UFPE-CAA, graduanda em pedagogia, e-mail:Ana.belchior@ufpe.br</w:t>
    </w:r>
  </w:p>
  <w:p w14:paraId="25E0D048">
    <w:pPr>
      <w:pStyle w:val="13"/>
      <w:rPr>
        <w:rFonts w:ascii="Times New Roman" w:hAnsi="Times New Roman" w:cs="Times New Roman"/>
        <w:lang w:val="pt-BR"/>
      </w:rPr>
    </w:pPr>
    <w:r>
      <w:rPr>
        <w:rFonts w:ascii="Times New Roman" w:hAnsi="Times New Roman" w:cs="Times New Roman"/>
        <w:vertAlign w:val="superscript"/>
        <w:lang w:val="pt-BR"/>
      </w:rPr>
      <w:t>2  UFPE-CAA, graduanda em pedagogia, e-mail: amanda.cibelly@ufpe.br</w:t>
    </w:r>
  </w:p>
  <w:p w14:paraId="3CA3295B">
    <w:pPr>
      <w:pStyle w:val="13"/>
      <w:rPr>
        <w:rFonts w:ascii="Times New Roman" w:hAnsi="Times New Roman" w:cs="Times New Roman"/>
        <w:lang w:val="pt-BR"/>
      </w:rPr>
    </w:pPr>
    <w:r>
      <w:rPr>
        <w:rFonts w:ascii="Times New Roman" w:hAnsi="Times New Roman" w:cs="Times New Roman"/>
        <w:vertAlign w:val="superscript"/>
        <w:lang w:val="pt-BR"/>
      </w:rPr>
      <w:t xml:space="preserve">3 UFPE-CAA, graduanda em pedagogia, e-mail: </w:t>
    </w:r>
    <w:r>
      <w:fldChar w:fldCharType="begin"/>
    </w:r>
    <w:r>
      <w:instrText xml:space="preserve"> HYPERLINK "mailto:daniele.scarvalho@ufpe.br" </w:instrText>
    </w:r>
    <w:r>
      <w:fldChar w:fldCharType="separate"/>
    </w:r>
    <w:r>
      <w:rPr>
        <w:rStyle w:val="10"/>
        <w:rFonts w:ascii="Times New Roman" w:hAnsi="Times New Roman" w:cs="Times New Roman"/>
        <w:vertAlign w:val="superscript"/>
        <w:lang w:val="pt-BR"/>
      </w:rPr>
      <w:t>daniele.scarvalho@ufpe.br</w:t>
    </w:r>
    <w:r>
      <w:rPr>
        <w:rStyle w:val="10"/>
        <w:rFonts w:ascii="Times New Roman" w:hAnsi="Times New Roman" w:cs="Times New Roman"/>
        <w:vertAlign w:val="superscript"/>
        <w:lang w:val="pt-BR"/>
      </w:rPr>
      <w:fldChar w:fldCharType="end"/>
    </w:r>
  </w:p>
  <w:p w14:paraId="5A7661AC">
    <w:pPr>
      <w:pStyle w:val="13"/>
      <w:rPr>
        <w:rFonts w:ascii="Times New Roman" w:hAnsi="Times New Roman" w:cs="Times New Roman"/>
        <w:lang w:val="pt-BR"/>
      </w:rPr>
    </w:pPr>
    <w:r>
      <w:rPr>
        <w:rFonts w:ascii="Times New Roman" w:hAnsi="Times New Roman" w:cs="Times New Roman"/>
        <w:vertAlign w:val="superscript"/>
        <w:lang w:val="pt-BR"/>
      </w:rPr>
      <w:t>4 UFPE-CAA, graduanda em pedagogia, e-mail: maira.sabrinap@ufpe.br</w:t>
    </w:r>
  </w:p>
  <w:p w14:paraId="0A8DE69E">
    <w:pPr>
      <w:pStyle w:val="13"/>
      <w:rPr>
        <w:rFonts w:ascii="Times New Roman" w:hAnsi="Times New Roman" w:cs="Times New Roman"/>
        <w:lang w:val="pt-BR"/>
      </w:rPr>
    </w:pPr>
    <w:r>
      <w:rPr>
        <w:rFonts w:ascii="Times New Roman" w:hAnsi="Times New Roman" w:cs="Times New Roman"/>
        <w:vertAlign w:val="superscript"/>
        <w:lang w:val="pt-BR"/>
      </w:rPr>
      <w:t>5 UFPE-CAA, graduanda em pedagogia, e-mail: tais.maria@ufpe.br</w:t>
    </w:r>
  </w:p>
  <w:p w14:paraId="00D4FACB">
    <w:pPr>
      <w:pStyle w:val="13"/>
      <w:rPr>
        <w:rFonts w:ascii="Times New Roman" w:hAnsi="Times New Roman" w:cs="Times New Roman"/>
        <w:vertAlign w:val="superscript"/>
        <w:lang w:val="pt-BR"/>
      </w:rPr>
    </w:pPr>
    <w:r>
      <w:rPr>
        <w:rFonts w:ascii="Times New Roman" w:hAnsi="Times New Roman" w:cs="Times New Roman"/>
        <w:vertAlign w:val="superscript"/>
        <w:lang w:val="pt-BR"/>
      </w:rPr>
      <w:t xml:space="preserve">6 UFPE-CAA, graduanda em pedagogia, e-mail: </w:t>
    </w:r>
    <w:r>
      <w:fldChar w:fldCharType="begin"/>
    </w:r>
    <w:r>
      <w:instrText xml:space="preserve"> HYPERLINK "mailto:vanessa.thaiss@ufpe.br" </w:instrText>
    </w:r>
    <w:r>
      <w:fldChar w:fldCharType="separate"/>
    </w:r>
    <w:r>
      <w:rPr>
        <w:rStyle w:val="10"/>
        <w:rFonts w:ascii="Times New Roman" w:hAnsi="Times New Roman" w:cs="Times New Roman"/>
        <w:vertAlign w:val="superscript"/>
        <w:lang w:val="pt-BR"/>
      </w:rPr>
      <w:t>vanessa.thaiss@ufpe.br</w:t>
    </w:r>
    <w:r>
      <w:rPr>
        <w:rStyle w:val="10"/>
        <w:rFonts w:ascii="Times New Roman" w:hAnsi="Times New Roman" w:cs="Times New Roman"/>
        <w:vertAlign w:val="superscript"/>
        <w:lang w:val="pt-BR"/>
      </w:rPr>
      <w:fldChar w:fldCharType="end"/>
    </w:r>
  </w:p>
  <w:p w14:paraId="12F0E4B6">
    <w:pPr>
      <w:pStyle w:val="13"/>
      <w:rPr>
        <w:rFonts w:ascii="Times New Roman" w:hAnsi="Times New Roman" w:cs="Times New Roman"/>
        <w:lang w:val="pt-BR"/>
      </w:rPr>
    </w:pPr>
    <w:r>
      <w:rPr>
        <w:rFonts w:ascii="Times New Roman" w:hAnsi="Times New Roman" w:cs="Times New Roman"/>
        <w:vertAlign w:val="superscript"/>
        <w:lang w:val="pt-BR"/>
      </w:rPr>
      <w:t xml:space="preserve">7 </w:t>
    </w:r>
    <w:r>
      <w:rPr>
        <w:rFonts w:ascii="Times New Roman" w:hAnsi="Times New Roman" w:cs="Times New Roman"/>
        <w:lang w:val="pt-BR"/>
      </w:rPr>
      <w:t>UFPE-CAA supervisora do PIBID, email: rosimeresantos74@hotmail.com</w:t>
    </w:r>
  </w:p>
  <w:p w14:paraId="43BFE0C2">
    <w:pPr>
      <w:pStyle w:val="13"/>
      <w:rPr>
        <w:rFonts w:ascii="Times New Roman" w:hAnsi="Times New Roman" w:cs="Times New Roman"/>
        <w:lang w:val="pt-BR"/>
      </w:rPr>
    </w:pPr>
    <w:r>
      <w:rPr>
        <w:rFonts w:ascii="Times New Roman" w:hAnsi="Times New Roman" w:cs="Times New Roman"/>
        <w:lang w:val="pt-BR"/>
      </w:rPr>
      <w:t xml:space="preserve">8 UFPE-CAA,coordenadora:  </w:t>
    </w:r>
    <w:r>
      <w:fldChar w:fldCharType="begin"/>
    </w:r>
    <w:r>
      <w:instrText xml:space="preserve"> HYPERLINK "mailto:mariajoselma.franco@ufpe.br" </w:instrText>
    </w:r>
    <w:r>
      <w:fldChar w:fldCharType="separate"/>
    </w:r>
    <w:r>
      <w:rPr>
        <w:rStyle w:val="10"/>
        <w:rFonts w:ascii="Times New Roman" w:hAnsi="Times New Roman" w:cs="Times New Roman"/>
        <w:lang w:val="pt-BR"/>
      </w:rPr>
      <w:t>mariajoselma.franco@ufpe.br</w:t>
    </w:r>
    <w:r>
      <w:rPr>
        <w:rStyle w:val="10"/>
        <w:rFonts w:ascii="Times New Roman" w:hAnsi="Times New Roman" w:cs="Times New Roman"/>
        <w:lang w:val="pt-BR"/>
      </w:rPr>
      <w:fldChar w:fldCharType="end"/>
    </w:r>
    <w:r>
      <w:rPr>
        <w:rFonts w:ascii="Times New Roman" w:hAnsi="Times New Roman" w:cs="Times New Roman"/>
        <w:lang w:val="pt-BR"/>
      </w:rPr>
      <w:t xml:space="preserve"> </w:t>
    </w:r>
  </w:p>
  <w:p w14:paraId="3CBED381">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85066"/>
  <w:p w14:paraId="5BC14CD1"/>
  <w:p w14:paraId="21ACE032"/>
  <w:p w14:paraId="002191B8">
    <w:pPr>
      <w:spacing w:before="3"/>
      <w:ind w:left="-566" w:right="1338"/>
      <w:jc w:val="center"/>
      <w:rPr>
        <w:rFonts w:ascii="Arial" w:hAnsi="Arial" w:eastAsia="Arial" w:cs="Arial"/>
        <w:sz w:val="17"/>
        <w:szCs w:val="17"/>
      </w:rPr>
    </w:pPr>
  </w:p>
  <w:p w14:paraId="22DFF21F">
    <w:pPr>
      <w:ind w:left="-850"/>
      <w:jc w:val="both"/>
    </w:pPr>
    <w:r>
      <w:drawing>
        <wp:inline distT="114300" distB="114300" distL="114300" distR="114300">
          <wp:extent cx="5829300" cy="196215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14" name="image2.png"/>
                  <pic:cNvPicPr preferRelativeResize="0"/>
                </pic:nvPicPr>
                <pic:blipFill>
                  <a:blip r:embed="rId1"/>
                  <a:srcRect/>
                  <a:stretch>
                    <a:fillRect/>
                  </a:stretch>
                </pic:blipFill>
                <pic:spPr>
                  <a:xfrm>
                    <a:off x="0" y="0"/>
                    <a:ext cx="5829300" cy="1962150"/>
                  </a:xfrm>
                  <a:prstGeom prst="rect">
                    <a:avLst/>
                  </a:prstGeom>
                </pic:spPr>
              </pic:pic>
            </a:graphicData>
          </a:graphic>
        </wp:inline>
      </w:drawing>
    </w:r>
  </w:p>
  <w:p w14:paraId="04586489"/>
  <w:p w14:paraId="4E159264">
    <w:r>
      <w:pict>
        <v:shape id="WordPictureWatermark1" o:spid="_x0000_s1025" o:spt="75" type="#_x0000_t75" style="position:absolute;left:0pt;margin-left:-27.6pt;margin-top:21.4pt;height:651.35pt;width:478.5pt;mso-position-horizontal-relative:margin;mso-position-vertical-relative:margin;z-index:-251657216;mso-width-relative:page;mso-height-relative:page;" filled="f" o:preferrelative="t" stroked="f" coordsize="21600,21600">
          <v:path/>
          <v:fill on="f" focussize="0,0"/>
          <v:stroke on="f" joinstyle="miter"/>
          <v:imagedata r:id="rId2" gain="19661f" blacklevel="22938f" o:title="image1"/>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efaultTabStop w:val="720"/>
  <w:hyphenationZone w:val="425"/>
  <w:characterSpacingControl w:val="doNotCompress"/>
  <w:hdrShapeDefaults>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9D8"/>
    <w:rsid w:val="00416FD9"/>
    <w:rsid w:val="0042370B"/>
    <w:rsid w:val="004F7461"/>
    <w:rsid w:val="005B3351"/>
    <w:rsid w:val="008564A3"/>
    <w:rsid w:val="008836EB"/>
    <w:rsid w:val="00A259D8"/>
    <w:rsid w:val="00A7051C"/>
    <w:rsid w:val="00B658AF"/>
    <w:rsid w:val="00BC1F78"/>
    <w:rsid w:val="00BC2C7D"/>
    <w:rsid w:val="00BE4EA0"/>
    <w:rsid w:val="00C70945"/>
    <w:rsid w:val="00CC114D"/>
    <w:rsid w:val="00DD60A3"/>
    <w:rsid w:val="00FD4EA7"/>
    <w:rsid w:val="5353314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pPr>
    <w:rPr>
      <w:rFonts w:ascii="Calibri" w:hAnsi="Calibri" w:eastAsia="Calibri" w:cs="Calibri"/>
      <w:sz w:val="22"/>
      <w:szCs w:val="22"/>
      <w:lang w:val="en" w:eastAsia="pt-BR"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Hyperlink"/>
    <w:basedOn w:val="8"/>
    <w:unhideWhenUsed/>
    <w:uiPriority w:val="99"/>
    <w:rPr>
      <w:color w:val="0000FF" w:themeColor="hyperlink"/>
      <w:u w:val="single"/>
      <w14:textFill>
        <w14:solidFill>
          <w14:schemeClr w14:val="hlink"/>
        </w14:solidFill>
      </w14:textFill>
    </w:rPr>
  </w:style>
  <w:style w:type="paragraph" w:styleId="11">
    <w:name w:val="Title"/>
    <w:basedOn w:val="1"/>
    <w:next w:val="1"/>
    <w:qFormat/>
    <w:uiPriority w:val="10"/>
    <w:pPr>
      <w:spacing w:before="4"/>
    </w:pPr>
    <w:rPr>
      <w:rFonts w:ascii="Times New Roman" w:hAnsi="Times New Roman" w:eastAsia="Times New Roman" w:cs="Times New Roman"/>
    </w:rPr>
  </w:style>
  <w:style w:type="paragraph" w:styleId="12">
    <w:name w:val="header"/>
    <w:basedOn w:val="1"/>
    <w:link w:val="22"/>
    <w:unhideWhenUsed/>
    <w:uiPriority w:val="99"/>
    <w:pPr>
      <w:tabs>
        <w:tab w:val="center" w:pos="4252"/>
        <w:tab w:val="right" w:pos="8504"/>
      </w:tabs>
    </w:pPr>
  </w:style>
  <w:style w:type="paragraph" w:styleId="13">
    <w:name w:val="footer"/>
    <w:basedOn w:val="1"/>
    <w:link w:val="23"/>
    <w:unhideWhenUsed/>
    <w:uiPriority w:val="99"/>
    <w:pPr>
      <w:tabs>
        <w:tab w:val="center" w:pos="4252"/>
        <w:tab w:val="right" w:pos="8504"/>
      </w:tabs>
    </w:pPr>
  </w:style>
  <w:style w:type="paragraph" w:styleId="14">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customStyle="1" w:styleId="15">
    <w:name w:val="TableNormal"/>
    <w:uiPriority w:val="0"/>
    <w:tblPr>
      <w:tblCellMar>
        <w:top w:w="0" w:type="dxa"/>
        <w:left w:w="0" w:type="dxa"/>
        <w:bottom w:w="0" w:type="dxa"/>
        <w:right w:w="0" w:type="dxa"/>
      </w:tblCellMar>
    </w:tbl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style>
  <w:style w:type="paragraph" w:customStyle="1" w:styleId="18">
    <w:name w:val="Table Paragraph"/>
    <w:basedOn w:val="1"/>
    <w:qFormat/>
    <w:uiPriority w:val="1"/>
  </w:style>
  <w:style w:type="table" w:customStyle="1" w:styleId="19">
    <w:name w:val="_Style 22"/>
    <w:basedOn w:val="16"/>
    <w:uiPriority w:val="0"/>
    <w:tblPr>
      <w:tblCellMar>
        <w:top w:w="100" w:type="dxa"/>
        <w:left w:w="100" w:type="dxa"/>
        <w:bottom w:w="100" w:type="dxa"/>
        <w:right w:w="100" w:type="dxa"/>
      </w:tblCellMar>
    </w:tblPr>
  </w:style>
  <w:style w:type="table" w:customStyle="1" w:styleId="20">
    <w:name w:val="_Style 23"/>
    <w:basedOn w:val="16"/>
    <w:uiPriority w:val="0"/>
    <w:tblPr>
      <w:tblCellMar>
        <w:top w:w="100" w:type="dxa"/>
        <w:left w:w="100" w:type="dxa"/>
        <w:bottom w:w="100" w:type="dxa"/>
        <w:right w:w="100" w:type="dxa"/>
      </w:tblCellMar>
    </w:tblPr>
  </w:style>
  <w:style w:type="table" w:customStyle="1" w:styleId="21">
    <w:name w:val="_Style 24"/>
    <w:basedOn w:val="16"/>
    <w:uiPriority w:val="0"/>
  </w:style>
  <w:style w:type="character" w:customStyle="1" w:styleId="22">
    <w:name w:val="Cabeçalho Char"/>
    <w:basedOn w:val="8"/>
    <w:link w:val="12"/>
    <w:uiPriority w:val="99"/>
  </w:style>
  <w:style w:type="character" w:customStyle="1" w:styleId="23">
    <w:name w:val="Rodapé Char"/>
    <w:basedOn w:val="8"/>
    <w:link w:val="13"/>
    <w:uiPriority w:val="99"/>
  </w:style>
  <w:style w:type="character" w:customStyle="1" w:styleId="24">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CBmhZ73aTvp0dAADzp5wZwuhWQ==">CgMxLjA4AHIhMXZxbjYzTS0wc1JTdVc4NE5NYjRIMk1ZRGVJZjFwQ1lX</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12</Pages>
  <Words>2925</Words>
  <Characters>15800</Characters>
  <Lines>131</Lines>
  <Paragraphs>37</Paragraphs>
  <TotalTime>4</TotalTime>
  <ScaleCrop>false</ScaleCrop>
  <LinksUpToDate>false</LinksUpToDate>
  <CharactersWithSpaces>18688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2025-09-07T02:17:00Z</dcterms:created>
  <dc:creator>Taís</dc:creator>
  <cp:lastModifiedBy>Rosimere Santos</cp:lastModifiedBy>
  <dcterms:modified xsi:type="dcterms:W3CDTF">2025-09-07T02:51:10Z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LastSaved">
    <vt:filetime>2025-01-10T00:00:00Z</vt:filetime>
  </property>
  <property fmtid="{D5CDD505-2E9C-101B-9397-08002B2CF9AE}" pid="4" name="Producer">
    <vt:lpwstr>iLovePDF</vt:lpwstr>
  </property>
  <property fmtid="{D5CDD505-2E9C-101B-9397-08002B2CF9AE}" pid="5" name="KSOProductBuildVer">
    <vt:lpwstr>1046-12.2.0.22549</vt:lpwstr>
  </property>
  <property fmtid="{D5CDD505-2E9C-101B-9397-08002B2CF9AE}" pid="6" name="ICV">
    <vt:lpwstr>8C540FF9CAB84533973129BC9152CA82_12</vt:lpwstr>
  </property>
</Properties>
</file>