
<file path=[Content_Types].xml><?xml version="1.0" encoding="utf-8"?>
<Types xmlns="http://schemas.openxmlformats.org/package/2006/content-types">
  <Default ContentType="application/xml" Extension="xml"/>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3.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3.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spacing w:after="0" w:line="240" w:lineRule="auto"/>
        <w:jc w:val="center"/>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Avaliação da diversidade microbiana do Sítio Agroecológico do Tolú, Igarapé-Açú, Pará</w:t>
      </w:r>
    </w:p>
    <w:p w:rsidR="00000000" w:rsidDel="00000000" w:rsidP="00000000" w:rsidRDefault="00000000" w:rsidRPr="00000000" w14:paraId="00000002">
      <w:pPr>
        <w:spacing w:after="0" w:line="240" w:lineRule="auto"/>
        <w:jc w:val="center"/>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003">
      <w:pPr>
        <w:spacing w:after="0"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Ana Clara Rollemberg Rocha</w:t>
      </w:r>
      <w:r w:rsidDel="00000000" w:rsidR="00000000" w:rsidRPr="00000000">
        <w:rPr>
          <w:rFonts w:ascii="Times New Roman" w:cs="Times New Roman" w:eastAsia="Times New Roman" w:hAnsi="Times New Roman"/>
          <w:sz w:val="24"/>
          <w:szCs w:val="24"/>
          <w:vertAlign w:val="superscript"/>
          <w:rtl w:val="0"/>
        </w:rPr>
        <w:t xml:space="preserve">1</w:t>
      </w:r>
      <w:r w:rsidDel="00000000" w:rsidR="00000000" w:rsidRPr="00000000">
        <w:rPr>
          <w:rFonts w:ascii="Times New Roman" w:cs="Times New Roman" w:eastAsia="Times New Roman" w:hAnsi="Times New Roman"/>
          <w:sz w:val="24"/>
          <w:szCs w:val="24"/>
          <w:rtl w:val="0"/>
        </w:rPr>
        <w:t xml:space="preserve">, Arthur Souza Prestes</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 Leilson </w:t>
      </w:r>
      <w:r w:rsidDel="00000000" w:rsidR="00000000" w:rsidRPr="00000000">
        <w:rPr>
          <w:rFonts w:ascii="Times New Roman" w:cs="Times New Roman" w:eastAsia="Times New Roman" w:hAnsi="Times New Roman"/>
          <w:sz w:val="24"/>
          <w:szCs w:val="24"/>
          <w:rtl w:val="0"/>
        </w:rPr>
        <w:t xml:space="preserve">Willamis</w:t>
      </w:r>
      <w:r w:rsidDel="00000000" w:rsidR="00000000" w:rsidRPr="00000000">
        <w:rPr>
          <w:rFonts w:ascii="Times New Roman" w:cs="Times New Roman" w:eastAsia="Times New Roman" w:hAnsi="Times New Roman"/>
          <w:sz w:val="24"/>
          <w:szCs w:val="24"/>
          <w:rtl w:val="0"/>
        </w:rPr>
        <w:t xml:space="preserve"> Nascimento da Silva</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 Mileny Barros </w:t>
      </w:r>
      <w:r w:rsidDel="00000000" w:rsidR="00000000" w:rsidRPr="00000000">
        <w:rPr>
          <w:rFonts w:ascii="Times New Roman" w:cs="Times New Roman" w:eastAsia="Times New Roman" w:hAnsi="Times New Roman"/>
          <w:sz w:val="24"/>
          <w:szCs w:val="24"/>
          <w:rtl w:val="0"/>
        </w:rPr>
        <w:t xml:space="preserve">Pessoa</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 Antonia </w:t>
      </w:r>
      <w:r w:rsidDel="00000000" w:rsidR="00000000" w:rsidRPr="00000000">
        <w:rPr>
          <w:rFonts w:ascii="Times New Roman" w:cs="Times New Roman" w:eastAsia="Times New Roman" w:hAnsi="Times New Roman"/>
          <w:sz w:val="24"/>
          <w:szCs w:val="24"/>
          <w:rtl w:val="0"/>
        </w:rPr>
        <w:t xml:space="preserve">Wiviane</w:t>
      </w:r>
      <w:r w:rsidDel="00000000" w:rsidR="00000000" w:rsidRPr="00000000">
        <w:rPr>
          <w:rFonts w:ascii="Times New Roman" w:cs="Times New Roman" w:eastAsia="Times New Roman" w:hAnsi="Times New Roman"/>
          <w:sz w:val="24"/>
          <w:szCs w:val="24"/>
          <w:rtl w:val="0"/>
        </w:rPr>
        <w:t xml:space="preserve"> de Oliveira </w:t>
      </w:r>
      <w:r w:rsidDel="00000000" w:rsidR="00000000" w:rsidRPr="00000000">
        <w:rPr>
          <w:rFonts w:ascii="Times New Roman" w:cs="Times New Roman" w:eastAsia="Times New Roman" w:hAnsi="Times New Roman"/>
          <w:sz w:val="24"/>
          <w:szCs w:val="24"/>
          <w:rtl w:val="0"/>
        </w:rPr>
        <w:t xml:space="preserve">Mendes</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 Seidel Ferreira dos Santos</w:t>
      </w:r>
      <w:r w:rsidDel="00000000" w:rsidR="00000000" w:rsidRPr="00000000">
        <w:rPr>
          <w:rFonts w:ascii="Times New Roman" w:cs="Times New Roman" w:eastAsia="Times New Roman" w:hAnsi="Times New Roman"/>
          <w:sz w:val="24"/>
          <w:szCs w:val="24"/>
          <w:vertAlign w:val="superscript"/>
          <w:rtl w:val="0"/>
        </w:rPr>
        <w:t xml:space="preserve">3</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u w:val="single"/>
          <w:rtl w:val="0"/>
        </w:rPr>
        <w:t xml:space="preserve">Alessandra Jackeline Guedes de </w:t>
      </w:r>
      <w:r w:rsidDel="00000000" w:rsidR="00000000" w:rsidRPr="00000000">
        <w:rPr>
          <w:rFonts w:ascii="Times New Roman" w:cs="Times New Roman" w:eastAsia="Times New Roman" w:hAnsi="Times New Roman"/>
          <w:sz w:val="24"/>
          <w:szCs w:val="24"/>
          <w:u w:val="single"/>
          <w:rtl w:val="0"/>
        </w:rPr>
        <w:t xml:space="preserve">Moraes</w:t>
      </w:r>
      <w:r w:rsidDel="00000000" w:rsidR="00000000" w:rsidRPr="00000000">
        <w:rPr>
          <w:rFonts w:ascii="Times New Roman" w:cs="Times New Roman" w:eastAsia="Times New Roman" w:hAnsi="Times New Roman"/>
          <w:sz w:val="24"/>
          <w:szCs w:val="24"/>
          <w:u w:val="single"/>
          <w:vertAlign w:val="superscript"/>
          <w:rtl w:val="0"/>
        </w:rPr>
        <w:t xml:space="preserve">4</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004">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05">
      <w:pPr>
        <w:spacing w:after="0" w:line="276"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vertAlign w:val="superscript"/>
          <w:rtl w:val="0"/>
        </w:rPr>
        <w:t xml:space="preserve">1</w:t>
      </w:r>
      <w:r w:rsidDel="00000000" w:rsidR="00000000" w:rsidRPr="00000000">
        <w:rPr>
          <w:rFonts w:ascii="Times New Roman" w:cs="Times New Roman" w:eastAsia="Times New Roman" w:hAnsi="Times New Roman"/>
          <w:sz w:val="24"/>
          <w:szCs w:val="24"/>
          <w:rtl w:val="0"/>
        </w:rPr>
        <w:t xml:space="preserve">Graduando</w:t>
      </w:r>
      <w:r w:rsidDel="00000000" w:rsidR="00000000" w:rsidRPr="00000000">
        <w:rPr>
          <w:rFonts w:ascii="Times New Roman" w:cs="Times New Roman" w:eastAsia="Times New Roman" w:hAnsi="Times New Roman"/>
          <w:sz w:val="24"/>
          <w:szCs w:val="24"/>
          <w:rtl w:val="0"/>
        </w:rPr>
        <w:t xml:space="preserve"> em Engenharia Florestal. Universidade do Estado do Pará. </w:t>
      </w:r>
      <w:hyperlink r:id="rId7">
        <w:r w:rsidDel="00000000" w:rsidR="00000000" w:rsidRPr="00000000">
          <w:rPr>
            <w:rFonts w:ascii="Times New Roman" w:cs="Times New Roman" w:eastAsia="Times New Roman" w:hAnsi="Times New Roman"/>
            <w:color w:val="1155cc"/>
            <w:sz w:val="24"/>
            <w:szCs w:val="24"/>
            <w:rtl w:val="0"/>
          </w:rPr>
          <w:t xml:space="preserve">ana.crrocha@aluno.uepa.br</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06">
      <w:pPr>
        <w:spacing w:after="0" w:line="276"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Graduando</w:t>
      </w:r>
      <w:r w:rsidDel="00000000" w:rsidR="00000000" w:rsidRPr="00000000">
        <w:rPr>
          <w:rFonts w:ascii="Times New Roman" w:cs="Times New Roman" w:eastAsia="Times New Roman" w:hAnsi="Times New Roman"/>
          <w:sz w:val="24"/>
          <w:szCs w:val="24"/>
          <w:rtl w:val="0"/>
        </w:rPr>
        <w:t xml:space="preserve"> em Engenharia Florestal. Universidade do Estado do Pará.</w:t>
      </w:r>
    </w:p>
    <w:p w:rsidR="00000000" w:rsidDel="00000000" w:rsidP="00000000" w:rsidRDefault="00000000" w:rsidRPr="00000000" w14:paraId="00000007">
      <w:pPr>
        <w:spacing w:after="0" w:line="276"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vertAlign w:val="superscript"/>
          <w:rtl w:val="0"/>
        </w:rPr>
        <w:t xml:space="preserve">3</w:t>
      </w:r>
      <w:r w:rsidDel="00000000" w:rsidR="00000000" w:rsidRPr="00000000">
        <w:rPr>
          <w:rFonts w:ascii="Times New Roman" w:cs="Times New Roman" w:eastAsia="Times New Roman" w:hAnsi="Times New Roman"/>
          <w:sz w:val="24"/>
          <w:szCs w:val="24"/>
          <w:rtl w:val="0"/>
        </w:rPr>
        <w:t xml:space="preserve">Dr. em Biodiversidade e Biotecnologia. Universidade do Estado do Pará/</w:t>
      </w:r>
      <w:r w:rsidDel="00000000" w:rsidR="00000000" w:rsidRPr="00000000">
        <w:rPr>
          <w:rFonts w:ascii="Times New Roman" w:cs="Times New Roman" w:eastAsia="Times New Roman" w:hAnsi="Times New Roman"/>
          <w:sz w:val="24"/>
          <w:szCs w:val="24"/>
          <w:rtl w:val="0"/>
        </w:rPr>
        <w:t xml:space="preserve">PPGTEC</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008">
      <w:pPr>
        <w:spacing w:after="0" w:line="276"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vertAlign w:val="superscript"/>
          <w:rtl w:val="0"/>
        </w:rPr>
        <w:t xml:space="preserve">4</w:t>
      </w:r>
      <w:r w:rsidDel="00000000" w:rsidR="00000000" w:rsidRPr="00000000">
        <w:rPr>
          <w:rFonts w:ascii="Times New Roman" w:cs="Times New Roman" w:eastAsia="Times New Roman" w:hAnsi="Times New Roman"/>
          <w:sz w:val="24"/>
          <w:szCs w:val="24"/>
          <w:rtl w:val="0"/>
        </w:rPr>
        <w:t xml:space="preserve">Dr</w:t>
      </w:r>
      <w:r w:rsidDel="00000000" w:rsidR="00000000" w:rsidRPr="00000000">
        <w:rPr>
          <w:rFonts w:ascii="Times New Roman" w:cs="Times New Roman" w:eastAsia="Times New Roman" w:hAnsi="Times New Roman"/>
          <w:sz w:val="24"/>
          <w:szCs w:val="24"/>
          <w:vertAlign w:val="superscript"/>
          <w:rtl w:val="0"/>
        </w:rPr>
        <w:t xml:space="preserve">a</w:t>
      </w:r>
      <w:r w:rsidDel="00000000" w:rsidR="00000000" w:rsidRPr="00000000">
        <w:rPr>
          <w:rFonts w:ascii="Times New Roman" w:cs="Times New Roman" w:eastAsia="Times New Roman" w:hAnsi="Times New Roman"/>
          <w:sz w:val="24"/>
          <w:szCs w:val="24"/>
          <w:vertAlign w:val="superscript"/>
          <w:rtl w:val="0"/>
        </w:rPr>
        <w:t xml:space="preserve"> </w:t>
      </w:r>
      <w:r w:rsidDel="00000000" w:rsidR="00000000" w:rsidRPr="00000000">
        <w:rPr>
          <w:rFonts w:ascii="Times New Roman" w:cs="Times New Roman" w:eastAsia="Times New Roman" w:hAnsi="Times New Roman"/>
          <w:sz w:val="24"/>
          <w:szCs w:val="24"/>
          <w:rtl w:val="0"/>
        </w:rPr>
        <w:t xml:space="preserve">em Fitopatologia. Universidade do Estado do Pará.</w:t>
      </w:r>
    </w:p>
    <w:p w:rsidR="00000000" w:rsidDel="00000000" w:rsidP="00000000" w:rsidRDefault="00000000" w:rsidRPr="00000000" w14:paraId="00000009">
      <w:pPr>
        <w:spacing w:after="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0A">
      <w:pPr>
        <w:spacing w:after="0" w:line="360" w:lineRule="auto"/>
        <w:jc w:val="center"/>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RESUMO</w:t>
      </w:r>
    </w:p>
    <w:p w:rsidR="00000000" w:rsidDel="00000000" w:rsidP="00000000" w:rsidRDefault="00000000" w:rsidRPr="00000000" w14:paraId="0000000B">
      <w:pPr>
        <w:spacing w:after="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 presente estudo avaliou a diversidade e a atividade microbiana de solos oriundos de diferentes sistemas agroflorestais no Sítio Agroecológico Tolú, em Igarapé-Açu (PA), buscando compreender como o tipo de cultivo e as condições da rizosfera influenciam a estrutura microbiana. Foram coletadas amostras dos cultivos de </w:t>
      </w:r>
      <w:r w:rsidDel="00000000" w:rsidR="00000000" w:rsidRPr="00000000">
        <w:rPr>
          <w:rFonts w:ascii="Times New Roman" w:cs="Times New Roman" w:eastAsia="Times New Roman" w:hAnsi="Times New Roman"/>
          <w:i w:val="1"/>
          <w:iCs w:val="1"/>
          <w:sz w:val="24"/>
          <w:szCs w:val="24"/>
          <w:rtl w:val="0"/>
        </w:rPr>
        <w:t xml:space="preserve">Musa paradisiaca</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iCs w:val="1"/>
          <w:sz w:val="24"/>
          <w:szCs w:val="24"/>
          <w:rtl w:val="0"/>
        </w:rPr>
        <w:t xml:space="preserve">Theobroma cacao</w:t>
      </w:r>
      <w:r w:rsidDel="00000000" w:rsidR="00000000" w:rsidRPr="00000000">
        <w:rPr>
          <w:rFonts w:ascii="Times New Roman" w:cs="Times New Roman" w:eastAsia="Times New Roman" w:hAnsi="Times New Roman"/>
          <w:sz w:val="24"/>
          <w:szCs w:val="24"/>
          <w:rtl w:val="0"/>
        </w:rPr>
        <w:t xml:space="preserve"> e da rizosfera de </w:t>
      </w:r>
      <w:r w:rsidDel="00000000" w:rsidR="00000000" w:rsidRPr="00000000">
        <w:rPr>
          <w:rFonts w:ascii="Times New Roman" w:cs="Times New Roman" w:eastAsia="Times New Roman" w:hAnsi="Times New Roman"/>
          <w:i w:val="1"/>
          <w:iCs w:val="1"/>
          <w:sz w:val="24"/>
          <w:szCs w:val="24"/>
          <w:rtl w:val="0"/>
        </w:rPr>
        <w:t xml:space="preserve">Ceiba pentandra</w:t>
      </w:r>
      <w:r w:rsidDel="00000000" w:rsidR="00000000" w:rsidRPr="00000000">
        <w:rPr>
          <w:rFonts w:ascii="Times New Roman" w:cs="Times New Roman" w:eastAsia="Times New Roman" w:hAnsi="Times New Roman"/>
          <w:sz w:val="24"/>
          <w:szCs w:val="24"/>
          <w:rtl w:val="0"/>
        </w:rPr>
        <w:t xml:space="preserve">, submetidas à diluição seriada e plaqueamento em meios seletivos para determinação das unidades formadoras de colônia (UFC g⁻¹). Os resultados evidenciaram contrastes marcantes entre os sistemas: solos de </w:t>
      </w:r>
      <w:r w:rsidDel="00000000" w:rsidR="00000000" w:rsidRPr="00000000">
        <w:rPr>
          <w:rFonts w:ascii="Times New Roman" w:cs="Times New Roman" w:eastAsia="Times New Roman" w:hAnsi="Times New Roman"/>
          <w:i w:val="1"/>
          <w:iCs w:val="1"/>
          <w:sz w:val="24"/>
          <w:szCs w:val="24"/>
          <w:rtl w:val="0"/>
        </w:rPr>
        <w:t xml:space="preserve">M. paradisiaca</w:t>
      </w:r>
      <w:r w:rsidDel="00000000" w:rsidR="00000000" w:rsidRPr="00000000">
        <w:rPr>
          <w:rFonts w:ascii="Times New Roman" w:cs="Times New Roman" w:eastAsia="Times New Roman" w:hAnsi="Times New Roman"/>
          <w:sz w:val="24"/>
          <w:szCs w:val="24"/>
          <w:rtl w:val="0"/>
        </w:rPr>
        <w:t xml:space="preserve"> e </w:t>
      </w:r>
      <w:r w:rsidDel="00000000" w:rsidR="00000000" w:rsidRPr="00000000">
        <w:rPr>
          <w:rFonts w:ascii="Times New Roman" w:cs="Times New Roman" w:eastAsia="Times New Roman" w:hAnsi="Times New Roman"/>
          <w:i w:val="1"/>
          <w:iCs w:val="1"/>
          <w:sz w:val="24"/>
          <w:szCs w:val="24"/>
          <w:rtl w:val="0"/>
        </w:rPr>
        <w:t xml:space="preserve">T. cacao</w:t>
      </w:r>
      <w:r w:rsidDel="00000000" w:rsidR="00000000" w:rsidRPr="00000000">
        <w:rPr>
          <w:rFonts w:ascii="Times New Roman" w:cs="Times New Roman" w:eastAsia="Times New Roman" w:hAnsi="Times New Roman"/>
          <w:sz w:val="24"/>
          <w:szCs w:val="24"/>
          <w:rtl w:val="0"/>
        </w:rPr>
        <w:t xml:space="preserve"> apresentaram predominância bacteriana e altas contagens nas menores diluições, revelando elevada densidade microbiana e limitações dos métodos convencionais de quantificação. Em contraposição, a rizosfera de </w:t>
      </w:r>
      <w:r w:rsidDel="00000000" w:rsidR="00000000" w:rsidRPr="00000000">
        <w:rPr>
          <w:rFonts w:ascii="Times New Roman" w:cs="Times New Roman" w:eastAsia="Times New Roman" w:hAnsi="Times New Roman"/>
          <w:i w:val="1"/>
          <w:iCs w:val="1"/>
          <w:sz w:val="24"/>
          <w:szCs w:val="24"/>
          <w:rtl w:val="0"/>
        </w:rPr>
        <w:t xml:space="preserve">C. pentandra</w:t>
      </w:r>
      <w:r w:rsidDel="00000000" w:rsidR="00000000" w:rsidRPr="00000000">
        <w:rPr>
          <w:rFonts w:ascii="Times New Roman" w:cs="Times New Roman" w:eastAsia="Times New Roman" w:hAnsi="Times New Roman"/>
          <w:sz w:val="24"/>
          <w:szCs w:val="24"/>
          <w:rtl w:val="0"/>
        </w:rPr>
        <w:t xml:space="preserve"> demonstrou maior diversidade e abundância de fungos, possivelmente associadas à complexidade radicular e à disponibilidade de exsudatos favorecedores da coexistência microbiana. Esses padrões corroboram estudos que demonstram que fatores edáficos, vegetacionais e práticas de manejo moldam a comunidade microbiana do solo, influenciando diretamente processos como ciclagem de nutrientes, supressão de patógenos e saúde do solo. Conclui-se que ambientes com maior diversidade vegetal apresentam comunidades microbianas mais estáveis e funcionais, ressaltando a importância de práticas conservacionistas para a sustentabilidade de agroecossistemas tropicais. </w:t>
      </w:r>
    </w:p>
    <w:p w:rsidR="00000000" w:rsidDel="00000000" w:rsidP="00000000" w:rsidRDefault="00000000" w:rsidRPr="00000000" w14:paraId="0000000C">
      <w:pPr>
        <w:spacing w:after="0"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0D">
      <w:pPr>
        <w:spacing w:after="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bCs w:val="1"/>
          <w:sz w:val="24"/>
          <w:szCs w:val="24"/>
          <w:rtl w:val="0"/>
        </w:rPr>
        <w:t xml:space="preserve">Palavras chaves:</w:t>
      </w:r>
      <w:r w:rsidDel="00000000" w:rsidR="00000000" w:rsidRPr="00000000">
        <w:rPr>
          <w:rFonts w:ascii="Times New Roman" w:cs="Times New Roman" w:eastAsia="Times New Roman" w:hAnsi="Times New Roman"/>
          <w:sz w:val="24"/>
          <w:szCs w:val="24"/>
          <w:rtl w:val="0"/>
        </w:rPr>
        <w:t xml:space="preserve"> Microrganismos, Rizosfera, Agroecossistemas. </w:t>
      </w:r>
    </w:p>
    <w:p w:rsidR="00000000" w:rsidDel="00000000" w:rsidP="00000000" w:rsidRDefault="00000000" w:rsidRPr="00000000" w14:paraId="0000000E">
      <w:pPr>
        <w:spacing w:after="0"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0F">
      <w:pPr>
        <w:spacing w:after="0" w:line="360" w:lineRule="auto"/>
        <w:jc w:val="both"/>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1. INTRODUÇÃO</w:t>
      </w:r>
    </w:p>
    <w:p w:rsidR="00000000" w:rsidDel="00000000" w:rsidP="00000000" w:rsidRDefault="00000000" w:rsidRPr="00000000" w14:paraId="00000010">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 solo constitui um ecossistema altamente complexo e dinâmico, cuja funcionalidade ecológica depende fortemente da microbiota responsável por processos essenciais como decomposição da matéria orgânica, ciclagem de nutrientes, estabilização de agregados, supressão de patógenos e promoção do crescimento vegetal (Paul, 2015; Van der Heijden; Bardgett; Van Straalen, 2008). A diversidade e a estrutura dessa comunidade microbiana são moduladas por fatores edáficos, ambientais e de manejo, incluindo textura, pH, umidade, teor de matéria orgânica e cobertura vegetal, refletindo diretamente o histórico de uso do solo (Nannipieri</w:t>
      </w:r>
      <w:r w:rsidDel="00000000" w:rsidR="00000000" w:rsidRPr="00000000">
        <w:rPr>
          <w:rFonts w:ascii="Times New Roman" w:cs="Times New Roman" w:eastAsia="Times New Roman" w:hAnsi="Times New Roman"/>
          <w:i w:val="1"/>
          <w:iCs w:val="1"/>
          <w:sz w:val="24"/>
          <w:szCs w:val="24"/>
          <w:rtl w:val="0"/>
        </w:rPr>
        <w:t xml:space="preserve"> et al.</w:t>
      </w:r>
      <w:r w:rsidDel="00000000" w:rsidR="00000000" w:rsidRPr="00000000">
        <w:rPr>
          <w:rFonts w:ascii="Times New Roman" w:cs="Times New Roman" w:eastAsia="Times New Roman" w:hAnsi="Times New Roman"/>
          <w:sz w:val="24"/>
          <w:szCs w:val="24"/>
          <w:rtl w:val="0"/>
        </w:rPr>
        <w:t xml:space="preserve">, 2017; Hermans</w:t>
      </w:r>
      <w:r w:rsidDel="00000000" w:rsidR="00000000" w:rsidRPr="00000000">
        <w:rPr>
          <w:rFonts w:ascii="Times New Roman" w:cs="Times New Roman" w:eastAsia="Times New Roman" w:hAnsi="Times New Roman"/>
          <w:i w:val="1"/>
          <w:iCs w:val="1"/>
          <w:sz w:val="24"/>
          <w:szCs w:val="24"/>
          <w:rtl w:val="0"/>
        </w:rPr>
        <w:t xml:space="preserve"> et al</w:t>
      </w:r>
      <w:r w:rsidDel="00000000" w:rsidR="00000000" w:rsidRPr="00000000">
        <w:rPr>
          <w:rFonts w:ascii="Times New Roman" w:cs="Times New Roman" w:eastAsia="Times New Roman" w:hAnsi="Times New Roman"/>
          <w:sz w:val="24"/>
          <w:szCs w:val="24"/>
          <w:rtl w:val="0"/>
        </w:rPr>
        <w:t xml:space="preserve">., 2020). Sistemas agroflorestais, por adotarem práticas conservacionistas, tendem a favorecer maior diversidade e estabilidade ecológica.</w:t>
      </w:r>
    </w:p>
    <w:p w:rsidR="00000000" w:rsidDel="00000000" w:rsidP="00000000" w:rsidRDefault="00000000" w:rsidRPr="00000000" w14:paraId="00000011">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Em cultivos perenes e sistemas agroflorestais, como os de Theobroma cacao, Musa paradisiaca e Ceiba pentandra, a complexidade vegetal e o aporte contínuo de resíduos orgânicos intensificam a relevância da microbiota do solo, que contribui para a fertilidade, para o controle natural de fitopatógenos e para a produtividade (Kisa </w:t>
      </w:r>
      <w:r w:rsidDel="00000000" w:rsidR="00000000" w:rsidRPr="00000000">
        <w:rPr>
          <w:rFonts w:ascii="Times New Roman" w:cs="Times New Roman" w:eastAsia="Times New Roman" w:hAnsi="Times New Roman"/>
          <w:i w:val="1"/>
          <w:iCs w:val="1"/>
          <w:sz w:val="24"/>
          <w:szCs w:val="24"/>
          <w:rtl w:val="0"/>
        </w:rPr>
        <w:t xml:space="preserve">et al</w:t>
      </w:r>
      <w:r w:rsidDel="00000000" w:rsidR="00000000" w:rsidRPr="00000000">
        <w:rPr>
          <w:rFonts w:ascii="Times New Roman" w:cs="Times New Roman" w:eastAsia="Times New Roman" w:hAnsi="Times New Roman"/>
          <w:sz w:val="24"/>
          <w:szCs w:val="24"/>
          <w:rtl w:val="0"/>
        </w:rPr>
        <w:t xml:space="preserve">., 2017; Dayananda </w:t>
      </w:r>
      <w:r w:rsidDel="00000000" w:rsidR="00000000" w:rsidRPr="00000000">
        <w:rPr>
          <w:rFonts w:ascii="Times New Roman" w:cs="Times New Roman" w:eastAsia="Times New Roman" w:hAnsi="Times New Roman"/>
          <w:i w:val="1"/>
          <w:iCs w:val="1"/>
          <w:sz w:val="24"/>
          <w:szCs w:val="24"/>
          <w:rtl w:val="0"/>
        </w:rPr>
        <w:t xml:space="preserve">et al</w:t>
      </w:r>
      <w:r w:rsidDel="00000000" w:rsidR="00000000" w:rsidRPr="00000000">
        <w:rPr>
          <w:rFonts w:ascii="Times New Roman" w:cs="Times New Roman" w:eastAsia="Times New Roman" w:hAnsi="Times New Roman"/>
          <w:sz w:val="24"/>
          <w:szCs w:val="24"/>
          <w:rtl w:val="0"/>
        </w:rPr>
        <w:t xml:space="preserve">., 2020). A atividade microbiana, indicador-chave da qualidade ambiental, pode ser estimada por métodos como respiração basal, hidrólise enzimática, análise funcional (Biolog™) e quantificação de unidades formadoras de colônia (UFC g⁻¹), técnicas que permitem avaliar a dinâmica populacional e a resposta dos microrganismos às condições edáficas e ao manejo aplicado (Zhang </w:t>
      </w:r>
      <w:r w:rsidDel="00000000" w:rsidR="00000000" w:rsidRPr="00000000">
        <w:rPr>
          <w:rFonts w:ascii="Times New Roman" w:cs="Times New Roman" w:eastAsia="Times New Roman" w:hAnsi="Times New Roman"/>
          <w:i w:val="1"/>
          <w:iCs w:val="1"/>
          <w:sz w:val="24"/>
          <w:szCs w:val="24"/>
          <w:rtl w:val="0"/>
        </w:rPr>
        <w:t xml:space="preserve">et al</w:t>
      </w:r>
      <w:r w:rsidDel="00000000" w:rsidR="00000000" w:rsidRPr="00000000">
        <w:rPr>
          <w:rFonts w:ascii="Times New Roman" w:cs="Times New Roman" w:eastAsia="Times New Roman" w:hAnsi="Times New Roman"/>
          <w:sz w:val="24"/>
          <w:szCs w:val="24"/>
          <w:rtl w:val="0"/>
        </w:rPr>
        <w:t xml:space="preserve">., 2019).</w:t>
      </w:r>
      <w:r w:rsidDel="00000000" w:rsidR="00000000" w:rsidRPr="00000000">
        <w:rPr>
          <w:rtl w:val="0"/>
        </w:rPr>
      </w:r>
    </w:p>
    <w:p w:rsidR="00000000" w:rsidDel="00000000" w:rsidP="00000000" w:rsidRDefault="00000000" w:rsidRPr="00000000" w14:paraId="00000012">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Diante disso, o presente estudo teve como objetivo avaliar a atividade microbiana de solos provenientes de diferentes sistemas agroflorestais por meio da técnica de isolamento e quantificação de UFC g⁻¹ em meios seletivos e não seletivos. A análise das comunidades microbianas permitiu identificar variações estruturais relacionadas ao tipo de cultivo, ao manejo adotado e às propriedades físico-químicas dos solos, contribuindo para a compreensão das interações entre uso do solo, diversidade microbiana e sustentabilidade em ambientes agroflorestais tropicais.</w:t>
      </w:r>
    </w:p>
    <w:p w:rsidR="00000000" w:rsidDel="00000000" w:rsidP="00000000" w:rsidRDefault="00000000" w:rsidRPr="00000000" w14:paraId="00000013">
      <w:pPr>
        <w:spacing w:after="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bCs w:val="1"/>
          <w:sz w:val="24"/>
          <w:szCs w:val="24"/>
          <w:rtl w:val="0"/>
        </w:rPr>
        <w:t xml:space="preserve">2. MATERIAL E MÉTODOS</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14">
      <w:pPr>
        <w:spacing w:after="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2.1 ÁREA DE ESTUDO</w:t>
      </w:r>
    </w:p>
    <w:p w:rsidR="00000000" w:rsidDel="00000000" w:rsidP="00000000" w:rsidRDefault="00000000" w:rsidRPr="00000000" w14:paraId="00000015">
      <w:pPr>
        <w:spacing w:after="0" w:line="360" w:lineRule="auto"/>
        <w:ind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 experimento foi realizado no Sítio Agroecológico Tolú, mostrado na figura 1, localizado no município de Igarapé-Açu, situado às margens da rodovia PA 320, km 2, estado do Pará. A propriedade possui aproximadamente 26 hectares e é reconhecida por suas práticas de agricultura sustentável, sistemas agroflorestais e manejo ecológico do solo.</w:t>
      </w:r>
    </w:p>
    <w:p w:rsidR="00000000" w:rsidDel="00000000" w:rsidP="00000000" w:rsidRDefault="00000000" w:rsidRPr="00000000" w14:paraId="00000016">
      <w:pPr>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Figura 1: Mapa do Sítio Agroecológico Tolú. </w:t>
      </w:r>
    </w:p>
    <w:p w:rsidR="00000000" w:rsidDel="00000000" w:rsidP="00000000" w:rsidRDefault="00000000" w:rsidRPr="00000000" w14:paraId="00000017">
      <w:pPr>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rPr>
        <w:drawing>
          <wp:inline distB="114300" distT="114300" distL="114300" distR="114300">
            <wp:extent cx="2957569" cy="2099458"/>
            <wp:effectExtent b="12700" l="12700" r="12700" t="12700"/>
            <wp:docPr id="13" name="image12.png"/>
            <a:graphic>
              <a:graphicData uri="http://schemas.openxmlformats.org/drawingml/2006/picture">
                <pic:pic>
                  <pic:nvPicPr>
                    <pic:cNvPr id="0" name="image12.png"/>
                    <pic:cNvPicPr preferRelativeResize="0"/>
                  </pic:nvPicPr>
                  <pic:blipFill>
                    <a:blip r:embed="rId8"/>
                    <a:srcRect b="0" l="0" r="0" t="0"/>
                    <a:stretch>
                      <a:fillRect/>
                    </a:stretch>
                  </pic:blipFill>
                  <pic:spPr>
                    <a:xfrm>
                      <a:off x="0" y="0"/>
                      <a:ext cx="2957569" cy="2099458"/>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18">
      <w:pPr>
        <w:spacing w:after="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rtl w:val="0"/>
        </w:rPr>
        <w:t xml:space="preserve">Fontes: Autores, 2025.</w:t>
      </w:r>
      <w:r w:rsidDel="00000000" w:rsidR="00000000" w:rsidRPr="00000000">
        <w:rPr>
          <w:rtl w:val="0"/>
        </w:rPr>
      </w:r>
    </w:p>
    <w:p w:rsidR="00000000" w:rsidDel="00000000" w:rsidP="00000000" w:rsidRDefault="00000000" w:rsidRPr="00000000" w14:paraId="00000019">
      <w:pPr>
        <w:spacing w:after="0" w:before="200" w:line="360" w:lineRule="auto"/>
        <w:jc w:val="both"/>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sz w:val="24"/>
          <w:szCs w:val="24"/>
          <w:rtl w:val="0"/>
        </w:rPr>
        <w:t xml:space="preserve">2.2 COLETA DE AMOSTRAS DE SOLO</w:t>
      </w:r>
      <w:r w:rsidDel="00000000" w:rsidR="00000000" w:rsidRPr="00000000">
        <w:rPr>
          <w:rtl w:val="0"/>
        </w:rPr>
      </w:r>
    </w:p>
    <w:p w:rsidR="00000000" w:rsidDel="00000000" w:rsidP="00000000" w:rsidRDefault="00000000" w:rsidRPr="00000000" w14:paraId="0000001A">
      <w:pPr>
        <w:spacing w:after="200" w:line="360" w:lineRule="auto"/>
        <w:ind w:firstLine="72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Foram coletadas quatro amostras de solo, sendo duas do cultivo de cacau, uma da bananeira e uma da plantação de sumaúma. As amostras foram coletadas com pás pequenas e condicionadas em sacos plásticos limpos, devidamente identificadas e encaminhadas ao Laboratório Multiusuário de Biomateriais – LMB, UEPA, Campus XX – Castanhal, para as análises microbiológicas.</w:t>
      </w:r>
      <w:r w:rsidDel="00000000" w:rsidR="00000000" w:rsidRPr="00000000">
        <w:rPr>
          <w:rtl w:val="0"/>
        </w:rPr>
      </w:r>
    </w:p>
    <w:p w:rsidR="00000000" w:rsidDel="00000000" w:rsidP="00000000" w:rsidRDefault="00000000" w:rsidRPr="00000000" w14:paraId="0000001B">
      <w:pPr>
        <w:spacing w:after="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2.3 PROCESSAMENTO DAS AMOSTRAS</w:t>
      </w:r>
    </w:p>
    <w:p w:rsidR="00000000" w:rsidDel="00000000" w:rsidP="00000000" w:rsidRDefault="00000000" w:rsidRPr="00000000" w14:paraId="0000001C">
      <w:pPr>
        <w:spacing w:after="200" w:line="360" w:lineRule="auto"/>
        <w:ind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 laboratório, as amostras foram processadas sob condições assépticas. Foram pesados 10g de solo para cada amostra, homogeneizadas em um Erlenmeyer contendo 90 mL de água destilada esterilizada, durante 30 minutos em agitador incubador do tipo shaker, posteriormente realizou-se o protocolo de diluição seriada com diluições sucessivas de 10</w:t>
      </w:r>
      <w:r w:rsidDel="00000000" w:rsidR="00000000" w:rsidRPr="00000000">
        <w:rPr>
          <w:rFonts w:ascii="Times New Roman" w:cs="Times New Roman" w:eastAsia="Times New Roman" w:hAnsi="Times New Roman"/>
          <w:sz w:val="24"/>
          <w:szCs w:val="24"/>
          <w:vertAlign w:val="superscript"/>
          <w:rtl w:val="0"/>
        </w:rPr>
        <w:t xml:space="preserve">-1 </w:t>
      </w:r>
      <w:r w:rsidDel="00000000" w:rsidR="00000000" w:rsidRPr="00000000">
        <w:rPr>
          <w:rFonts w:ascii="Times New Roman" w:cs="Times New Roman" w:eastAsia="Times New Roman" w:hAnsi="Times New Roman"/>
          <w:sz w:val="24"/>
          <w:szCs w:val="24"/>
          <w:rtl w:val="0"/>
        </w:rPr>
        <w:t xml:space="preserve">,10</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 10</w:t>
      </w:r>
      <w:r w:rsidDel="00000000" w:rsidR="00000000" w:rsidRPr="00000000">
        <w:rPr>
          <w:rFonts w:ascii="Times New Roman" w:cs="Times New Roman" w:eastAsia="Times New Roman" w:hAnsi="Times New Roman"/>
          <w:sz w:val="24"/>
          <w:szCs w:val="24"/>
          <w:vertAlign w:val="superscript"/>
          <w:rtl w:val="0"/>
        </w:rPr>
        <w:t xml:space="preserve">-3</w:t>
      </w:r>
      <w:r w:rsidDel="00000000" w:rsidR="00000000" w:rsidRPr="00000000">
        <w:rPr>
          <w:rFonts w:ascii="Times New Roman" w:cs="Times New Roman" w:eastAsia="Times New Roman" w:hAnsi="Times New Roman"/>
          <w:sz w:val="24"/>
          <w:szCs w:val="24"/>
          <w:rtl w:val="0"/>
        </w:rPr>
        <w:t xml:space="preserve">, 10</w:t>
      </w:r>
      <w:r w:rsidDel="00000000" w:rsidR="00000000" w:rsidRPr="00000000">
        <w:rPr>
          <w:rFonts w:ascii="Times New Roman" w:cs="Times New Roman" w:eastAsia="Times New Roman" w:hAnsi="Times New Roman"/>
          <w:sz w:val="24"/>
          <w:szCs w:val="24"/>
          <w:vertAlign w:val="superscript"/>
          <w:rtl w:val="0"/>
        </w:rPr>
        <w:t xml:space="preserve">-4</w:t>
      </w:r>
      <w:r w:rsidDel="00000000" w:rsidR="00000000" w:rsidRPr="00000000">
        <w:rPr>
          <w:rFonts w:ascii="Times New Roman" w:cs="Times New Roman" w:eastAsia="Times New Roman" w:hAnsi="Times New Roman"/>
          <w:sz w:val="24"/>
          <w:szCs w:val="24"/>
          <w:rtl w:val="0"/>
        </w:rPr>
        <w:t xml:space="preserve"> e 10</w:t>
      </w:r>
      <w:r w:rsidDel="00000000" w:rsidR="00000000" w:rsidRPr="00000000">
        <w:rPr>
          <w:rFonts w:ascii="Times New Roman" w:cs="Times New Roman" w:eastAsia="Times New Roman" w:hAnsi="Times New Roman"/>
          <w:sz w:val="24"/>
          <w:szCs w:val="24"/>
          <w:vertAlign w:val="superscript"/>
          <w:rtl w:val="0"/>
        </w:rPr>
        <w:t xml:space="preserve">-5</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1D">
      <w:pPr>
        <w:spacing w:after="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2.4 PLAQUEAMENTO E MEIOS DE CULTURA</w:t>
      </w:r>
    </w:p>
    <w:p w:rsidR="00000000" w:rsidDel="00000000" w:rsidP="00000000" w:rsidRDefault="00000000" w:rsidRPr="00000000" w14:paraId="0000001E">
      <w:pPr>
        <w:spacing w:after="0" w:line="360" w:lineRule="auto"/>
        <w:ind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 concentrações selecionadas para o semeio em placas de Petri foram 10⁻¹, 10⁻⁴ e 10⁻⁵. As alíquotas foram retiradas com o auxílio de micropipeta e semeadas nas placas contendo os respectivos meios de cultura, sendo espalhadas uniformemente utilizando alça de Drigalski. Para favorecer o crescimento de diferentes grupos microbianos, foram utilizados meios de cultura específicos, como BDA (Batata Dextrose Ágar): Destinado ao isolamento de fungos filamentosos e leveduras; NYDA (Nutrient Yeast Dextrose Ágar): Utilizado para o cultivo de bactérias heterotróficas e; PCA (Plate Count Agar): Empregado para contagem total de bactérias mesófilas aeróbias. As placas foram incubadas em BOD (Biochemical Oxygen Demand) a 28 °C, em ambiente controlado e livre de contaminantes, garantindo condições adequadas para o desenvolvimento dos microrganismos de interesse.</w:t>
      </w:r>
    </w:p>
    <w:p w:rsidR="00000000" w:rsidDel="00000000" w:rsidP="00000000" w:rsidRDefault="00000000" w:rsidRPr="00000000" w14:paraId="0000001F">
      <w:pPr>
        <w:spacing w:after="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 CONTAGEM E AVALIAÇÃO DAS COLÔNIAS</w:t>
      </w:r>
    </w:p>
    <w:p w:rsidR="00000000" w:rsidDel="00000000" w:rsidP="00000000" w:rsidRDefault="00000000" w:rsidRPr="00000000" w14:paraId="00000020">
      <w:pPr>
        <w:spacing w:after="0" w:line="360" w:lineRule="auto"/>
        <w:ind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Após o período de incubação, procedeu-se à contagem das colônias visíveis em cada placa. A contagem foi expressa em unidades formadoras de colônia por grama de solo (UFC. g⁻¹), de acordo com a diluição correspondente. </w:t>
      </w:r>
    </w:p>
    <w:p w:rsidR="00000000" w:rsidDel="00000000" w:rsidP="00000000" w:rsidRDefault="00000000" w:rsidRPr="00000000" w14:paraId="00000021">
      <w:pPr>
        <w:spacing w:after="0" w:line="360" w:lineRule="auto"/>
        <w:ind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Para identificação das colônias em placas com meio de cultura, aforam organizadas da seguinte forma: </w:t>
      </w:r>
    </w:p>
    <w:p w:rsidR="00000000" w:rsidDel="00000000" w:rsidP="00000000" w:rsidRDefault="00000000" w:rsidRPr="00000000" w14:paraId="00000022">
      <w:pPr>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23">
      <w:pPr>
        <w:spacing w:after="0" w:line="24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Tabela 1 – Ilustração da distribuição das placas contendo diferentes meios de cultura e diferentes concentrações, de acordo com as numerações.</w:t>
      </w:r>
    </w:p>
    <w:p w:rsidR="00000000" w:rsidDel="00000000" w:rsidP="00000000" w:rsidRDefault="00000000" w:rsidRPr="00000000" w14:paraId="00000024">
      <w:pPr>
        <w:spacing w:after="0" w:line="240" w:lineRule="auto"/>
        <w:jc w:val="both"/>
        <w:rPr>
          <w:rFonts w:ascii="Times New Roman" w:cs="Times New Roman" w:eastAsia="Times New Roman" w:hAnsi="Times New Roman"/>
        </w:rPr>
      </w:pPr>
      <w:r w:rsidDel="00000000" w:rsidR="00000000" w:rsidRPr="00000000">
        <w:rPr>
          <w:rtl w:val="0"/>
        </w:rPr>
      </w:r>
    </w:p>
    <w:tbl>
      <w:tblPr>
        <w:tblStyle w:val="Table1"/>
        <w:tblpPr w:leftFromText="180" w:rightFromText="180" w:topFromText="180" w:bottomFromText="180" w:vertAnchor="text" w:horzAnchor="text" w:tblpX="489" w:tblpY="0"/>
        <w:tblW w:w="757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280"/>
        <w:gridCol w:w="840"/>
        <w:gridCol w:w="765"/>
        <w:gridCol w:w="615"/>
        <w:gridCol w:w="720"/>
        <w:gridCol w:w="615"/>
        <w:gridCol w:w="855"/>
        <w:gridCol w:w="885"/>
        <w:tblGridChange w:id="0">
          <w:tblGrid>
            <w:gridCol w:w="2280"/>
            <w:gridCol w:w="840"/>
            <w:gridCol w:w="765"/>
            <w:gridCol w:w="615"/>
            <w:gridCol w:w="720"/>
            <w:gridCol w:w="615"/>
            <w:gridCol w:w="855"/>
            <w:gridCol w:w="885"/>
          </w:tblGrid>
        </w:tblGridChange>
      </w:tblGrid>
      <w:tr>
        <w:trPr>
          <w:cantSplit w:val="0"/>
          <w:trHeight w:val="131" w:hRule="atLeast"/>
          <w:tblHeader w:val="0"/>
        </w:trPr>
        <w:tc>
          <w:tcPr>
            <w:vMerge w:val="restart"/>
            <w:tcBorders>
              <w:top w:color="000000" w:space="0" w:sz="12" w:val="single"/>
              <w:left w:color="000000" w:space="0" w:sz="0" w:val="nil"/>
              <w:bottom w:color="000000" w:space="0" w:sz="0" w:val="nil"/>
              <w:right w:color="000000" w:space="0" w:sz="0" w:val="nil"/>
            </w:tcBorders>
          </w:tcPr>
          <w:p w:rsidR="00000000" w:rsidDel="00000000" w:rsidP="00000000" w:rsidRDefault="00000000" w:rsidRPr="00000000" w14:paraId="00000025">
            <w:pPr>
              <w:widowControl w:val="0"/>
              <w:spacing w:after="0" w:before="200" w:line="240" w:lineRule="auto"/>
              <w:jc w:val="center"/>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b w:val="1"/>
                <w:bCs w:val="1"/>
                <w:rtl w:val="0"/>
              </w:rPr>
              <w:t xml:space="preserve">Meios de Cultura utilizados </w:t>
            </w:r>
          </w:p>
        </w:tc>
        <w:tc>
          <w:tcPr>
            <w:gridSpan w:val="7"/>
            <w:tcBorders>
              <w:top w:color="000000" w:space="0" w:sz="12" w:val="single"/>
              <w:left w:color="000000" w:space="0" w:sz="0" w:val="nil"/>
            </w:tcBorders>
          </w:tcPr>
          <w:p w:rsidR="00000000" w:rsidDel="00000000" w:rsidP="00000000" w:rsidRDefault="00000000" w:rsidRPr="00000000" w14:paraId="00000026">
            <w:pPr>
              <w:widowControl w:val="0"/>
              <w:spacing w:after="0" w:line="240" w:lineRule="auto"/>
              <w:jc w:val="center"/>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b w:val="1"/>
                <w:bCs w:val="1"/>
                <w:rtl w:val="0"/>
              </w:rPr>
              <w:t xml:space="preserve">Concentrações </w:t>
            </w:r>
          </w:p>
        </w:tc>
      </w:tr>
      <w:tr>
        <w:trPr>
          <w:cantSplit w:val="0"/>
          <w:trHeight w:val="282.978515625" w:hRule="atLeast"/>
          <w:tblHeader w:val="0"/>
        </w:trPr>
        <w:tc>
          <w:tcPr>
            <w:vMerge w:val="continue"/>
            <w:tcBorders>
              <w:top w:color="000000" w:space="0" w:sz="12" w:val="single"/>
              <w:left w:color="000000" w:space="0" w:sz="0" w:val="nil"/>
              <w:bottom w:color="000000" w:space="0" w:sz="0" w:val="nil"/>
              <w:right w:color="000000" w:space="0" w:sz="0" w:val="nil"/>
            </w:tcBorders>
          </w:tcPr>
          <w:p w:rsidR="00000000" w:rsidDel="00000000" w:rsidP="00000000" w:rsidRDefault="00000000" w:rsidRPr="00000000" w14:paraId="0000002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rPr>
            </w:pPr>
            <w:r w:rsidDel="00000000" w:rsidR="00000000" w:rsidRPr="00000000">
              <w:rPr>
                <w:rtl w:val="0"/>
              </w:rPr>
            </w:r>
          </w:p>
        </w:tc>
        <w:tc>
          <w:tcPr>
            <w:tcBorders>
              <w:left w:color="000000" w:space="0" w:sz="0" w:val="nil"/>
              <w:bottom w:color="000000" w:space="0" w:sz="12" w:val="single"/>
              <w:right w:color="000000" w:space="0" w:sz="0" w:val="nil"/>
            </w:tcBorders>
          </w:tcPr>
          <w:p w:rsidR="00000000" w:rsidDel="00000000" w:rsidP="00000000" w:rsidRDefault="00000000" w:rsidRPr="00000000" w14:paraId="0000002E">
            <w:pPr>
              <w:keepNext w:val="1"/>
              <w:widowControl w:val="0"/>
              <w:spacing w:after="0" w:line="240" w:lineRule="auto"/>
              <w:jc w:val="center"/>
              <w:rPr>
                <w:rFonts w:ascii="Times New Roman" w:cs="Times New Roman" w:eastAsia="Times New Roman" w:hAnsi="Times New Roman"/>
                <w:vertAlign w:val="superscript"/>
              </w:rPr>
            </w:pPr>
            <w:r w:rsidDel="00000000" w:rsidR="00000000" w:rsidRPr="00000000">
              <w:rPr>
                <w:rFonts w:ascii="Times New Roman" w:cs="Times New Roman" w:eastAsia="Times New Roman" w:hAnsi="Times New Roman"/>
                <w:rtl w:val="0"/>
              </w:rPr>
              <w:t xml:space="preserve">10</w:t>
            </w:r>
            <w:r w:rsidDel="00000000" w:rsidR="00000000" w:rsidRPr="00000000">
              <w:rPr>
                <w:rFonts w:ascii="Times New Roman" w:cs="Times New Roman" w:eastAsia="Times New Roman" w:hAnsi="Times New Roman"/>
                <w:vertAlign w:val="superscript"/>
                <w:rtl w:val="0"/>
              </w:rPr>
              <w:t xml:space="preserve">-1</w:t>
            </w:r>
          </w:p>
        </w:tc>
        <w:tc>
          <w:tcPr>
            <w:gridSpan w:val="3"/>
            <w:tcBorders>
              <w:left w:color="000000" w:space="0" w:sz="0" w:val="nil"/>
              <w:bottom w:color="000000" w:space="0" w:sz="12" w:val="single"/>
            </w:tcBorders>
          </w:tcPr>
          <w:p w:rsidR="00000000" w:rsidDel="00000000" w:rsidP="00000000" w:rsidRDefault="00000000" w:rsidRPr="00000000" w14:paraId="0000002F">
            <w:pPr>
              <w:widowControl w:val="0"/>
              <w:spacing w:after="0" w:line="240" w:lineRule="auto"/>
              <w:jc w:val="center"/>
              <w:rPr>
                <w:rFonts w:ascii="Times New Roman" w:cs="Times New Roman" w:eastAsia="Times New Roman" w:hAnsi="Times New Roman"/>
                <w:vertAlign w:val="superscript"/>
              </w:rPr>
            </w:pPr>
            <w:r w:rsidDel="00000000" w:rsidR="00000000" w:rsidRPr="00000000">
              <w:rPr>
                <w:rFonts w:ascii="Times New Roman" w:cs="Times New Roman" w:eastAsia="Times New Roman" w:hAnsi="Times New Roman"/>
                <w:rtl w:val="0"/>
              </w:rPr>
              <w:t xml:space="preserve">10</w:t>
            </w:r>
            <w:r w:rsidDel="00000000" w:rsidR="00000000" w:rsidRPr="00000000">
              <w:rPr>
                <w:rFonts w:ascii="Times New Roman" w:cs="Times New Roman" w:eastAsia="Times New Roman" w:hAnsi="Times New Roman"/>
                <w:vertAlign w:val="superscript"/>
                <w:rtl w:val="0"/>
              </w:rPr>
              <w:t xml:space="preserve">-4</w:t>
            </w:r>
          </w:p>
        </w:tc>
        <w:tc>
          <w:tcPr>
            <w:gridSpan w:val="3"/>
            <w:tcBorders>
              <w:left w:color="000000" w:space="0" w:sz="0" w:val="nil"/>
              <w:bottom w:color="000000" w:space="0" w:sz="12" w:val="single"/>
            </w:tcBorders>
          </w:tcPr>
          <w:p w:rsidR="00000000" w:rsidDel="00000000" w:rsidP="00000000" w:rsidRDefault="00000000" w:rsidRPr="00000000" w14:paraId="00000032">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10</w:t>
            </w:r>
            <w:r w:rsidDel="00000000" w:rsidR="00000000" w:rsidRPr="00000000">
              <w:rPr>
                <w:rFonts w:ascii="Times New Roman" w:cs="Times New Roman" w:eastAsia="Times New Roman" w:hAnsi="Times New Roman"/>
                <w:vertAlign w:val="superscript"/>
                <w:rtl w:val="0"/>
              </w:rPr>
              <w:t xml:space="preserve">-5</w:t>
            </w:r>
            <w:r w:rsidDel="00000000" w:rsidR="00000000" w:rsidRPr="00000000">
              <w:rPr>
                <w:rtl w:val="0"/>
              </w:rPr>
            </w:r>
          </w:p>
        </w:tc>
      </w:tr>
      <w:tr>
        <w:trPr>
          <w:cantSplit w:val="0"/>
          <w:trHeight w:val="282.978515625" w:hRule="atLeast"/>
          <w:tblHeader w:val="0"/>
        </w:trPr>
        <w:tc>
          <w:tcPr>
            <w:tcBorders>
              <w:top w:color="000000" w:space="0" w:sz="12" w:val="single"/>
              <w:left w:color="000000" w:space="0" w:sz="0" w:val="nil"/>
            </w:tcBorders>
          </w:tcPr>
          <w:p w:rsidR="00000000" w:rsidDel="00000000" w:rsidP="00000000" w:rsidRDefault="00000000" w:rsidRPr="00000000" w14:paraId="00000035">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PCA</w:t>
            </w:r>
          </w:p>
        </w:tc>
        <w:tc>
          <w:tcPr>
            <w:tcBorders>
              <w:top w:color="000000" w:space="0" w:sz="12" w:val="single"/>
              <w:bottom w:color="000000" w:space="0" w:sz="0" w:val="nil"/>
            </w:tcBorders>
          </w:tcPr>
          <w:p w:rsidR="00000000" w:rsidDel="00000000" w:rsidP="00000000" w:rsidRDefault="00000000" w:rsidRPr="00000000" w14:paraId="00000036">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w:t>
            </w:r>
          </w:p>
        </w:tc>
        <w:tc>
          <w:tcPr>
            <w:tcBorders>
              <w:top w:color="000000" w:space="0" w:sz="12" w:val="single"/>
              <w:bottom w:color="000000" w:space="0" w:sz="0" w:val="nil"/>
              <w:right w:color="000000" w:space="0" w:sz="0" w:val="nil"/>
            </w:tcBorders>
          </w:tcPr>
          <w:p w:rsidR="00000000" w:rsidDel="00000000" w:rsidP="00000000" w:rsidRDefault="00000000" w:rsidRPr="00000000" w14:paraId="00000037">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4</w:t>
            </w:r>
          </w:p>
        </w:tc>
        <w:tc>
          <w:tcPr>
            <w:tcBorders>
              <w:top w:color="000000" w:space="0" w:sz="12" w:val="single"/>
              <w:left w:color="000000" w:space="0" w:sz="0" w:val="nil"/>
              <w:bottom w:color="000000" w:space="0" w:sz="0" w:val="nil"/>
              <w:right w:color="000000" w:space="0" w:sz="0" w:val="nil"/>
            </w:tcBorders>
          </w:tcPr>
          <w:p w:rsidR="00000000" w:rsidDel="00000000" w:rsidP="00000000" w:rsidRDefault="00000000" w:rsidRPr="00000000" w14:paraId="00000038">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7</w:t>
            </w:r>
          </w:p>
        </w:tc>
        <w:tc>
          <w:tcPr>
            <w:tcBorders>
              <w:top w:color="000000" w:space="0" w:sz="12" w:val="single"/>
              <w:left w:color="000000" w:space="0" w:sz="0" w:val="nil"/>
              <w:bottom w:color="000000" w:space="0" w:sz="0" w:val="nil"/>
            </w:tcBorders>
          </w:tcPr>
          <w:p w:rsidR="00000000" w:rsidDel="00000000" w:rsidP="00000000" w:rsidRDefault="00000000" w:rsidRPr="00000000" w14:paraId="00000039">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10</w:t>
            </w:r>
          </w:p>
        </w:tc>
        <w:tc>
          <w:tcPr>
            <w:tcBorders>
              <w:top w:color="000000" w:space="0" w:sz="12" w:val="single"/>
              <w:bottom w:color="000000" w:space="0" w:sz="0" w:val="nil"/>
              <w:right w:color="000000" w:space="0" w:sz="0" w:val="nil"/>
            </w:tcBorders>
          </w:tcPr>
          <w:p w:rsidR="00000000" w:rsidDel="00000000" w:rsidP="00000000" w:rsidRDefault="00000000" w:rsidRPr="00000000" w14:paraId="0000003A">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13</w:t>
            </w:r>
          </w:p>
        </w:tc>
        <w:tc>
          <w:tcPr>
            <w:tcBorders>
              <w:top w:color="000000" w:space="0" w:sz="12" w:val="single"/>
              <w:left w:color="000000" w:space="0" w:sz="0" w:val="nil"/>
              <w:bottom w:color="000000" w:space="0" w:sz="0" w:val="nil"/>
              <w:right w:color="000000" w:space="0" w:sz="0" w:val="nil"/>
            </w:tcBorders>
          </w:tcPr>
          <w:p w:rsidR="00000000" w:rsidDel="00000000" w:rsidP="00000000" w:rsidRDefault="00000000" w:rsidRPr="00000000" w14:paraId="0000003B">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16</w:t>
            </w:r>
          </w:p>
        </w:tc>
        <w:tc>
          <w:tcPr>
            <w:tcBorders>
              <w:top w:color="000000" w:space="0" w:sz="12" w:val="single"/>
              <w:left w:color="000000" w:space="0" w:sz="0" w:val="nil"/>
              <w:bottom w:color="000000" w:space="0" w:sz="0" w:val="nil"/>
              <w:right w:color="000000" w:space="0" w:sz="0" w:val="nil"/>
            </w:tcBorders>
          </w:tcPr>
          <w:p w:rsidR="00000000" w:rsidDel="00000000" w:rsidP="00000000" w:rsidRDefault="00000000" w:rsidRPr="00000000" w14:paraId="0000003C">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19</w:t>
            </w:r>
          </w:p>
        </w:tc>
      </w:tr>
      <w:tr>
        <w:trPr>
          <w:cantSplit w:val="0"/>
          <w:trHeight w:val="342.978515625" w:hRule="atLeast"/>
          <w:tblHeader w:val="0"/>
        </w:trPr>
        <w:tc>
          <w:tcPr>
            <w:tcBorders>
              <w:left w:color="000000" w:space="0" w:sz="0" w:val="nil"/>
            </w:tcBorders>
          </w:tcPr>
          <w:p w:rsidR="00000000" w:rsidDel="00000000" w:rsidP="00000000" w:rsidRDefault="00000000" w:rsidRPr="00000000" w14:paraId="0000003D">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BDA</w:t>
            </w:r>
          </w:p>
        </w:tc>
        <w:tc>
          <w:tcPr>
            <w:tcBorders>
              <w:top w:color="000000" w:space="0" w:sz="0" w:val="nil"/>
              <w:bottom w:color="000000" w:space="0" w:sz="0" w:val="nil"/>
            </w:tcBorders>
          </w:tcPr>
          <w:p w:rsidR="00000000" w:rsidDel="00000000" w:rsidP="00000000" w:rsidRDefault="00000000" w:rsidRPr="00000000" w14:paraId="0000003E">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2</w:t>
            </w:r>
          </w:p>
        </w:tc>
        <w:tc>
          <w:tcPr>
            <w:tcBorders>
              <w:top w:color="000000" w:space="0" w:sz="0" w:val="nil"/>
              <w:bottom w:color="000000" w:space="0" w:sz="0" w:val="nil"/>
              <w:right w:color="000000" w:space="0" w:sz="0" w:val="nil"/>
            </w:tcBorders>
          </w:tcPr>
          <w:p w:rsidR="00000000" w:rsidDel="00000000" w:rsidP="00000000" w:rsidRDefault="00000000" w:rsidRPr="00000000" w14:paraId="0000003F">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5</w:t>
            </w:r>
          </w:p>
        </w:tc>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040">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8</w:t>
            </w:r>
          </w:p>
        </w:tc>
        <w:tc>
          <w:tcPr>
            <w:tcBorders>
              <w:top w:color="000000" w:space="0" w:sz="0" w:val="nil"/>
              <w:left w:color="000000" w:space="0" w:sz="0" w:val="nil"/>
              <w:bottom w:color="000000" w:space="0" w:sz="0" w:val="nil"/>
            </w:tcBorders>
          </w:tcPr>
          <w:p w:rsidR="00000000" w:rsidDel="00000000" w:rsidP="00000000" w:rsidRDefault="00000000" w:rsidRPr="00000000" w14:paraId="00000041">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11</w:t>
            </w:r>
          </w:p>
        </w:tc>
        <w:tc>
          <w:tcPr>
            <w:tcBorders>
              <w:top w:color="000000" w:space="0" w:sz="0" w:val="nil"/>
              <w:bottom w:color="000000" w:space="0" w:sz="0" w:val="nil"/>
              <w:right w:color="000000" w:space="0" w:sz="0" w:val="nil"/>
            </w:tcBorders>
          </w:tcPr>
          <w:p w:rsidR="00000000" w:rsidDel="00000000" w:rsidP="00000000" w:rsidRDefault="00000000" w:rsidRPr="00000000" w14:paraId="00000042">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14</w:t>
            </w:r>
          </w:p>
        </w:tc>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043">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17</w:t>
            </w:r>
          </w:p>
        </w:tc>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044">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20</w:t>
            </w:r>
          </w:p>
        </w:tc>
      </w:tr>
      <w:tr>
        <w:trPr>
          <w:cantSplit w:val="0"/>
          <w:trHeight w:val="252.978515625" w:hRule="atLeast"/>
          <w:tblHeader w:val="0"/>
        </w:trPr>
        <w:tc>
          <w:tcPr>
            <w:tcBorders>
              <w:left w:color="000000" w:space="0" w:sz="0" w:val="nil"/>
            </w:tcBorders>
          </w:tcPr>
          <w:p w:rsidR="00000000" w:rsidDel="00000000" w:rsidP="00000000" w:rsidRDefault="00000000" w:rsidRPr="00000000" w14:paraId="00000045">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NYDA</w:t>
            </w:r>
          </w:p>
        </w:tc>
        <w:tc>
          <w:tcPr>
            <w:tcBorders>
              <w:top w:color="000000" w:space="0" w:sz="0" w:val="nil"/>
            </w:tcBorders>
          </w:tcPr>
          <w:p w:rsidR="00000000" w:rsidDel="00000000" w:rsidP="00000000" w:rsidRDefault="00000000" w:rsidRPr="00000000" w14:paraId="00000046">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3</w:t>
            </w:r>
          </w:p>
        </w:tc>
        <w:tc>
          <w:tcPr>
            <w:tcBorders>
              <w:top w:color="000000" w:space="0" w:sz="0" w:val="nil"/>
              <w:right w:color="000000" w:space="0" w:sz="0" w:val="nil"/>
            </w:tcBorders>
          </w:tcPr>
          <w:p w:rsidR="00000000" w:rsidDel="00000000" w:rsidP="00000000" w:rsidRDefault="00000000" w:rsidRPr="00000000" w14:paraId="00000047">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6</w:t>
            </w:r>
          </w:p>
        </w:tc>
        <w:tc>
          <w:tcPr>
            <w:tcBorders>
              <w:top w:color="000000" w:space="0" w:sz="0" w:val="nil"/>
              <w:left w:color="000000" w:space="0" w:sz="0" w:val="nil"/>
              <w:right w:color="000000" w:space="0" w:sz="0" w:val="nil"/>
            </w:tcBorders>
          </w:tcPr>
          <w:p w:rsidR="00000000" w:rsidDel="00000000" w:rsidP="00000000" w:rsidRDefault="00000000" w:rsidRPr="00000000" w14:paraId="00000048">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9</w:t>
            </w:r>
          </w:p>
        </w:tc>
        <w:tc>
          <w:tcPr>
            <w:tcBorders>
              <w:top w:color="000000" w:space="0" w:sz="0" w:val="nil"/>
              <w:left w:color="000000" w:space="0" w:sz="0" w:val="nil"/>
            </w:tcBorders>
          </w:tcPr>
          <w:p w:rsidR="00000000" w:rsidDel="00000000" w:rsidP="00000000" w:rsidRDefault="00000000" w:rsidRPr="00000000" w14:paraId="00000049">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12</w:t>
            </w:r>
          </w:p>
        </w:tc>
        <w:tc>
          <w:tcPr>
            <w:tcBorders>
              <w:top w:color="000000" w:space="0" w:sz="0" w:val="nil"/>
              <w:right w:color="000000" w:space="0" w:sz="0" w:val="nil"/>
            </w:tcBorders>
          </w:tcPr>
          <w:p w:rsidR="00000000" w:rsidDel="00000000" w:rsidP="00000000" w:rsidRDefault="00000000" w:rsidRPr="00000000" w14:paraId="0000004A">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15</w:t>
            </w:r>
          </w:p>
        </w:tc>
        <w:tc>
          <w:tcPr>
            <w:tcBorders>
              <w:top w:color="000000" w:space="0" w:sz="0" w:val="nil"/>
              <w:left w:color="000000" w:space="0" w:sz="0" w:val="nil"/>
              <w:right w:color="000000" w:space="0" w:sz="0" w:val="nil"/>
            </w:tcBorders>
          </w:tcPr>
          <w:p w:rsidR="00000000" w:rsidDel="00000000" w:rsidP="00000000" w:rsidRDefault="00000000" w:rsidRPr="00000000" w14:paraId="0000004B">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18</w:t>
            </w:r>
          </w:p>
        </w:tc>
        <w:tc>
          <w:tcPr>
            <w:tcBorders>
              <w:top w:color="000000" w:space="0" w:sz="0" w:val="nil"/>
              <w:left w:color="000000" w:space="0" w:sz="0" w:val="nil"/>
              <w:right w:color="000000" w:space="0" w:sz="0" w:val="nil"/>
            </w:tcBorders>
          </w:tcPr>
          <w:p w:rsidR="00000000" w:rsidDel="00000000" w:rsidP="00000000" w:rsidRDefault="00000000" w:rsidRPr="00000000" w14:paraId="0000004C">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21</w:t>
            </w:r>
          </w:p>
        </w:tc>
      </w:tr>
    </w:tbl>
    <w:p w:rsidR="00000000" w:rsidDel="00000000" w:rsidP="00000000" w:rsidRDefault="00000000" w:rsidRPr="00000000" w14:paraId="0000004D">
      <w:pPr>
        <w:spacing w:after="0" w:line="24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Fonte: Autores, 2025. </w:t>
      </w:r>
    </w:p>
    <w:p w:rsidR="00000000" w:rsidDel="00000000" w:rsidP="00000000" w:rsidRDefault="00000000" w:rsidRPr="00000000" w14:paraId="0000004E">
      <w:pPr>
        <w:spacing w:after="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F">
      <w:pPr>
        <w:spacing w:after="0" w:line="360" w:lineRule="auto"/>
        <w:jc w:val="both"/>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3. RESULTADOS E DISCUSSÃO. </w:t>
      </w:r>
    </w:p>
    <w:p w:rsidR="00000000" w:rsidDel="00000000" w:rsidP="00000000" w:rsidRDefault="00000000" w:rsidRPr="00000000" w14:paraId="00000050">
      <w:pPr>
        <w:spacing w:after="0" w:line="360" w:lineRule="auto"/>
        <w:ind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análise microbiológica dos solos provenientes de diferentes sistemas agrícolas evidenciou padrões distintos de densidade e diversidade microbiana, influenciados pelo tipo de cultura e pelas condições do solo. Nas amostras de </w:t>
      </w:r>
      <w:r w:rsidDel="00000000" w:rsidR="00000000" w:rsidRPr="00000000">
        <w:rPr>
          <w:rFonts w:ascii="Times New Roman" w:cs="Times New Roman" w:eastAsia="Times New Roman" w:hAnsi="Times New Roman"/>
          <w:i w:val="1"/>
          <w:iCs w:val="1"/>
          <w:sz w:val="24"/>
          <w:szCs w:val="24"/>
          <w:rtl w:val="0"/>
        </w:rPr>
        <w:t xml:space="preserve">Musa paradisiaca,</w:t>
      </w:r>
      <w:r w:rsidDel="00000000" w:rsidR="00000000" w:rsidRPr="00000000">
        <w:rPr>
          <w:rFonts w:ascii="Times New Roman" w:cs="Times New Roman" w:eastAsia="Times New Roman" w:hAnsi="Times New Roman"/>
          <w:sz w:val="24"/>
          <w:szCs w:val="24"/>
          <w:rtl w:val="0"/>
        </w:rPr>
        <w:t xml:space="preserve"> apenas as placas referentes à diluição 10⁻¹ apresentaram número excessivo (NE) de colônias, com crescimento denso e aspecto fluido nos diferentes meios de cultura, conforme ilustrado na Figura 2. </w:t>
      </w:r>
    </w:p>
    <w:p w:rsidR="00000000" w:rsidDel="00000000" w:rsidP="00000000" w:rsidRDefault="00000000" w:rsidRPr="00000000" w14:paraId="00000051">
      <w:pPr>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Figura 2 – Placas com microrganismos em diferentes concentrações e meios de cultura, oriundos do solo de cultivo de </w:t>
      </w:r>
      <w:r w:rsidDel="00000000" w:rsidR="00000000" w:rsidRPr="00000000">
        <w:rPr>
          <w:rFonts w:ascii="Times New Roman" w:cs="Times New Roman" w:eastAsia="Times New Roman" w:hAnsi="Times New Roman"/>
          <w:i w:val="1"/>
          <w:iCs w:val="1"/>
          <w:color w:val="0a0a0a"/>
          <w:rtl w:val="0"/>
        </w:rPr>
        <w:t xml:space="preserve">Musa x paradisiaca.</w:t>
      </w:r>
      <w:r w:rsidDel="00000000" w:rsidR="00000000" w:rsidRPr="00000000">
        <w:rPr>
          <w:rtl w:val="0"/>
        </w:rPr>
      </w:r>
    </w:p>
    <w:p w:rsidR="00000000" w:rsidDel="00000000" w:rsidP="00000000" w:rsidRDefault="00000000" w:rsidRPr="00000000" w14:paraId="00000052">
      <w:pPr>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sz w:val="24"/>
          <w:szCs w:val="24"/>
        </w:rPr>
        <w:drawing>
          <wp:inline distB="114300" distT="114300" distL="114300" distR="114300">
            <wp:extent cx="3720938" cy="1601416"/>
            <wp:effectExtent b="0" l="0" r="0" t="0"/>
            <wp:docPr descr="Tela de metal&#10;&#10;O conteúdo gerado por IA pode estar incorreto." id="15" name="image11.png"/>
            <a:graphic>
              <a:graphicData uri="http://schemas.openxmlformats.org/drawingml/2006/picture">
                <pic:pic>
                  <pic:nvPicPr>
                    <pic:cNvPr descr="Tela de metal&#10;&#10;O conteúdo gerado por IA pode estar incorreto." id="0" name="image11.png"/>
                    <pic:cNvPicPr preferRelativeResize="0"/>
                  </pic:nvPicPr>
                  <pic:blipFill>
                    <a:blip r:embed="rId9"/>
                    <a:srcRect b="23724" l="0" r="0" t="0"/>
                    <a:stretch>
                      <a:fillRect/>
                    </a:stretch>
                  </pic:blipFill>
                  <pic:spPr>
                    <a:xfrm>
                      <a:off x="0" y="0"/>
                      <a:ext cx="3720938" cy="1601416"/>
                    </a:xfrm>
                    <a:prstGeom prst="rect"/>
                    <a:ln/>
                  </pic:spPr>
                </pic:pic>
              </a:graphicData>
            </a:graphic>
          </wp:inline>
        </w:drawing>
      </w:r>
      <w:r w:rsidDel="00000000" w:rsidR="00000000" w:rsidRPr="00000000">
        <w:rPr>
          <w:rtl w:val="0"/>
        </w:rPr>
      </w:r>
    </w:p>
    <w:p w:rsidR="00000000" w:rsidDel="00000000" w:rsidP="00000000" w:rsidRDefault="00000000" w:rsidRPr="00000000" w14:paraId="00000053">
      <w:pPr>
        <w:spacing w:after="20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rtl w:val="0"/>
        </w:rPr>
        <w:t xml:space="preserve">Fonte: Autores, 2025.</w:t>
      </w:r>
      <w:r w:rsidDel="00000000" w:rsidR="00000000" w:rsidRPr="00000000">
        <w:rPr>
          <w:rtl w:val="0"/>
        </w:rPr>
      </w:r>
    </w:p>
    <w:p w:rsidR="00000000" w:rsidDel="00000000" w:rsidP="00000000" w:rsidRDefault="00000000" w:rsidRPr="00000000" w14:paraId="00000054">
      <w:pPr>
        <w:spacing w:after="0" w:line="360" w:lineRule="auto"/>
        <w:ind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 diluições mais elevadas, como 10⁻⁵, apresentaram menor número de colônias, indicando uma distribuição microbiana heterogênea entre as diferentes concentrações testadas (Tabela 1). </w:t>
      </w:r>
    </w:p>
    <w:p w:rsidR="00000000" w:rsidDel="00000000" w:rsidP="00000000" w:rsidRDefault="00000000" w:rsidRPr="00000000" w14:paraId="00000055">
      <w:pPr>
        <w:spacing w:after="0" w:line="240" w:lineRule="auto"/>
        <w:jc w:val="both"/>
        <w:rPr>
          <w:rFonts w:ascii="Times New Roman" w:cs="Times New Roman" w:eastAsia="Times New Roman" w:hAnsi="Times New Roman"/>
          <w:sz w:val="12"/>
          <w:szCs w:val="12"/>
        </w:rPr>
      </w:pPr>
      <w:r w:rsidDel="00000000" w:rsidR="00000000" w:rsidRPr="00000000">
        <w:rPr>
          <w:rFonts w:ascii="Times New Roman" w:cs="Times New Roman" w:eastAsia="Times New Roman" w:hAnsi="Times New Roman"/>
          <w:rtl w:val="0"/>
        </w:rPr>
        <w:t xml:space="preserve">Tabela 1 –</w:t>
      </w:r>
      <w:r w:rsidDel="00000000" w:rsidR="00000000" w:rsidRPr="00000000">
        <w:rPr>
          <w:rFonts w:ascii="Times New Roman" w:cs="Times New Roman" w:eastAsia="Times New Roman" w:hAnsi="Times New Roman"/>
          <w:b w:val="1"/>
          <w:bCs w:val="1"/>
          <w:rtl w:val="0"/>
        </w:rPr>
        <w:t xml:space="preserve"> </w:t>
      </w:r>
      <w:r w:rsidDel="00000000" w:rsidR="00000000" w:rsidRPr="00000000">
        <w:rPr>
          <w:rFonts w:ascii="Times New Roman" w:cs="Times New Roman" w:eastAsia="Times New Roman" w:hAnsi="Times New Roman"/>
          <w:rtl w:val="0"/>
        </w:rPr>
        <w:t xml:space="preserve">Contagem de colônias prospectadas em diferentes meios de cultura, obtidas do processo de diluição seriada dos solos de </w:t>
      </w:r>
      <w:r w:rsidDel="00000000" w:rsidR="00000000" w:rsidRPr="00000000">
        <w:rPr>
          <w:rFonts w:ascii="Times New Roman" w:cs="Times New Roman" w:eastAsia="Times New Roman" w:hAnsi="Times New Roman"/>
          <w:i w:val="1"/>
          <w:iCs w:val="1"/>
          <w:rtl w:val="0"/>
        </w:rPr>
        <w:t xml:space="preserve">Musa x paradisiaca,</w:t>
      </w:r>
      <w:r w:rsidDel="00000000" w:rsidR="00000000" w:rsidRPr="00000000">
        <w:rPr>
          <w:rFonts w:ascii="Times New Roman" w:cs="Times New Roman" w:eastAsia="Times New Roman" w:hAnsi="Times New Roman"/>
          <w:rtl w:val="0"/>
        </w:rPr>
        <w:t xml:space="preserve"> coletados do Sítio Agroecológico Tolú. NE: Número Excessivo de colônias, o que torna impossivel a contagem. </w:t>
      </w:r>
      <w:r w:rsidDel="00000000" w:rsidR="00000000" w:rsidRPr="00000000">
        <w:rPr>
          <w:rtl w:val="0"/>
        </w:rPr>
      </w:r>
    </w:p>
    <w:tbl>
      <w:tblPr>
        <w:tblStyle w:val="Table2"/>
        <w:tblpPr w:leftFromText="180" w:rightFromText="180" w:topFromText="180" w:bottomFromText="180" w:vertAnchor="text" w:horzAnchor="text" w:tblpX="-96" w:tblpY="0"/>
        <w:tblW w:w="942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00"/>
        <w:gridCol w:w="1050"/>
        <w:gridCol w:w="1065"/>
        <w:gridCol w:w="1035"/>
        <w:gridCol w:w="1050"/>
        <w:gridCol w:w="1110"/>
        <w:gridCol w:w="1125"/>
        <w:gridCol w:w="1185"/>
        <w:tblGridChange w:id="0">
          <w:tblGrid>
            <w:gridCol w:w="1800"/>
            <w:gridCol w:w="1050"/>
            <w:gridCol w:w="1065"/>
            <w:gridCol w:w="1035"/>
            <w:gridCol w:w="1050"/>
            <w:gridCol w:w="1110"/>
            <w:gridCol w:w="1125"/>
            <w:gridCol w:w="1185"/>
          </w:tblGrid>
        </w:tblGridChange>
      </w:tblGrid>
      <w:tr>
        <w:trPr>
          <w:cantSplit w:val="0"/>
          <w:trHeight w:val="420" w:hRule="atLeast"/>
          <w:tblHeader w:val="0"/>
        </w:trPr>
        <w:tc>
          <w:tcPr>
            <w:gridSpan w:val="8"/>
            <w:tcBorders>
              <w:top w:color="000000" w:space="0" w:sz="12" w:val="single"/>
              <w:left w:color="000000" w:space="0" w:sz="0" w:val="nil"/>
              <w:bottom w:color="000000" w:space="0" w:sz="12" w:val="single"/>
              <w:right w:color="000000" w:space="0" w:sz="12" w:val="single"/>
            </w:tcBorders>
          </w:tcPr>
          <w:p w:rsidR="00000000" w:rsidDel="00000000" w:rsidP="00000000" w:rsidRDefault="00000000" w:rsidRPr="00000000" w14:paraId="00000056">
            <w:pPr>
              <w:widowControl w:val="0"/>
              <w:spacing w:after="0" w:line="240" w:lineRule="auto"/>
              <w:jc w:val="center"/>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b w:val="1"/>
                <w:bCs w:val="1"/>
                <w:rtl w:val="0"/>
              </w:rPr>
              <w:t xml:space="preserve">Quantidade de colônias obtidas em área de cultivo de </w:t>
            </w:r>
            <w:r w:rsidDel="00000000" w:rsidR="00000000" w:rsidRPr="00000000">
              <w:rPr>
                <w:rFonts w:ascii="Times New Roman" w:cs="Times New Roman" w:eastAsia="Times New Roman" w:hAnsi="Times New Roman"/>
                <w:b w:val="1"/>
                <w:bCs w:val="1"/>
                <w:i w:val="1"/>
                <w:iCs w:val="1"/>
                <w:color w:val="0a0a0a"/>
                <w:rtl w:val="0"/>
              </w:rPr>
              <w:t xml:space="preserve">Musa x paradisiaca, L.</w:t>
            </w:r>
            <w:r w:rsidDel="00000000" w:rsidR="00000000" w:rsidRPr="00000000">
              <w:rPr>
                <w:rFonts w:ascii="Times New Roman" w:cs="Times New Roman" w:eastAsia="Times New Roman" w:hAnsi="Times New Roman"/>
                <w:b w:val="1"/>
                <w:bCs w:val="1"/>
                <w:color w:val="0a0a0a"/>
                <w:rtl w:val="0"/>
              </w:rPr>
              <w:t xml:space="preserve"> (</w:t>
            </w:r>
            <w:r w:rsidDel="00000000" w:rsidR="00000000" w:rsidRPr="00000000">
              <w:rPr>
                <w:rFonts w:ascii="Times New Roman" w:cs="Times New Roman" w:eastAsia="Times New Roman" w:hAnsi="Times New Roman"/>
                <w:b w:val="1"/>
                <w:bCs w:val="1"/>
                <w:rtl w:val="0"/>
              </w:rPr>
              <w:t xml:space="preserve">Banana)</w:t>
            </w:r>
          </w:p>
        </w:tc>
      </w:tr>
      <w:tr>
        <w:trPr>
          <w:cantSplit w:val="0"/>
          <w:trHeight w:val="480" w:hRule="atLeast"/>
          <w:tblHeader w:val="0"/>
        </w:trPr>
        <w:tc>
          <w:tcPr>
            <w:tcBorders>
              <w:top w:color="000000" w:space="0" w:sz="12" w:val="single"/>
              <w:left w:color="000000" w:space="0" w:sz="0" w:val="nil"/>
            </w:tcBorders>
          </w:tcPr>
          <w:p w:rsidR="00000000" w:rsidDel="00000000" w:rsidP="00000000" w:rsidRDefault="00000000" w:rsidRPr="00000000" w14:paraId="0000005E">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Meios de cultura</w:t>
            </w:r>
          </w:p>
        </w:tc>
        <w:tc>
          <w:tcPr>
            <w:tcBorders>
              <w:top w:color="000000" w:space="0" w:sz="12" w:val="single"/>
            </w:tcBorders>
          </w:tcPr>
          <w:p w:rsidR="00000000" w:rsidDel="00000000" w:rsidP="00000000" w:rsidRDefault="00000000" w:rsidRPr="00000000" w14:paraId="0000005F">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 10</w:t>
            </w:r>
            <w:r w:rsidDel="00000000" w:rsidR="00000000" w:rsidRPr="00000000">
              <w:rPr>
                <w:rFonts w:ascii="Times New Roman" w:cs="Times New Roman" w:eastAsia="Times New Roman" w:hAnsi="Times New Roman"/>
                <w:vertAlign w:val="superscript"/>
                <w:rtl w:val="0"/>
              </w:rPr>
              <w:t xml:space="preserve">-1</w:t>
            </w:r>
            <w:r w:rsidDel="00000000" w:rsidR="00000000" w:rsidRPr="00000000">
              <w:rPr>
                <w:rtl w:val="0"/>
              </w:rPr>
            </w:r>
          </w:p>
        </w:tc>
        <w:tc>
          <w:tcPr>
            <w:gridSpan w:val="3"/>
            <w:tcBorders>
              <w:top w:color="000000" w:space="0" w:sz="12" w:val="single"/>
            </w:tcBorders>
          </w:tcPr>
          <w:p w:rsidR="00000000" w:rsidDel="00000000" w:rsidP="00000000" w:rsidRDefault="00000000" w:rsidRPr="00000000" w14:paraId="00000060">
            <w:pPr>
              <w:widowControl w:val="0"/>
              <w:spacing w:after="0" w:line="240" w:lineRule="auto"/>
              <w:jc w:val="center"/>
              <w:rPr>
                <w:rFonts w:ascii="Times New Roman" w:cs="Times New Roman" w:eastAsia="Times New Roman" w:hAnsi="Times New Roman"/>
                <w:vertAlign w:val="superscript"/>
              </w:rPr>
            </w:pPr>
            <w:r w:rsidDel="00000000" w:rsidR="00000000" w:rsidRPr="00000000">
              <w:rPr>
                <w:rFonts w:ascii="Times New Roman" w:cs="Times New Roman" w:eastAsia="Times New Roman" w:hAnsi="Times New Roman"/>
                <w:rtl w:val="0"/>
              </w:rPr>
              <w:t xml:space="preserve">C 10</w:t>
            </w:r>
            <w:r w:rsidDel="00000000" w:rsidR="00000000" w:rsidRPr="00000000">
              <w:rPr>
                <w:rFonts w:ascii="Times New Roman" w:cs="Times New Roman" w:eastAsia="Times New Roman" w:hAnsi="Times New Roman"/>
                <w:vertAlign w:val="superscript"/>
                <w:rtl w:val="0"/>
              </w:rPr>
              <w:t xml:space="preserve">-4</w:t>
            </w:r>
          </w:p>
        </w:tc>
        <w:tc>
          <w:tcPr>
            <w:gridSpan w:val="3"/>
            <w:tcBorders>
              <w:top w:color="000000" w:space="0" w:sz="12" w:val="single"/>
            </w:tcBorders>
          </w:tcPr>
          <w:p w:rsidR="00000000" w:rsidDel="00000000" w:rsidP="00000000" w:rsidRDefault="00000000" w:rsidRPr="00000000" w14:paraId="00000063">
            <w:pPr>
              <w:widowControl w:val="0"/>
              <w:spacing w:after="0" w:line="240" w:lineRule="auto"/>
              <w:jc w:val="center"/>
              <w:rPr>
                <w:rFonts w:ascii="Times New Roman" w:cs="Times New Roman" w:eastAsia="Times New Roman" w:hAnsi="Times New Roman"/>
                <w:vertAlign w:val="superscript"/>
              </w:rPr>
            </w:pPr>
            <w:r w:rsidDel="00000000" w:rsidR="00000000" w:rsidRPr="00000000">
              <w:rPr>
                <w:rFonts w:ascii="Times New Roman" w:cs="Times New Roman" w:eastAsia="Times New Roman" w:hAnsi="Times New Roman"/>
                <w:rtl w:val="0"/>
              </w:rPr>
              <w:t xml:space="preserve">C10</w:t>
            </w:r>
            <w:r w:rsidDel="00000000" w:rsidR="00000000" w:rsidRPr="00000000">
              <w:rPr>
                <w:rFonts w:ascii="Times New Roman" w:cs="Times New Roman" w:eastAsia="Times New Roman" w:hAnsi="Times New Roman"/>
                <w:vertAlign w:val="superscript"/>
                <w:rtl w:val="0"/>
              </w:rPr>
              <w:t xml:space="preserve">-5</w:t>
            </w:r>
          </w:p>
        </w:tc>
      </w:tr>
      <w:tr>
        <w:trPr>
          <w:cantSplit w:val="0"/>
          <w:trHeight w:val="425" w:hRule="atLeast"/>
          <w:tblHeader w:val="0"/>
        </w:trPr>
        <w:tc>
          <w:tcPr>
            <w:tcBorders>
              <w:left w:color="000000" w:space="0" w:sz="0" w:val="nil"/>
              <w:bottom w:color="000000" w:space="0" w:sz="0" w:val="nil"/>
            </w:tcBorders>
          </w:tcPr>
          <w:p w:rsidR="00000000" w:rsidDel="00000000" w:rsidP="00000000" w:rsidRDefault="00000000" w:rsidRPr="00000000" w14:paraId="00000066">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PCA</w:t>
            </w:r>
          </w:p>
        </w:tc>
        <w:tc>
          <w:tcPr>
            <w:tcBorders>
              <w:bottom w:color="000000" w:space="0" w:sz="0" w:val="nil"/>
            </w:tcBorders>
          </w:tcPr>
          <w:p w:rsidR="00000000" w:rsidDel="00000000" w:rsidP="00000000" w:rsidRDefault="00000000" w:rsidRPr="00000000" w14:paraId="00000067">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NE </w:t>
            </w:r>
          </w:p>
        </w:tc>
        <w:tc>
          <w:tcPr>
            <w:tcBorders>
              <w:bottom w:color="000000" w:space="0" w:sz="0" w:val="nil"/>
              <w:right w:color="000000" w:space="0" w:sz="0" w:val="nil"/>
            </w:tcBorders>
          </w:tcPr>
          <w:p w:rsidR="00000000" w:rsidDel="00000000" w:rsidP="00000000" w:rsidRDefault="00000000" w:rsidRPr="00000000" w14:paraId="00000068">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2,2×10</w:t>
            </w:r>
            <w:r w:rsidDel="00000000" w:rsidR="00000000" w:rsidRPr="00000000">
              <w:rPr>
                <w:rFonts w:ascii="Times New Roman" w:cs="Times New Roman" w:eastAsia="Times New Roman" w:hAnsi="Times New Roman"/>
                <w:vertAlign w:val="superscript"/>
                <w:rtl w:val="0"/>
              </w:rPr>
              <w:t xml:space="preserve">6</w:t>
            </w:r>
            <w:r w:rsidDel="00000000" w:rsidR="00000000" w:rsidRPr="00000000">
              <w:rPr>
                <w:rtl w:val="0"/>
              </w:rPr>
            </w:r>
          </w:p>
        </w:tc>
        <w:tc>
          <w:tcPr>
            <w:tcBorders>
              <w:left w:color="000000" w:space="0" w:sz="0" w:val="nil"/>
              <w:bottom w:color="000000" w:space="0" w:sz="0" w:val="nil"/>
              <w:right w:color="000000" w:space="0" w:sz="0" w:val="nil"/>
            </w:tcBorders>
          </w:tcPr>
          <w:p w:rsidR="00000000" w:rsidDel="00000000" w:rsidP="00000000" w:rsidRDefault="00000000" w:rsidRPr="00000000" w14:paraId="00000069">
            <w:pPr>
              <w:widowControl w:val="0"/>
              <w:spacing w:after="0" w:line="240" w:lineRule="auto"/>
              <w:jc w:val="center"/>
              <w:rPr>
                <w:rFonts w:ascii="Times New Roman" w:cs="Times New Roman" w:eastAsia="Times New Roman" w:hAnsi="Times New Roman"/>
                <w:vertAlign w:val="superscript"/>
              </w:rPr>
            </w:pPr>
            <w:r w:rsidDel="00000000" w:rsidR="00000000" w:rsidRPr="00000000">
              <w:rPr>
                <w:rFonts w:ascii="Times New Roman" w:cs="Times New Roman" w:eastAsia="Times New Roman" w:hAnsi="Times New Roman"/>
                <w:rtl w:val="0"/>
              </w:rPr>
              <w:t xml:space="preserve">4,3×10</w:t>
            </w:r>
            <w:r w:rsidDel="00000000" w:rsidR="00000000" w:rsidRPr="00000000">
              <w:rPr>
                <w:rFonts w:ascii="Times New Roman" w:cs="Times New Roman" w:eastAsia="Times New Roman" w:hAnsi="Times New Roman"/>
                <w:vertAlign w:val="superscript"/>
                <w:rtl w:val="0"/>
              </w:rPr>
              <w:t xml:space="preserve">6</w:t>
            </w:r>
          </w:p>
        </w:tc>
        <w:tc>
          <w:tcPr>
            <w:tcBorders>
              <w:left w:color="000000" w:space="0" w:sz="0" w:val="nil"/>
              <w:bottom w:color="000000" w:space="0" w:sz="0" w:val="nil"/>
            </w:tcBorders>
          </w:tcPr>
          <w:p w:rsidR="00000000" w:rsidDel="00000000" w:rsidP="00000000" w:rsidRDefault="00000000" w:rsidRPr="00000000" w14:paraId="0000006A">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1,8 × 10⁶</w:t>
            </w:r>
          </w:p>
        </w:tc>
        <w:tc>
          <w:tcPr>
            <w:tcBorders>
              <w:bottom w:color="000000" w:space="0" w:sz="0" w:val="nil"/>
              <w:right w:color="000000" w:space="0" w:sz="0" w:val="nil"/>
            </w:tcBorders>
          </w:tcPr>
          <w:p w:rsidR="00000000" w:rsidDel="00000000" w:rsidP="00000000" w:rsidRDefault="00000000" w:rsidRPr="00000000" w14:paraId="0000006B">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9,0 × 10⁶</w:t>
            </w:r>
          </w:p>
        </w:tc>
        <w:tc>
          <w:tcPr>
            <w:tcBorders>
              <w:left w:color="000000" w:space="0" w:sz="0" w:val="nil"/>
              <w:bottom w:color="000000" w:space="0" w:sz="0" w:val="nil"/>
              <w:right w:color="000000" w:space="0" w:sz="0" w:val="nil"/>
            </w:tcBorders>
          </w:tcPr>
          <w:p w:rsidR="00000000" w:rsidDel="00000000" w:rsidP="00000000" w:rsidRDefault="00000000" w:rsidRPr="00000000" w14:paraId="0000006C">
            <w:pPr>
              <w:widowControl w:val="0"/>
              <w:spacing w:after="0" w:line="240" w:lineRule="auto"/>
              <w:jc w:val="center"/>
              <w:rPr>
                <w:rFonts w:ascii="Times New Roman" w:cs="Times New Roman" w:eastAsia="Times New Roman" w:hAnsi="Times New Roman"/>
                <w:vertAlign w:val="superscript"/>
              </w:rPr>
            </w:pPr>
            <w:r w:rsidDel="00000000" w:rsidR="00000000" w:rsidRPr="00000000">
              <w:rPr>
                <w:rFonts w:ascii="Times New Roman" w:cs="Times New Roman" w:eastAsia="Times New Roman" w:hAnsi="Times New Roman"/>
                <w:rtl w:val="0"/>
              </w:rPr>
              <w:t xml:space="preserve">1,2×10</w:t>
            </w:r>
            <w:r w:rsidDel="00000000" w:rsidR="00000000" w:rsidRPr="00000000">
              <w:rPr>
                <w:rFonts w:ascii="Times New Roman" w:cs="Times New Roman" w:eastAsia="Times New Roman" w:hAnsi="Times New Roman"/>
                <w:vertAlign w:val="superscript"/>
                <w:rtl w:val="0"/>
              </w:rPr>
              <w:t xml:space="preserve">7</w:t>
            </w:r>
          </w:p>
        </w:tc>
        <w:tc>
          <w:tcPr>
            <w:tcBorders>
              <w:left w:color="000000" w:space="0" w:sz="0" w:val="nil"/>
              <w:bottom w:color="000000" w:space="0" w:sz="0" w:val="nil"/>
              <w:right w:color="000000" w:space="0" w:sz="0" w:val="nil"/>
            </w:tcBorders>
          </w:tcPr>
          <w:p w:rsidR="00000000" w:rsidDel="00000000" w:rsidP="00000000" w:rsidRDefault="00000000" w:rsidRPr="00000000" w14:paraId="0000006D">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2,0 × 10⁶</w:t>
            </w:r>
          </w:p>
        </w:tc>
      </w:tr>
      <w:tr>
        <w:trPr>
          <w:cantSplit w:val="0"/>
          <w:trHeight w:val="425" w:hRule="atLeast"/>
          <w:tblHeader w:val="0"/>
        </w:trPr>
        <w:tc>
          <w:tcPr>
            <w:tcBorders>
              <w:top w:color="000000" w:space="0" w:sz="0" w:val="nil"/>
              <w:left w:color="000000" w:space="0" w:sz="0" w:val="nil"/>
              <w:bottom w:color="000000" w:space="0" w:sz="0" w:val="nil"/>
            </w:tcBorders>
          </w:tcPr>
          <w:p w:rsidR="00000000" w:rsidDel="00000000" w:rsidP="00000000" w:rsidRDefault="00000000" w:rsidRPr="00000000" w14:paraId="0000006E">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BDA</w:t>
            </w:r>
          </w:p>
        </w:tc>
        <w:tc>
          <w:tcPr>
            <w:tcBorders>
              <w:top w:color="000000" w:space="0" w:sz="0" w:val="nil"/>
              <w:bottom w:color="000000" w:space="0" w:sz="0" w:val="nil"/>
            </w:tcBorders>
          </w:tcPr>
          <w:p w:rsidR="00000000" w:rsidDel="00000000" w:rsidP="00000000" w:rsidRDefault="00000000" w:rsidRPr="00000000" w14:paraId="0000006F">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NE</w:t>
            </w:r>
          </w:p>
        </w:tc>
        <w:tc>
          <w:tcPr>
            <w:tcBorders>
              <w:top w:color="000000" w:space="0" w:sz="0" w:val="nil"/>
              <w:bottom w:color="000000" w:space="0" w:sz="0" w:val="nil"/>
              <w:right w:color="000000" w:space="0" w:sz="0" w:val="nil"/>
            </w:tcBorders>
          </w:tcPr>
          <w:p w:rsidR="00000000" w:rsidDel="00000000" w:rsidP="00000000" w:rsidRDefault="00000000" w:rsidRPr="00000000" w14:paraId="00000070">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1,7 × 10⁶</w:t>
            </w:r>
          </w:p>
        </w:tc>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071">
            <w:pPr>
              <w:widowControl w:val="0"/>
              <w:spacing w:after="0" w:line="240" w:lineRule="auto"/>
              <w:jc w:val="center"/>
              <w:rPr>
                <w:rFonts w:ascii="Times New Roman" w:cs="Times New Roman" w:eastAsia="Times New Roman" w:hAnsi="Times New Roman"/>
                <w:vertAlign w:val="superscript"/>
              </w:rPr>
            </w:pPr>
            <w:r w:rsidDel="00000000" w:rsidR="00000000" w:rsidRPr="00000000">
              <w:rPr>
                <w:rFonts w:ascii="Times New Roman" w:cs="Times New Roman" w:eastAsia="Times New Roman" w:hAnsi="Times New Roman"/>
                <w:rtl w:val="0"/>
              </w:rPr>
              <w:t xml:space="preserve">4,2×10</w:t>
            </w:r>
            <w:r w:rsidDel="00000000" w:rsidR="00000000" w:rsidRPr="00000000">
              <w:rPr>
                <w:rFonts w:ascii="Times New Roman" w:cs="Times New Roman" w:eastAsia="Times New Roman" w:hAnsi="Times New Roman"/>
                <w:vertAlign w:val="superscript"/>
                <w:rtl w:val="0"/>
              </w:rPr>
              <w:t xml:space="preserve">6</w:t>
            </w:r>
          </w:p>
        </w:tc>
        <w:tc>
          <w:tcPr>
            <w:tcBorders>
              <w:top w:color="000000" w:space="0" w:sz="0" w:val="nil"/>
              <w:left w:color="000000" w:space="0" w:sz="0" w:val="nil"/>
              <w:bottom w:color="000000" w:space="0" w:sz="0" w:val="nil"/>
            </w:tcBorders>
          </w:tcPr>
          <w:p w:rsidR="00000000" w:rsidDel="00000000" w:rsidP="00000000" w:rsidRDefault="00000000" w:rsidRPr="00000000" w14:paraId="00000072">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8,0 × 10⁵</w:t>
            </w:r>
          </w:p>
        </w:tc>
        <w:tc>
          <w:tcPr>
            <w:tcBorders>
              <w:top w:color="000000" w:space="0" w:sz="0" w:val="nil"/>
              <w:bottom w:color="000000" w:space="0" w:sz="0" w:val="nil"/>
              <w:right w:color="000000" w:space="0" w:sz="0" w:val="nil"/>
            </w:tcBorders>
          </w:tcPr>
          <w:p w:rsidR="00000000" w:rsidDel="00000000" w:rsidP="00000000" w:rsidRDefault="00000000" w:rsidRPr="00000000" w14:paraId="00000073">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4,0 × 10⁶</w:t>
            </w:r>
          </w:p>
        </w:tc>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074">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2,0 × 10⁶</w:t>
            </w:r>
          </w:p>
        </w:tc>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075">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NE</w:t>
            </w:r>
          </w:p>
        </w:tc>
      </w:tr>
      <w:tr>
        <w:trPr>
          <w:cantSplit w:val="0"/>
          <w:trHeight w:val="255" w:hRule="atLeast"/>
          <w:tblHeader w:val="0"/>
        </w:trPr>
        <w:tc>
          <w:tcPr>
            <w:tcBorders>
              <w:top w:color="000000" w:space="0" w:sz="0" w:val="nil"/>
              <w:left w:color="000000" w:space="0" w:sz="0" w:val="nil"/>
            </w:tcBorders>
          </w:tcPr>
          <w:p w:rsidR="00000000" w:rsidDel="00000000" w:rsidP="00000000" w:rsidRDefault="00000000" w:rsidRPr="00000000" w14:paraId="00000076">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NYDA</w:t>
            </w:r>
          </w:p>
        </w:tc>
        <w:tc>
          <w:tcPr>
            <w:tcBorders>
              <w:top w:color="000000" w:space="0" w:sz="0" w:val="nil"/>
            </w:tcBorders>
          </w:tcPr>
          <w:p w:rsidR="00000000" w:rsidDel="00000000" w:rsidP="00000000" w:rsidRDefault="00000000" w:rsidRPr="00000000" w14:paraId="00000077">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5,0 × 10²</w:t>
            </w:r>
          </w:p>
        </w:tc>
        <w:tc>
          <w:tcPr>
            <w:tcBorders>
              <w:top w:color="000000" w:space="0" w:sz="0" w:val="nil"/>
              <w:right w:color="000000" w:space="0" w:sz="0" w:val="nil"/>
            </w:tcBorders>
          </w:tcPr>
          <w:p w:rsidR="00000000" w:rsidDel="00000000" w:rsidP="00000000" w:rsidRDefault="00000000" w:rsidRPr="00000000" w14:paraId="00000078">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2,0×10</w:t>
            </w:r>
            <w:r w:rsidDel="00000000" w:rsidR="00000000" w:rsidRPr="00000000">
              <w:rPr>
                <w:rFonts w:ascii="Times New Roman" w:cs="Times New Roman" w:eastAsia="Times New Roman" w:hAnsi="Times New Roman"/>
                <w:vertAlign w:val="superscript"/>
                <w:rtl w:val="0"/>
              </w:rPr>
              <w:t xml:space="preserve">5</w:t>
            </w:r>
            <w:r w:rsidDel="00000000" w:rsidR="00000000" w:rsidRPr="00000000">
              <w:rPr>
                <w:rtl w:val="0"/>
              </w:rPr>
            </w:r>
          </w:p>
        </w:tc>
        <w:tc>
          <w:tcPr>
            <w:tcBorders>
              <w:top w:color="000000" w:space="0" w:sz="0" w:val="nil"/>
              <w:left w:color="000000" w:space="0" w:sz="0" w:val="nil"/>
              <w:right w:color="000000" w:space="0" w:sz="0" w:val="nil"/>
            </w:tcBorders>
          </w:tcPr>
          <w:p w:rsidR="00000000" w:rsidDel="00000000" w:rsidP="00000000" w:rsidRDefault="00000000" w:rsidRPr="00000000" w14:paraId="00000079">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1,3 × 10⁶</w:t>
            </w:r>
          </w:p>
        </w:tc>
        <w:tc>
          <w:tcPr>
            <w:tcBorders>
              <w:top w:color="000000" w:space="0" w:sz="0" w:val="nil"/>
              <w:left w:color="000000" w:space="0" w:sz="0" w:val="nil"/>
            </w:tcBorders>
          </w:tcPr>
          <w:p w:rsidR="00000000" w:rsidDel="00000000" w:rsidP="00000000" w:rsidRDefault="00000000" w:rsidRPr="00000000" w14:paraId="0000007A">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NE</w:t>
            </w:r>
          </w:p>
        </w:tc>
        <w:tc>
          <w:tcPr>
            <w:tcBorders>
              <w:top w:color="000000" w:space="0" w:sz="0" w:val="nil"/>
              <w:right w:color="000000" w:space="0" w:sz="0" w:val="nil"/>
            </w:tcBorders>
          </w:tcPr>
          <w:p w:rsidR="00000000" w:rsidDel="00000000" w:rsidP="00000000" w:rsidRDefault="00000000" w:rsidRPr="00000000" w14:paraId="0000007B">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2,0 × 10⁶</w:t>
            </w:r>
          </w:p>
        </w:tc>
        <w:tc>
          <w:tcPr>
            <w:tcBorders>
              <w:top w:color="000000" w:space="0" w:sz="0" w:val="nil"/>
              <w:left w:color="000000" w:space="0" w:sz="0" w:val="nil"/>
              <w:right w:color="000000" w:space="0" w:sz="0" w:val="nil"/>
            </w:tcBorders>
          </w:tcPr>
          <w:p w:rsidR="00000000" w:rsidDel="00000000" w:rsidP="00000000" w:rsidRDefault="00000000" w:rsidRPr="00000000" w14:paraId="0000007C">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8,0 × 10⁶</w:t>
            </w:r>
          </w:p>
        </w:tc>
        <w:tc>
          <w:tcPr>
            <w:tcBorders>
              <w:top w:color="000000" w:space="0" w:sz="0" w:val="nil"/>
              <w:left w:color="000000" w:space="0" w:sz="0" w:val="nil"/>
              <w:right w:color="000000" w:space="0" w:sz="0" w:val="nil"/>
            </w:tcBorders>
          </w:tcPr>
          <w:p w:rsidR="00000000" w:rsidDel="00000000" w:rsidP="00000000" w:rsidRDefault="00000000" w:rsidRPr="00000000" w14:paraId="0000007D">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9,0 × 10⁶</w:t>
            </w:r>
          </w:p>
        </w:tc>
      </w:tr>
    </w:tbl>
    <w:p w:rsidR="00000000" w:rsidDel="00000000" w:rsidP="00000000" w:rsidRDefault="00000000" w:rsidRPr="00000000" w14:paraId="0000007E">
      <w:pPr>
        <w:spacing w:after="20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rtl w:val="0"/>
        </w:rPr>
        <w:t xml:space="preserve">Fonte: Autores, 2025.</w:t>
      </w:r>
      <w:r w:rsidDel="00000000" w:rsidR="00000000" w:rsidRPr="00000000">
        <w:rPr>
          <w:rtl w:val="0"/>
        </w:rPr>
      </w:r>
    </w:p>
    <w:p w:rsidR="00000000" w:rsidDel="00000000" w:rsidP="00000000" w:rsidRDefault="00000000" w:rsidRPr="00000000" w14:paraId="0000007F">
      <w:pPr>
        <w:spacing w:after="0" w:line="360" w:lineRule="auto"/>
        <w:ind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Esse padrão é consistente com Silva </w:t>
      </w:r>
      <w:r w:rsidDel="00000000" w:rsidR="00000000" w:rsidRPr="00000000">
        <w:rPr>
          <w:rFonts w:ascii="Times New Roman" w:cs="Times New Roman" w:eastAsia="Times New Roman" w:hAnsi="Times New Roman"/>
          <w:i w:val="1"/>
          <w:iCs w:val="1"/>
          <w:sz w:val="24"/>
          <w:szCs w:val="24"/>
          <w:rtl w:val="0"/>
        </w:rPr>
        <w:t xml:space="preserve">et al.</w:t>
      </w:r>
      <w:r w:rsidDel="00000000" w:rsidR="00000000" w:rsidRPr="00000000">
        <w:rPr>
          <w:rFonts w:ascii="Times New Roman" w:cs="Times New Roman" w:eastAsia="Times New Roman" w:hAnsi="Times New Roman"/>
          <w:sz w:val="24"/>
          <w:szCs w:val="24"/>
          <w:rtl w:val="0"/>
        </w:rPr>
        <w:t xml:space="preserve"> (2023), que relataram alta densidade bacteriana em solos de bananeira sob manejo orgânico, atribuída ao acúmulo de resíduos ricos em carbono e à manutenção de microclima úmido favorecido pela cobertura vegetal, fatores que promovem a proliferação microbiana.</w:t>
      </w:r>
    </w:p>
    <w:p w:rsidR="00000000" w:rsidDel="00000000" w:rsidP="00000000" w:rsidRDefault="00000000" w:rsidRPr="00000000" w14:paraId="00000080">
      <w:pPr>
        <w:spacing w:after="0" w:line="360" w:lineRule="auto"/>
        <w:ind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Por outro lado, nos solos associados à </w:t>
      </w:r>
      <w:r w:rsidDel="00000000" w:rsidR="00000000" w:rsidRPr="00000000">
        <w:rPr>
          <w:rFonts w:ascii="Times New Roman" w:cs="Times New Roman" w:eastAsia="Times New Roman" w:hAnsi="Times New Roman"/>
          <w:i w:val="1"/>
          <w:iCs w:val="1"/>
          <w:sz w:val="24"/>
          <w:szCs w:val="24"/>
          <w:rtl w:val="0"/>
        </w:rPr>
        <w:t xml:space="preserve">Ceiba pentandra, </w:t>
      </w:r>
      <w:r w:rsidDel="00000000" w:rsidR="00000000" w:rsidRPr="00000000">
        <w:rPr>
          <w:rFonts w:ascii="Times New Roman" w:cs="Times New Roman" w:eastAsia="Times New Roman" w:hAnsi="Times New Roman"/>
          <w:sz w:val="24"/>
          <w:szCs w:val="24"/>
          <w:rtl w:val="0"/>
        </w:rPr>
        <w:t xml:space="preserve">observou-se expressiva diversidade microbiana em todos os meios de cultura empregados, conforme evidenciado na Figura 3. </w:t>
      </w:r>
    </w:p>
    <w:p w:rsidR="00000000" w:rsidDel="00000000" w:rsidP="00000000" w:rsidRDefault="00000000" w:rsidRPr="00000000" w14:paraId="00000081">
      <w:pPr>
        <w:spacing w:after="0" w:line="240" w:lineRule="auto"/>
        <w:jc w:val="center"/>
        <w:rPr/>
      </w:pPr>
      <w:r w:rsidDel="00000000" w:rsidR="00000000" w:rsidRPr="00000000">
        <w:rPr>
          <w:rFonts w:ascii="Times New Roman" w:cs="Times New Roman" w:eastAsia="Times New Roman" w:hAnsi="Times New Roman"/>
          <w:rtl w:val="0"/>
        </w:rPr>
        <w:t xml:space="preserve">Figura 3 – Placas com microrganismos em diferentes concentrações e meios de cultura, oriundos do solo da rizosfera de </w:t>
      </w:r>
      <w:r w:rsidDel="00000000" w:rsidR="00000000" w:rsidRPr="00000000">
        <w:rPr>
          <w:rFonts w:ascii="Times New Roman" w:cs="Times New Roman" w:eastAsia="Times New Roman" w:hAnsi="Times New Roman"/>
          <w:i w:val="1"/>
          <w:iCs w:val="1"/>
          <w:rtl w:val="0"/>
        </w:rPr>
        <w:t xml:space="preserve">Ceiba pentandra.</w:t>
      </w:r>
      <w:r w:rsidDel="00000000" w:rsidR="00000000" w:rsidRPr="00000000">
        <w:rPr>
          <w:rtl w:val="0"/>
        </w:rPr>
      </w:r>
    </w:p>
    <w:p w:rsidR="00000000" w:rsidDel="00000000" w:rsidP="00000000" w:rsidRDefault="00000000" w:rsidRPr="00000000" w14:paraId="00000082">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506625" cy="1528311"/>
            <wp:effectExtent b="0" l="0" r="0" t="0"/>
            <wp:docPr id="14" name="image8.png"/>
            <a:graphic>
              <a:graphicData uri="http://schemas.openxmlformats.org/drawingml/2006/picture">
                <pic:pic>
                  <pic:nvPicPr>
                    <pic:cNvPr id="0" name="image8.png"/>
                    <pic:cNvPicPr preferRelativeResize="0"/>
                  </pic:nvPicPr>
                  <pic:blipFill>
                    <a:blip r:embed="rId10"/>
                    <a:srcRect b="22841" l="0" r="0" t="0"/>
                    <a:stretch>
                      <a:fillRect/>
                    </a:stretch>
                  </pic:blipFill>
                  <pic:spPr>
                    <a:xfrm>
                      <a:off x="0" y="0"/>
                      <a:ext cx="3506625" cy="1528311"/>
                    </a:xfrm>
                    <a:prstGeom prst="rect"/>
                    <a:ln/>
                  </pic:spPr>
                </pic:pic>
              </a:graphicData>
            </a:graphic>
          </wp:inline>
        </w:drawing>
      </w:r>
      <w:r w:rsidDel="00000000" w:rsidR="00000000" w:rsidRPr="00000000">
        <w:rPr>
          <w:rtl w:val="0"/>
        </w:rPr>
      </w:r>
    </w:p>
    <w:p w:rsidR="00000000" w:rsidDel="00000000" w:rsidP="00000000" w:rsidRDefault="00000000" w:rsidRPr="00000000" w14:paraId="00000083">
      <w:pPr>
        <w:spacing w:after="0" w:line="24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Fonte: Autores, 2025.</w:t>
      </w:r>
    </w:p>
    <w:p w:rsidR="00000000" w:rsidDel="00000000" w:rsidP="00000000" w:rsidRDefault="00000000" w:rsidRPr="00000000" w14:paraId="00000084">
      <w:pPr>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85">
      <w:pPr>
        <w:spacing w:after="0" w:line="360" w:lineRule="auto"/>
        <w:ind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Destacou-se o maior número de colônias fúngicas entre todas as amostras analisadas, refletindo a elevada complexidade da rizosfera de </w:t>
      </w:r>
      <w:r w:rsidDel="00000000" w:rsidR="00000000" w:rsidRPr="00000000">
        <w:rPr>
          <w:rFonts w:ascii="Times New Roman" w:cs="Times New Roman" w:eastAsia="Times New Roman" w:hAnsi="Times New Roman"/>
          <w:i w:val="1"/>
          <w:iCs w:val="1"/>
          <w:sz w:val="24"/>
          <w:szCs w:val="24"/>
          <w:rtl w:val="0"/>
        </w:rPr>
        <w:t xml:space="preserve">C. pentandra</w:t>
      </w:r>
      <w:r w:rsidDel="00000000" w:rsidR="00000000" w:rsidRPr="00000000">
        <w:rPr>
          <w:rFonts w:ascii="Times New Roman" w:cs="Times New Roman" w:eastAsia="Times New Roman" w:hAnsi="Times New Roman"/>
          <w:sz w:val="24"/>
          <w:szCs w:val="24"/>
          <w:rtl w:val="0"/>
        </w:rPr>
        <w:t xml:space="preserve">. As contagens foram inviáveis (NE) nas diluições de 10⁻¹ a 10⁻⁴, indicando intensa atividade microbiana e elevada abundância de organismos nesse ambiente (Tabela 2). Este comportamento é similar ao relatado por Lucas </w:t>
      </w:r>
      <w:r w:rsidDel="00000000" w:rsidR="00000000" w:rsidRPr="00000000">
        <w:rPr>
          <w:rFonts w:ascii="Times New Roman" w:cs="Times New Roman" w:eastAsia="Times New Roman" w:hAnsi="Times New Roman"/>
          <w:i w:val="1"/>
          <w:iCs w:val="1"/>
          <w:sz w:val="24"/>
          <w:szCs w:val="24"/>
          <w:rtl w:val="0"/>
        </w:rPr>
        <w:t xml:space="preserve">et al.</w:t>
      </w:r>
      <w:r w:rsidDel="00000000" w:rsidR="00000000" w:rsidRPr="00000000">
        <w:rPr>
          <w:rFonts w:ascii="Times New Roman" w:cs="Times New Roman" w:eastAsia="Times New Roman" w:hAnsi="Times New Roman"/>
          <w:sz w:val="24"/>
          <w:szCs w:val="24"/>
          <w:rtl w:val="0"/>
        </w:rPr>
        <w:t xml:space="preserve"> (2018), que observaram que solos com alta densidade microbiana inviabilizam a quantificação precisa de unidades formadoras de colônias, especialmente em diluições menos concentradas.</w:t>
      </w:r>
    </w:p>
    <w:p w:rsidR="00000000" w:rsidDel="00000000" w:rsidP="00000000" w:rsidRDefault="00000000" w:rsidRPr="00000000" w14:paraId="00000086">
      <w:pPr>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87">
      <w:pPr>
        <w:spacing w:after="0" w:line="24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Tabela 2 –</w:t>
      </w:r>
      <w:r w:rsidDel="00000000" w:rsidR="00000000" w:rsidRPr="00000000">
        <w:rPr>
          <w:rFonts w:ascii="Times New Roman" w:cs="Times New Roman" w:eastAsia="Times New Roman" w:hAnsi="Times New Roman"/>
          <w:b w:val="1"/>
          <w:bCs w:val="1"/>
          <w:rtl w:val="0"/>
        </w:rPr>
        <w:t xml:space="preserve"> </w:t>
      </w:r>
      <w:r w:rsidDel="00000000" w:rsidR="00000000" w:rsidRPr="00000000">
        <w:rPr>
          <w:rFonts w:ascii="Times New Roman" w:cs="Times New Roman" w:eastAsia="Times New Roman" w:hAnsi="Times New Roman"/>
          <w:rtl w:val="0"/>
        </w:rPr>
        <w:t xml:space="preserve">Contagem de colônias prospectadas em diferentes meios de cultura, obtidas do processo de diluição seriada dos solos de </w:t>
      </w:r>
      <w:r w:rsidDel="00000000" w:rsidR="00000000" w:rsidRPr="00000000">
        <w:rPr>
          <w:rFonts w:ascii="Times New Roman" w:cs="Times New Roman" w:eastAsia="Times New Roman" w:hAnsi="Times New Roman"/>
          <w:i w:val="1"/>
          <w:iCs w:val="1"/>
          <w:rtl w:val="0"/>
        </w:rPr>
        <w:t xml:space="preserve">Ceiba pentandra</w:t>
      </w:r>
      <w:r w:rsidDel="00000000" w:rsidR="00000000" w:rsidRPr="00000000">
        <w:rPr>
          <w:rFonts w:ascii="Times New Roman" w:cs="Times New Roman" w:eastAsia="Times New Roman" w:hAnsi="Times New Roman"/>
          <w:rtl w:val="0"/>
        </w:rPr>
        <w:t xml:space="preserve">, coletados do Sítio Agroecológico Tolú. NE: Número Excessivo de colônias, o que torna impossivel a contagem. </w:t>
      </w:r>
    </w:p>
    <w:tbl>
      <w:tblPr>
        <w:tblStyle w:val="Table3"/>
        <w:tblpPr w:leftFromText="180" w:rightFromText="180" w:topFromText="180" w:bottomFromText="180" w:vertAnchor="text" w:horzAnchor="text" w:tblpX="-395" w:tblpY="0"/>
        <w:tblW w:w="951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35"/>
        <w:gridCol w:w="990"/>
        <w:gridCol w:w="1260"/>
        <w:gridCol w:w="960"/>
        <w:gridCol w:w="1035"/>
        <w:gridCol w:w="1140"/>
        <w:gridCol w:w="1050"/>
        <w:gridCol w:w="1140"/>
        <w:tblGridChange w:id="0">
          <w:tblGrid>
            <w:gridCol w:w="1935"/>
            <w:gridCol w:w="990"/>
            <w:gridCol w:w="1260"/>
            <w:gridCol w:w="960"/>
            <w:gridCol w:w="1035"/>
            <w:gridCol w:w="1140"/>
            <w:gridCol w:w="1050"/>
            <w:gridCol w:w="1140"/>
          </w:tblGrid>
        </w:tblGridChange>
      </w:tblGrid>
      <w:tr>
        <w:trPr>
          <w:cantSplit w:val="0"/>
          <w:trHeight w:val="312" w:hRule="atLeast"/>
          <w:tblHeader w:val="0"/>
        </w:trPr>
        <w:tc>
          <w:tcPr>
            <w:gridSpan w:val="8"/>
            <w:tcBorders>
              <w:top w:color="000000" w:space="0" w:sz="12" w:val="single"/>
              <w:left w:color="000000" w:space="0" w:sz="0" w:val="nil"/>
              <w:bottom w:color="000000" w:space="0" w:sz="12" w:val="single"/>
            </w:tcBorders>
          </w:tcPr>
          <w:p w:rsidR="00000000" w:rsidDel="00000000" w:rsidP="00000000" w:rsidRDefault="00000000" w:rsidRPr="00000000" w14:paraId="00000088">
            <w:pPr>
              <w:widowControl w:val="0"/>
              <w:spacing w:after="0" w:line="240" w:lineRule="auto"/>
              <w:jc w:val="center"/>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b w:val="1"/>
                <w:bCs w:val="1"/>
                <w:rtl w:val="0"/>
              </w:rPr>
              <w:t xml:space="preserve">Quantidade de colônias obtidas da rizosfera de </w:t>
            </w:r>
            <w:r w:rsidDel="00000000" w:rsidR="00000000" w:rsidRPr="00000000">
              <w:rPr>
                <w:rFonts w:ascii="Times New Roman" w:cs="Times New Roman" w:eastAsia="Times New Roman" w:hAnsi="Times New Roman"/>
                <w:b w:val="1"/>
                <w:bCs w:val="1"/>
                <w:i w:val="1"/>
                <w:iCs w:val="1"/>
                <w:rtl w:val="0"/>
              </w:rPr>
              <w:t xml:space="preserve">Ceiba pentandra (L.) Gaerth </w:t>
            </w:r>
            <w:r w:rsidDel="00000000" w:rsidR="00000000" w:rsidRPr="00000000">
              <w:rPr>
                <w:rFonts w:ascii="Times New Roman" w:cs="Times New Roman" w:eastAsia="Times New Roman" w:hAnsi="Times New Roman"/>
                <w:b w:val="1"/>
                <w:bCs w:val="1"/>
                <w:rtl w:val="0"/>
              </w:rPr>
              <w:t xml:space="preserve">(Sumaúma).</w:t>
            </w:r>
          </w:p>
        </w:tc>
      </w:tr>
      <w:tr>
        <w:trPr>
          <w:cantSplit w:val="0"/>
          <w:trHeight w:val="420" w:hRule="atLeast"/>
          <w:tblHeader w:val="0"/>
        </w:trPr>
        <w:tc>
          <w:tcPr>
            <w:tcBorders>
              <w:top w:color="000000" w:space="0" w:sz="12" w:val="single"/>
              <w:left w:color="000000" w:space="0" w:sz="0" w:val="nil"/>
            </w:tcBorders>
          </w:tcPr>
          <w:p w:rsidR="00000000" w:rsidDel="00000000" w:rsidP="00000000" w:rsidRDefault="00000000" w:rsidRPr="00000000" w14:paraId="00000090">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Meios de cultura</w:t>
            </w:r>
          </w:p>
        </w:tc>
        <w:tc>
          <w:tcPr>
            <w:tcBorders>
              <w:top w:color="000000" w:space="0" w:sz="12" w:val="single"/>
            </w:tcBorders>
          </w:tcPr>
          <w:p w:rsidR="00000000" w:rsidDel="00000000" w:rsidP="00000000" w:rsidRDefault="00000000" w:rsidRPr="00000000" w14:paraId="00000091">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C10</w:t>
            </w:r>
            <w:r w:rsidDel="00000000" w:rsidR="00000000" w:rsidRPr="00000000">
              <w:rPr>
                <w:rFonts w:ascii="Times New Roman" w:cs="Times New Roman" w:eastAsia="Times New Roman" w:hAnsi="Times New Roman"/>
                <w:vertAlign w:val="superscript"/>
                <w:rtl w:val="0"/>
              </w:rPr>
              <w:t xml:space="preserve">-1</w:t>
            </w:r>
            <w:r w:rsidDel="00000000" w:rsidR="00000000" w:rsidRPr="00000000">
              <w:rPr>
                <w:rtl w:val="0"/>
              </w:rPr>
            </w:r>
          </w:p>
        </w:tc>
        <w:tc>
          <w:tcPr>
            <w:gridSpan w:val="3"/>
            <w:tcBorders>
              <w:top w:color="000000" w:space="0" w:sz="12" w:val="single"/>
            </w:tcBorders>
          </w:tcPr>
          <w:p w:rsidR="00000000" w:rsidDel="00000000" w:rsidP="00000000" w:rsidRDefault="00000000" w:rsidRPr="00000000" w14:paraId="00000092">
            <w:pPr>
              <w:widowControl w:val="0"/>
              <w:spacing w:after="0" w:line="240" w:lineRule="auto"/>
              <w:jc w:val="center"/>
              <w:rPr>
                <w:rFonts w:ascii="Times New Roman" w:cs="Times New Roman" w:eastAsia="Times New Roman" w:hAnsi="Times New Roman"/>
                <w:vertAlign w:val="superscript"/>
              </w:rPr>
            </w:pPr>
            <w:r w:rsidDel="00000000" w:rsidR="00000000" w:rsidRPr="00000000">
              <w:rPr>
                <w:rFonts w:ascii="Times New Roman" w:cs="Times New Roman" w:eastAsia="Times New Roman" w:hAnsi="Times New Roman"/>
                <w:rtl w:val="0"/>
              </w:rPr>
              <w:t xml:space="preserve">C 10</w:t>
            </w:r>
            <w:r w:rsidDel="00000000" w:rsidR="00000000" w:rsidRPr="00000000">
              <w:rPr>
                <w:rFonts w:ascii="Times New Roman" w:cs="Times New Roman" w:eastAsia="Times New Roman" w:hAnsi="Times New Roman"/>
                <w:vertAlign w:val="superscript"/>
                <w:rtl w:val="0"/>
              </w:rPr>
              <w:t xml:space="preserve">-4</w:t>
            </w:r>
          </w:p>
        </w:tc>
        <w:tc>
          <w:tcPr>
            <w:gridSpan w:val="3"/>
            <w:tcBorders>
              <w:top w:color="000000" w:space="0" w:sz="12" w:val="single"/>
            </w:tcBorders>
          </w:tcPr>
          <w:p w:rsidR="00000000" w:rsidDel="00000000" w:rsidP="00000000" w:rsidRDefault="00000000" w:rsidRPr="00000000" w14:paraId="00000095">
            <w:pPr>
              <w:widowControl w:val="0"/>
              <w:spacing w:after="0" w:line="240" w:lineRule="auto"/>
              <w:jc w:val="center"/>
              <w:rPr>
                <w:rFonts w:ascii="Times New Roman" w:cs="Times New Roman" w:eastAsia="Times New Roman" w:hAnsi="Times New Roman"/>
                <w:vertAlign w:val="superscript"/>
              </w:rPr>
            </w:pPr>
            <w:r w:rsidDel="00000000" w:rsidR="00000000" w:rsidRPr="00000000">
              <w:rPr>
                <w:rFonts w:ascii="Times New Roman" w:cs="Times New Roman" w:eastAsia="Times New Roman" w:hAnsi="Times New Roman"/>
                <w:rtl w:val="0"/>
              </w:rPr>
              <w:t xml:space="preserve">C10</w:t>
            </w:r>
            <w:r w:rsidDel="00000000" w:rsidR="00000000" w:rsidRPr="00000000">
              <w:rPr>
                <w:rFonts w:ascii="Times New Roman" w:cs="Times New Roman" w:eastAsia="Times New Roman" w:hAnsi="Times New Roman"/>
                <w:vertAlign w:val="superscript"/>
                <w:rtl w:val="0"/>
              </w:rPr>
              <w:t xml:space="preserve">-5</w:t>
            </w:r>
          </w:p>
        </w:tc>
      </w:tr>
      <w:tr>
        <w:trPr>
          <w:cantSplit w:val="0"/>
          <w:trHeight w:val="440" w:hRule="atLeast"/>
          <w:tblHeader w:val="0"/>
        </w:trPr>
        <w:tc>
          <w:tcPr>
            <w:tcBorders>
              <w:left w:color="000000" w:space="0" w:sz="0" w:val="nil"/>
              <w:bottom w:color="000000" w:space="0" w:sz="0" w:val="nil"/>
            </w:tcBorders>
          </w:tcPr>
          <w:p w:rsidR="00000000" w:rsidDel="00000000" w:rsidP="00000000" w:rsidRDefault="00000000" w:rsidRPr="00000000" w14:paraId="00000098">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PCA</w:t>
            </w:r>
          </w:p>
        </w:tc>
        <w:tc>
          <w:tcPr>
            <w:tcBorders>
              <w:bottom w:color="000000" w:space="0" w:sz="0" w:val="nil"/>
            </w:tcBorders>
          </w:tcPr>
          <w:p w:rsidR="00000000" w:rsidDel="00000000" w:rsidP="00000000" w:rsidRDefault="00000000" w:rsidRPr="00000000" w14:paraId="00000099">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NE</w:t>
            </w:r>
          </w:p>
        </w:tc>
        <w:tc>
          <w:tcPr>
            <w:tcBorders>
              <w:bottom w:color="000000" w:space="0" w:sz="0" w:val="nil"/>
              <w:right w:color="000000" w:space="0" w:sz="0" w:val="nil"/>
            </w:tcBorders>
          </w:tcPr>
          <w:p w:rsidR="00000000" w:rsidDel="00000000" w:rsidP="00000000" w:rsidRDefault="00000000" w:rsidRPr="00000000" w14:paraId="0000009A">
            <w:pPr>
              <w:widowControl w:val="0"/>
              <w:spacing w:after="0" w:line="240" w:lineRule="auto"/>
              <w:jc w:val="center"/>
              <w:rPr>
                <w:rFonts w:ascii="Times New Roman" w:cs="Times New Roman" w:eastAsia="Times New Roman" w:hAnsi="Times New Roman"/>
                <w:vertAlign w:val="superscript"/>
              </w:rPr>
            </w:pPr>
            <w:r w:rsidDel="00000000" w:rsidR="00000000" w:rsidRPr="00000000">
              <w:rPr>
                <w:rFonts w:ascii="Times New Roman" w:cs="Times New Roman" w:eastAsia="Times New Roman" w:hAnsi="Times New Roman"/>
                <w:rtl w:val="0"/>
              </w:rPr>
              <w:t xml:space="preserve">4,0×10</w:t>
            </w:r>
            <w:r w:rsidDel="00000000" w:rsidR="00000000" w:rsidRPr="00000000">
              <w:rPr>
                <w:rFonts w:ascii="Times New Roman" w:cs="Times New Roman" w:eastAsia="Times New Roman" w:hAnsi="Times New Roman"/>
                <w:vertAlign w:val="superscript"/>
                <w:rtl w:val="0"/>
              </w:rPr>
              <w:t xml:space="preserve">5</w:t>
            </w:r>
          </w:p>
        </w:tc>
        <w:tc>
          <w:tcPr>
            <w:tcBorders>
              <w:left w:color="000000" w:space="0" w:sz="0" w:val="nil"/>
              <w:bottom w:color="000000" w:space="0" w:sz="0" w:val="nil"/>
              <w:right w:color="000000" w:space="0" w:sz="0" w:val="nil"/>
            </w:tcBorders>
          </w:tcPr>
          <w:p w:rsidR="00000000" w:rsidDel="00000000" w:rsidP="00000000" w:rsidRDefault="00000000" w:rsidRPr="00000000" w14:paraId="0000009B">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NE</w:t>
            </w:r>
          </w:p>
        </w:tc>
        <w:tc>
          <w:tcPr>
            <w:tcBorders>
              <w:left w:color="000000" w:space="0" w:sz="0" w:val="nil"/>
              <w:bottom w:color="000000" w:space="0" w:sz="0" w:val="nil"/>
            </w:tcBorders>
          </w:tcPr>
          <w:p w:rsidR="00000000" w:rsidDel="00000000" w:rsidP="00000000" w:rsidRDefault="00000000" w:rsidRPr="00000000" w14:paraId="0000009C">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5,0 × 10</w:t>
            </w:r>
            <w:r w:rsidDel="00000000" w:rsidR="00000000" w:rsidRPr="00000000">
              <w:rPr>
                <w:rFonts w:ascii="Times New Roman" w:cs="Times New Roman" w:eastAsia="Times New Roman" w:hAnsi="Times New Roman"/>
                <w:vertAlign w:val="superscript"/>
                <w:rtl w:val="0"/>
              </w:rPr>
              <w:t xml:space="preserve">5</w:t>
            </w:r>
            <w:r w:rsidDel="00000000" w:rsidR="00000000" w:rsidRPr="00000000">
              <w:rPr>
                <w:rtl w:val="0"/>
              </w:rPr>
            </w:r>
          </w:p>
        </w:tc>
        <w:tc>
          <w:tcPr>
            <w:tcBorders>
              <w:bottom w:color="000000" w:space="0" w:sz="0" w:val="nil"/>
              <w:right w:color="000000" w:space="0" w:sz="0" w:val="nil"/>
            </w:tcBorders>
          </w:tcPr>
          <w:p w:rsidR="00000000" w:rsidDel="00000000" w:rsidP="00000000" w:rsidRDefault="00000000" w:rsidRPr="00000000" w14:paraId="0000009D">
            <w:pPr>
              <w:widowControl w:val="0"/>
              <w:spacing w:after="0" w:line="240" w:lineRule="auto"/>
              <w:jc w:val="center"/>
              <w:rPr>
                <w:rFonts w:ascii="Times New Roman" w:cs="Times New Roman" w:eastAsia="Times New Roman" w:hAnsi="Times New Roman"/>
                <w:vertAlign w:val="superscript"/>
              </w:rPr>
            </w:pPr>
            <w:r w:rsidDel="00000000" w:rsidR="00000000" w:rsidRPr="00000000">
              <w:rPr>
                <w:rFonts w:ascii="Times New Roman" w:cs="Times New Roman" w:eastAsia="Times New Roman" w:hAnsi="Times New Roman"/>
                <w:rtl w:val="0"/>
              </w:rPr>
              <w:t xml:space="preserve">1,0×10</w:t>
            </w:r>
            <w:r w:rsidDel="00000000" w:rsidR="00000000" w:rsidRPr="00000000">
              <w:rPr>
                <w:rFonts w:ascii="Times New Roman" w:cs="Times New Roman" w:eastAsia="Times New Roman" w:hAnsi="Times New Roman"/>
                <w:vertAlign w:val="superscript"/>
                <w:rtl w:val="0"/>
              </w:rPr>
              <w:t xml:space="preserve">6</w:t>
            </w:r>
          </w:p>
        </w:tc>
        <w:tc>
          <w:tcPr>
            <w:tcBorders>
              <w:left w:color="000000" w:space="0" w:sz="0" w:val="nil"/>
              <w:bottom w:color="000000" w:space="0" w:sz="0" w:val="nil"/>
              <w:right w:color="000000" w:space="0" w:sz="0" w:val="nil"/>
            </w:tcBorders>
          </w:tcPr>
          <w:p w:rsidR="00000000" w:rsidDel="00000000" w:rsidP="00000000" w:rsidRDefault="00000000" w:rsidRPr="00000000" w14:paraId="0000009E">
            <w:pPr>
              <w:widowControl w:val="0"/>
              <w:spacing w:after="0" w:line="240" w:lineRule="auto"/>
              <w:jc w:val="center"/>
              <w:rPr>
                <w:rFonts w:ascii="Times New Roman" w:cs="Times New Roman" w:eastAsia="Times New Roman" w:hAnsi="Times New Roman"/>
                <w:vertAlign w:val="superscript"/>
              </w:rPr>
            </w:pPr>
            <w:r w:rsidDel="00000000" w:rsidR="00000000" w:rsidRPr="00000000">
              <w:rPr>
                <w:rFonts w:ascii="Times New Roman" w:cs="Times New Roman" w:eastAsia="Times New Roman" w:hAnsi="Times New Roman"/>
                <w:rtl w:val="0"/>
              </w:rPr>
              <w:t xml:space="preserve">3,0×10</w:t>
            </w:r>
            <w:r w:rsidDel="00000000" w:rsidR="00000000" w:rsidRPr="00000000">
              <w:rPr>
                <w:rFonts w:ascii="Times New Roman" w:cs="Times New Roman" w:eastAsia="Times New Roman" w:hAnsi="Times New Roman"/>
                <w:vertAlign w:val="superscript"/>
                <w:rtl w:val="0"/>
              </w:rPr>
              <w:t xml:space="preserve">6</w:t>
            </w:r>
          </w:p>
        </w:tc>
        <w:tc>
          <w:tcPr>
            <w:tcBorders>
              <w:left w:color="000000" w:space="0" w:sz="0" w:val="nil"/>
              <w:bottom w:color="000000" w:space="0" w:sz="0" w:val="nil"/>
              <w:right w:color="000000" w:space="0" w:sz="0" w:val="nil"/>
            </w:tcBorders>
          </w:tcPr>
          <w:p w:rsidR="00000000" w:rsidDel="00000000" w:rsidP="00000000" w:rsidRDefault="00000000" w:rsidRPr="00000000" w14:paraId="0000009F">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8,0 × 10⁶</w:t>
            </w:r>
          </w:p>
        </w:tc>
      </w:tr>
      <w:tr>
        <w:trPr>
          <w:cantSplit w:val="0"/>
          <w:trHeight w:val="440" w:hRule="atLeast"/>
          <w:tblHeader w:val="0"/>
        </w:trPr>
        <w:tc>
          <w:tcPr>
            <w:tcBorders>
              <w:top w:color="000000" w:space="0" w:sz="0" w:val="nil"/>
              <w:left w:color="000000" w:space="0" w:sz="0" w:val="nil"/>
              <w:bottom w:color="000000" w:space="0" w:sz="0" w:val="nil"/>
            </w:tcBorders>
          </w:tcPr>
          <w:p w:rsidR="00000000" w:rsidDel="00000000" w:rsidP="00000000" w:rsidRDefault="00000000" w:rsidRPr="00000000" w14:paraId="000000A0">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BDA</w:t>
            </w:r>
          </w:p>
        </w:tc>
        <w:tc>
          <w:tcPr>
            <w:tcBorders>
              <w:top w:color="000000" w:space="0" w:sz="0" w:val="nil"/>
              <w:bottom w:color="000000" w:space="0" w:sz="0" w:val="nil"/>
            </w:tcBorders>
          </w:tcPr>
          <w:p w:rsidR="00000000" w:rsidDel="00000000" w:rsidP="00000000" w:rsidRDefault="00000000" w:rsidRPr="00000000" w14:paraId="000000A1">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1,3×10</w:t>
            </w:r>
            <w:r w:rsidDel="00000000" w:rsidR="00000000" w:rsidRPr="00000000">
              <w:rPr>
                <w:rFonts w:ascii="Times New Roman" w:cs="Times New Roman" w:eastAsia="Times New Roman" w:hAnsi="Times New Roman"/>
                <w:vertAlign w:val="superscript"/>
                <w:rtl w:val="0"/>
              </w:rPr>
              <w:t xml:space="preserve">2</w:t>
            </w:r>
            <w:r w:rsidDel="00000000" w:rsidR="00000000" w:rsidRPr="00000000">
              <w:rPr>
                <w:rtl w:val="0"/>
              </w:rPr>
            </w:r>
          </w:p>
        </w:tc>
        <w:tc>
          <w:tcPr>
            <w:tcBorders>
              <w:top w:color="000000" w:space="0" w:sz="0" w:val="nil"/>
              <w:bottom w:color="000000" w:space="0" w:sz="0" w:val="nil"/>
              <w:right w:color="000000" w:space="0" w:sz="0" w:val="nil"/>
            </w:tcBorders>
          </w:tcPr>
          <w:p w:rsidR="00000000" w:rsidDel="00000000" w:rsidP="00000000" w:rsidRDefault="00000000" w:rsidRPr="00000000" w14:paraId="000000A2">
            <w:pPr>
              <w:widowControl w:val="0"/>
              <w:spacing w:after="0" w:line="240" w:lineRule="auto"/>
              <w:jc w:val="center"/>
              <w:rPr>
                <w:rFonts w:ascii="Times New Roman" w:cs="Times New Roman" w:eastAsia="Times New Roman" w:hAnsi="Times New Roman"/>
                <w:vertAlign w:val="superscript"/>
              </w:rPr>
            </w:pPr>
            <w:r w:rsidDel="00000000" w:rsidR="00000000" w:rsidRPr="00000000">
              <w:rPr>
                <w:rFonts w:ascii="Times New Roman" w:cs="Times New Roman" w:eastAsia="Times New Roman" w:hAnsi="Times New Roman"/>
                <w:rtl w:val="0"/>
              </w:rPr>
              <w:t xml:space="preserve">2,0×10</w:t>
            </w:r>
            <w:r w:rsidDel="00000000" w:rsidR="00000000" w:rsidRPr="00000000">
              <w:rPr>
                <w:rFonts w:ascii="Times New Roman" w:cs="Times New Roman" w:eastAsia="Times New Roman" w:hAnsi="Times New Roman"/>
                <w:vertAlign w:val="superscript"/>
                <w:rtl w:val="0"/>
              </w:rPr>
              <w:t xml:space="preserve">5</w:t>
            </w:r>
          </w:p>
        </w:tc>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0A3">
            <w:pPr>
              <w:widowControl w:val="0"/>
              <w:spacing w:after="0" w:line="240" w:lineRule="auto"/>
              <w:jc w:val="center"/>
              <w:rPr>
                <w:rFonts w:ascii="Times New Roman" w:cs="Times New Roman" w:eastAsia="Times New Roman" w:hAnsi="Times New Roman"/>
                <w:vertAlign w:val="superscript"/>
              </w:rPr>
            </w:pPr>
            <w:r w:rsidDel="00000000" w:rsidR="00000000" w:rsidRPr="00000000">
              <w:rPr>
                <w:rFonts w:ascii="Times New Roman" w:cs="Times New Roman" w:eastAsia="Times New Roman" w:hAnsi="Times New Roman"/>
                <w:rtl w:val="0"/>
              </w:rPr>
              <w:t xml:space="preserve">3,0×10</w:t>
            </w:r>
            <w:r w:rsidDel="00000000" w:rsidR="00000000" w:rsidRPr="00000000">
              <w:rPr>
                <w:rFonts w:ascii="Times New Roman" w:cs="Times New Roman" w:eastAsia="Times New Roman" w:hAnsi="Times New Roman"/>
                <w:vertAlign w:val="superscript"/>
                <w:rtl w:val="0"/>
              </w:rPr>
              <w:t xml:space="preserve">5</w:t>
            </w:r>
          </w:p>
        </w:tc>
        <w:tc>
          <w:tcPr>
            <w:tcBorders>
              <w:top w:color="000000" w:space="0" w:sz="0" w:val="nil"/>
              <w:left w:color="000000" w:space="0" w:sz="0" w:val="nil"/>
              <w:bottom w:color="000000" w:space="0" w:sz="0" w:val="nil"/>
            </w:tcBorders>
          </w:tcPr>
          <w:p w:rsidR="00000000" w:rsidDel="00000000" w:rsidP="00000000" w:rsidRDefault="00000000" w:rsidRPr="00000000" w14:paraId="000000A4">
            <w:pPr>
              <w:widowControl w:val="0"/>
              <w:spacing w:after="0" w:line="240" w:lineRule="auto"/>
              <w:jc w:val="center"/>
              <w:rPr>
                <w:rFonts w:ascii="Times New Roman" w:cs="Times New Roman" w:eastAsia="Times New Roman" w:hAnsi="Times New Roman"/>
                <w:vertAlign w:val="superscript"/>
              </w:rPr>
            </w:pPr>
            <w:r w:rsidDel="00000000" w:rsidR="00000000" w:rsidRPr="00000000">
              <w:rPr>
                <w:rFonts w:ascii="Times New Roman" w:cs="Times New Roman" w:eastAsia="Times New Roman" w:hAnsi="Times New Roman"/>
                <w:rtl w:val="0"/>
              </w:rPr>
              <w:t xml:space="preserve">2,0×10</w:t>
            </w:r>
            <w:r w:rsidDel="00000000" w:rsidR="00000000" w:rsidRPr="00000000">
              <w:rPr>
                <w:rFonts w:ascii="Times New Roman" w:cs="Times New Roman" w:eastAsia="Times New Roman" w:hAnsi="Times New Roman"/>
                <w:vertAlign w:val="superscript"/>
                <w:rtl w:val="0"/>
              </w:rPr>
              <w:t xml:space="preserve">5</w:t>
            </w:r>
          </w:p>
        </w:tc>
        <w:tc>
          <w:tcPr>
            <w:tcBorders>
              <w:top w:color="000000" w:space="0" w:sz="0" w:val="nil"/>
              <w:bottom w:color="000000" w:space="0" w:sz="0" w:val="nil"/>
              <w:right w:color="000000" w:space="0" w:sz="0" w:val="nil"/>
            </w:tcBorders>
          </w:tcPr>
          <w:p w:rsidR="00000000" w:rsidDel="00000000" w:rsidP="00000000" w:rsidRDefault="00000000" w:rsidRPr="00000000" w14:paraId="000000A5">
            <w:pPr>
              <w:widowControl w:val="0"/>
              <w:spacing w:after="0" w:line="240" w:lineRule="auto"/>
              <w:jc w:val="center"/>
              <w:rPr>
                <w:rFonts w:ascii="Times New Roman" w:cs="Times New Roman" w:eastAsia="Times New Roman" w:hAnsi="Times New Roman"/>
                <w:vertAlign w:val="superscript"/>
              </w:rPr>
            </w:pPr>
            <w:r w:rsidDel="00000000" w:rsidR="00000000" w:rsidRPr="00000000">
              <w:rPr>
                <w:rFonts w:ascii="Times New Roman" w:cs="Times New Roman" w:eastAsia="Times New Roman" w:hAnsi="Times New Roman"/>
                <w:rtl w:val="0"/>
              </w:rPr>
              <w:t xml:space="preserve">5,0×10</w:t>
            </w:r>
            <w:r w:rsidDel="00000000" w:rsidR="00000000" w:rsidRPr="00000000">
              <w:rPr>
                <w:rFonts w:ascii="Times New Roman" w:cs="Times New Roman" w:eastAsia="Times New Roman" w:hAnsi="Times New Roman"/>
                <w:vertAlign w:val="superscript"/>
                <w:rtl w:val="0"/>
              </w:rPr>
              <w:t xml:space="preserve">6</w:t>
            </w:r>
          </w:p>
        </w:tc>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0A6">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2,0 × 10⁶</w:t>
            </w:r>
          </w:p>
        </w:tc>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0A7">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2,0 × 10⁶</w:t>
            </w:r>
          </w:p>
        </w:tc>
      </w:tr>
      <w:tr>
        <w:trPr>
          <w:cantSplit w:val="0"/>
          <w:trHeight w:val="297" w:hRule="atLeast"/>
          <w:tblHeader w:val="0"/>
        </w:trPr>
        <w:tc>
          <w:tcPr>
            <w:tcBorders>
              <w:top w:color="000000" w:space="0" w:sz="0" w:val="nil"/>
              <w:left w:color="000000" w:space="0" w:sz="0" w:val="nil"/>
            </w:tcBorders>
          </w:tcPr>
          <w:p w:rsidR="00000000" w:rsidDel="00000000" w:rsidP="00000000" w:rsidRDefault="00000000" w:rsidRPr="00000000" w14:paraId="000000A8">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NYDA</w:t>
            </w:r>
          </w:p>
        </w:tc>
        <w:tc>
          <w:tcPr>
            <w:tcBorders>
              <w:top w:color="000000" w:space="0" w:sz="0" w:val="nil"/>
            </w:tcBorders>
          </w:tcPr>
          <w:p w:rsidR="00000000" w:rsidDel="00000000" w:rsidP="00000000" w:rsidRDefault="00000000" w:rsidRPr="00000000" w14:paraId="000000A9">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NE</w:t>
            </w:r>
          </w:p>
        </w:tc>
        <w:tc>
          <w:tcPr>
            <w:tcBorders>
              <w:top w:color="000000" w:space="0" w:sz="0" w:val="nil"/>
              <w:right w:color="000000" w:space="0" w:sz="0" w:val="nil"/>
            </w:tcBorders>
          </w:tcPr>
          <w:p w:rsidR="00000000" w:rsidDel="00000000" w:rsidP="00000000" w:rsidRDefault="00000000" w:rsidRPr="00000000" w14:paraId="000000AA">
            <w:pPr>
              <w:widowControl w:val="0"/>
              <w:spacing w:after="0" w:line="240" w:lineRule="auto"/>
              <w:jc w:val="center"/>
              <w:rPr>
                <w:rFonts w:ascii="Times New Roman" w:cs="Times New Roman" w:eastAsia="Times New Roman" w:hAnsi="Times New Roman"/>
                <w:vertAlign w:val="superscript"/>
              </w:rPr>
            </w:pPr>
            <w:r w:rsidDel="00000000" w:rsidR="00000000" w:rsidRPr="00000000">
              <w:rPr>
                <w:rFonts w:ascii="Times New Roman" w:cs="Times New Roman" w:eastAsia="Times New Roman" w:hAnsi="Times New Roman"/>
                <w:rtl w:val="0"/>
              </w:rPr>
              <w:t xml:space="preserve">3,0×10</w:t>
            </w:r>
            <w:r w:rsidDel="00000000" w:rsidR="00000000" w:rsidRPr="00000000">
              <w:rPr>
                <w:rFonts w:ascii="Times New Roman" w:cs="Times New Roman" w:eastAsia="Times New Roman" w:hAnsi="Times New Roman"/>
                <w:vertAlign w:val="superscript"/>
                <w:rtl w:val="0"/>
              </w:rPr>
              <w:t xml:space="preserve">5</w:t>
            </w:r>
          </w:p>
        </w:tc>
        <w:tc>
          <w:tcPr>
            <w:tcBorders>
              <w:top w:color="000000" w:space="0" w:sz="0" w:val="nil"/>
              <w:left w:color="000000" w:space="0" w:sz="0" w:val="nil"/>
              <w:right w:color="000000" w:space="0" w:sz="0" w:val="nil"/>
            </w:tcBorders>
          </w:tcPr>
          <w:p w:rsidR="00000000" w:rsidDel="00000000" w:rsidP="00000000" w:rsidRDefault="00000000" w:rsidRPr="00000000" w14:paraId="000000AB">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NE</w:t>
            </w:r>
          </w:p>
        </w:tc>
        <w:tc>
          <w:tcPr>
            <w:tcBorders>
              <w:top w:color="000000" w:space="0" w:sz="0" w:val="nil"/>
              <w:left w:color="000000" w:space="0" w:sz="0" w:val="nil"/>
            </w:tcBorders>
          </w:tcPr>
          <w:p w:rsidR="00000000" w:rsidDel="00000000" w:rsidP="00000000" w:rsidRDefault="00000000" w:rsidRPr="00000000" w14:paraId="000000AC">
            <w:pPr>
              <w:widowControl w:val="0"/>
              <w:spacing w:after="0" w:line="240" w:lineRule="auto"/>
              <w:jc w:val="center"/>
              <w:rPr>
                <w:rFonts w:ascii="Times New Roman" w:cs="Times New Roman" w:eastAsia="Times New Roman" w:hAnsi="Times New Roman"/>
                <w:vertAlign w:val="superscript"/>
              </w:rPr>
            </w:pPr>
            <w:r w:rsidDel="00000000" w:rsidR="00000000" w:rsidRPr="00000000">
              <w:rPr>
                <w:rFonts w:ascii="Times New Roman" w:cs="Times New Roman" w:eastAsia="Times New Roman" w:hAnsi="Times New Roman"/>
                <w:rtl w:val="0"/>
              </w:rPr>
              <w:t xml:space="preserve">6,0×10</w:t>
            </w:r>
            <w:r w:rsidDel="00000000" w:rsidR="00000000" w:rsidRPr="00000000">
              <w:rPr>
                <w:rFonts w:ascii="Times New Roman" w:cs="Times New Roman" w:eastAsia="Times New Roman" w:hAnsi="Times New Roman"/>
                <w:vertAlign w:val="superscript"/>
                <w:rtl w:val="0"/>
              </w:rPr>
              <w:t xml:space="preserve">5</w:t>
            </w:r>
          </w:p>
        </w:tc>
        <w:tc>
          <w:tcPr>
            <w:tcBorders>
              <w:top w:color="000000" w:space="0" w:sz="0" w:val="nil"/>
              <w:right w:color="000000" w:space="0" w:sz="0" w:val="nil"/>
            </w:tcBorders>
          </w:tcPr>
          <w:p w:rsidR="00000000" w:rsidDel="00000000" w:rsidP="00000000" w:rsidRDefault="00000000" w:rsidRPr="00000000" w14:paraId="000000AD">
            <w:pPr>
              <w:widowControl w:val="0"/>
              <w:spacing w:after="0" w:line="240" w:lineRule="auto"/>
              <w:jc w:val="center"/>
              <w:rPr>
                <w:rFonts w:ascii="Times New Roman" w:cs="Times New Roman" w:eastAsia="Times New Roman" w:hAnsi="Times New Roman"/>
                <w:vertAlign w:val="superscript"/>
              </w:rPr>
            </w:pPr>
            <w:r w:rsidDel="00000000" w:rsidR="00000000" w:rsidRPr="00000000">
              <w:rPr>
                <w:rFonts w:ascii="Times New Roman" w:cs="Times New Roman" w:eastAsia="Times New Roman" w:hAnsi="Times New Roman"/>
                <w:rtl w:val="0"/>
              </w:rPr>
              <w:t xml:space="preserve">6,0×10</w:t>
            </w:r>
            <w:r w:rsidDel="00000000" w:rsidR="00000000" w:rsidRPr="00000000">
              <w:rPr>
                <w:rFonts w:ascii="Times New Roman" w:cs="Times New Roman" w:eastAsia="Times New Roman" w:hAnsi="Times New Roman"/>
                <w:vertAlign w:val="superscript"/>
                <w:rtl w:val="0"/>
              </w:rPr>
              <w:t xml:space="preserve">6</w:t>
            </w:r>
          </w:p>
        </w:tc>
        <w:tc>
          <w:tcPr>
            <w:tcBorders>
              <w:top w:color="000000" w:space="0" w:sz="0" w:val="nil"/>
              <w:right w:color="000000" w:space="0" w:sz="0" w:val="nil"/>
            </w:tcBorders>
          </w:tcPr>
          <w:p w:rsidR="00000000" w:rsidDel="00000000" w:rsidP="00000000" w:rsidRDefault="00000000" w:rsidRPr="00000000" w14:paraId="000000AE">
            <w:pPr>
              <w:widowControl w:val="0"/>
              <w:spacing w:after="0" w:line="240" w:lineRule="auto"/>
              <w:jc w:val="center"/>
              <w:rPr>
                <w:rFonts w:ascii="Times New Roman" w:cs="Times New Roman" w:eastAsia="Times New Roman" w:hAnsi="Times New Roman"/>
                <w:vertAlign w:val="superscript"/>
              </w:rPr>
            </w:pPr>
            <w:r w:rsidDel="00000000" w:rsidR="00000000" w:rsidRPr="00000000">
              <w:rPr>
                <w:rFonts w:ascii="Times New Roman" w:cs="Times New Roman" w:eastAsia="Times New Roman" w:hAnsi="Times New Roman"/>
                <w:rtl w:val="0"/>
              </w:rPr>
              <w:t xml:space="preserve">5,0×10</w:t>
            </w:r>
            <w:r w:rsidDel="00000000" w:rsidR="00000000" w:rsidRPr="00000000">
              <w:rPr>
                <w:rFonts w:ascii="Times New Roman" w:cs="Times New Roman" w:eastAsia="Times New Roman" w:hAnsi="Times New Roman"/>
                <w:vertAlign w:val="superscript"/>
                <w:rtl w:val="0"/>
              </w:rPr>
              <w:t xml:space="preserve">6</w:t>
            </w:r>
          </w:p>
        </w:tc>
        <w:tc>
          <w:tcPr>
            <w:tcBorders>
              <w:top w:color="000000" w:space="0" w:sz="0" w:val="nil"/>
              <w:right w:color="000000" w:space="0" w:sz="0" w:val="nil"/>
            </w:tcBorders>
          </w:tcPr>
          <w:p w:rsidR="00000000" w:rsidDel="00000000" w:rsidP="00000000" w:rsidRDefault="00000000" w:rsidRPr="00000000" w14:paraId="000000AF">
            <w:pPr>
              <w:widowControl w:val="0"/>
              <w:spacing w:after="0" w:line="240" w:lineRule="auto"/>
              <w:jc w:val="center"/>
              <w:rPr>
                <w:rFonts w:ascii="Times New Roman" w:cs="Times New Roman" w:eastAsia="Times New Roman" w:hAnsi="Times New Roman"/>
                <w:vertAlign w:val="superscript"/>
              </w:rPr>
            </w:pPr>
            <w:r w:rsidDel="00000000" w:rsidR="00000000" w:rsidRPr="00000000">
              <w:rPr>
                <w:rFonts w:ascii="Times New Roman" w:cs="Times New Roman" w:eastAsia="Times New Roman" w:hAnsi="Times New Roman"/>
                <w:rtl w:val="0"/>
              </w:rPr>
              <w:t xml:space="preserve">5,0×10</w:t>
            </w:r>
            <w:r w:rsidDel="00000000" w:rsidR="00000000" w:rsidRPr="00000000">
              <w:rPr>
                <w:rFonts w:ascii="Times New Roman" w:cs="Times New Roman" w:eastAsia="Times New Roman" w:hAnsi="Times New Roman"/>
                <w:vertAlign w:val="superscript"/>
                <w:rtl w:val="0"/>
              </w:rPr>
              <w:t xml:space="preserve">6</w:t>
            </w:r>
          </w:p>
        </w:tc>
      </w:tr>
    </w:tbl>
    <w:p w:rsidR="00000000" w:rsidDel="00000000" w:rsidP="00000000" w:rsidRDefault="00000000" w:rsidRPr="00000000" w14:paraId="000000B0">
      <w:pPr>
        <w:spacing w:after="0" w:line="24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Fonte: Autores, 2025. </w:t>
      </w:r>
    </w:p>
    <w:p w:rsidR="00000000" w:rsidDel="00000000" w:rsidP="00000000" w:rsidRDefault="00000000" w:rsidRPr="00000000" w14:paraId="000000B1">
      <w:pPr>
        <w:spacing w:after="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B2">
      <w:pPr>
        <w:spacing w:after="0" w:line="360" w:lineRule="auto"/>
        <w:ind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Nos solos provenientes do cultivo de </w:t>
      </w:r>
      <w:r w:rsidDel="00000000" w:rsidR="00000000" w:rsidRPr="00000000">
        <w:rPr>
          <w:rFonts w:ascii="Times New Roman" w:cs="Times New Roman" w:eastAsia="Times New Roman" w:hAnsi="Times New Roman"/>
          <w:i w:val="1"/>
          <w:iCs w:val="1"/>
          <w:sz w:val="24"/>
          <w:szCs w:val="24"/>
          <w:rtl w:val="0"/>
        </w:rPr>
        <w:t xml:space="preserve">Theobroma cacao</w:t>
      </w:r>
      <w:r w:rsidDel="00000000" w:rsidR="00000000" w:rsidRPr="00000000">
        <w:rPr>
          <w:rFonts w:ascii="Times New Roman" w:cs="Times New Roman" w:eastAsia="Times New Roman" w:hAnsi="Times New Roman"/>
          <w:b w:val="1"/>
          <w:bCs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(Cacau 1), as 21 placas exibiram número excessivo de colônias (NE), impossibilitando a contagem precisa das unidades formadoras de colônia (UFC), conforme mostrado na Tabela 3 e Figura 4.</w:t>
      </w:r>
    </w:p>
    <w:p w:rsidR="00000000" w:rsidDel="00000000" w:rsidP="00000000" w:rsidRDefault="00000000" w:rsidRPr="00000000" w14:paraId="000000B3">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rtl w:val="0"/>
        </w:rPr>
        <w:t xml:space="preserve">Figura 4 – Placas com microrganismos em diferentes concentrações e meios de cultura, oriundos do solo de cultivo de </w:t>
      </w:r>
      <w:r w:rsidDel="00000000" w:rsidR="00000000" w:rsidRPr="00000000">
        <w:rPr>
          <w:rFonts w:ascii="Times New Roman" w:cs="Times New Roman" w:eastAsia="Times New Roman" w:hAnsi="Times New Roman"/>
          <w:i w:val="1"/>
          <w:iCs w:val="1"/>
          <w:rtl w:val="0"/>
        </w:rPr>
        <w:t xml:space="preserve">Theobroma cacao.</w:t>
      </w:r>
      <w:r w:rsidDel="00000000" w:rsidR="00000000" w:rsidRPr="00000000">
        <w:rPr>
          <w:rtl w:val="0"/>
        </w:rPr>
      </w:r>
    </w:p>
    <w:p w:rsidR="00000000" w:rsidDel="00000000" w:rsidP="00000000" w:rsidRDefault="00000000" w:rsidRPr="00000000" w14:paraId="000000B4">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rPr>
        <w:drawing>
          <wp:inline distB="114300" distT="114300" distL="114300" distR="114300">
            <wp:extent cx="3557005" cy="1525744"/>
            <wp:effectExtent b="0" l="0" r="0" t="0"/>
            <wp:docPr id="17" name="image10.png"/>
            <a:graphic>
              <a:graphicData uri="http://schemas.openxmlformats.org/drawingml/2006/picture">
                <pic:pic>
                  <pic:nvPicPr>
                    <pic:cNvPr id="0" name="image10.png"/>
                    <pic:cNvPicPr preferRelativeResize="0"/>
                  </pic:nvPicPr>
                  <pic:blipFill>
                    <a:blip r:embed="rId11"/>
                    <a:srcRect b="23631" l="0" r="0" t="0"/>
                    <a:stretch>
                      <a:fillRect/>
                    </a:stretch>
                  </pic:blipFill>
                  <pic:spPr>
                    <a:xfrm>
                      <a:off x="0" y="0"/>
                      <a:ext cx="3557005" cy="1525744"/>
                    </a:xfrm>
                    <a:prstGeom prst="rect"/>
                    <a:ln/>
                  </pic:spPr>
                </pic:pic>
              </a:graphicData>
            </a:graphic>
          </wp:inline>
        </w:drawing>
      </w:r>
      <w:r w:rsidDel="00000000" w:rsidR="00000000" w:rsidRPr="00000000">
        <w:rPr>
          <w:rtl w:val="0"/>
        </w:rPr>
      </w:r>
    </w:p>
    <w:p w:rsidR="00000000" w:rsidDel="00000000" w:rsidP="00000000" w:rsidRDefault="00000000" w:rsidRPr="00000000" w14:paraId="000000B5">
      <w:pPr>
        <w:spacing w:after="0" w:line="24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Fonte: Autores, 2025.</w:t>
      </w:r>
    </w:p>
    <w:p w:rsidR="00000000" w:rsidDel="00000000" w:rsidP="00000000" w:rsidRDefault="00000000" w:rsidRPr="00000000" w14:paraId="000000B6">
      <w:pPr>
        <w:spacing w:after="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B7">
      <w:pPr>
        <w:spacing w:after="0" w:line="24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Tabela 3 –</w:t>
      </w:r>
      <w:r w:rsidDel="00000000" w:rsidR="00000000" w:rsidRPr="00000000">
        <w:rPr>
          <w:rFonts w:ascii="Times New Roman" w:cs="Times New Roman" w:eastAsia="Times New Roman" w:hAnsi="Times New Roman"/>
          <w:b w:val="1"/>
          <w:bCs w:val="1"/>
          <w:rtl w:val="0"/>
        </w:rPr>
        <w:t xml:space="preserve"> </w:t>
      </w:r>
      <w:r w:rsidDel="00000000" w:rsidR="00000000" w:rsidRPr="00000000">
        <w:rPr>
          <w:rFonts w:ascii="Times New Roman" w:cs="Times New Roman" w:eastAsia="Times New Roman" w:hAnsi="Times New Roman"/>
          <w:rtl w:val="0"/>
        </w:rPr>
        <w:t xml:space="preserve">Contagem de colônias prospectadas em diferentes meios de cultura, obtidas do processo de diluição seriada dos solos de </w:t>
      </w:r>
      <w:r w:rsidDel="00000000" w:rsidR="00000000" w:rsidRPr="00000000">
        <w:rPr>
          <w:rFonts w:ascii="Times New Roman" w:cs="Times New Roman" w:eastAsia="Times New Roman" w:hAnsi="Times New Roman"/>
          <w:i w:val="1"/>
          <w:iCs w:val="1"/>
          <w:rtl w:val="0"/>
        </w:rPr>
        <w:t xml:space="preserve">Theobroma cacao</w:t>
      </w:r>
      <w:r w:rsidDel="00000000" w:rsidR="00000000" w:rsidRPr="00000000">
        <w:rPr>
          <w:rFonts w:ascii="Times New Roman" w:cs="Times New Roman" w:eastAsia="Times New Roman" w:hAnsi="Times New Roman"/>
          <w:rtl w:val="0"/>
        </w:rPr>
        <w:t xml:space="preserve">, coletados do Sítio Agroecológico Tolú. NE: Número Excessivo de colônias, o que torna impossivel a contagem. </w:t>
      </w:r>
    </w:p>
    <w:tbl>
      <w:tblPr>
        <w:tblStyle w:val="Table4"/>
        <w:tblpPr w:leftFromText="180" w:rightFromText="180" w:topFromText="180" w:bottomFromText="180" w:vertAnchor="text" w:horzAnchor="text" w:tblpX="9" w:tblpY="0"/>
        <w:tblW w:w="874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040"/>
        <w:gridCol w:w="1140"/>
        <w:gridCol w:w="1050"/>
        <w:gridCol w:w="945"/>
        <w:gridCol w:w="1080"/>
        <w:gridCol w:w="915"/>
        <w:gridCol w:w="780"/>
        <w:gridCol w:w="795"/>
        <w:tblGridChange w:id="0">
          <w:tblGrid>
            <w:gridCol w:w="2040"/>
            <w:gridCol w:w="1140"/>
            <w:gridCol w:w="1050"/>
            <w:gridCol w:w="945"/>
            <w:gridCol w:w="1080"/>
            <w:gridCol w:w="915"/>
            <w:gridCol w:w="780"/>
            <w:gridCol w:w="795"/>
          </w:tblGrid>
        </w:tblGridChange>
      </w:tblGrid>
      <w:tr>
        <w:trPr>
          <w:cantSplit w:val="0"/>
          <w:trHeight w:val="402" w:hRule="atLeast"/>
          <w:tblHeader w:val="0"/>
        </w:trPr>
        <w:tc>
          <w:tcPr>
            <w:gridSpan w:val="8"/>
            <w:tcBorders>
              <w:top w:color="000000" w:space="0" w:sz="12" w:val="single"/>
              <w:left w:color="000000" w:space="0" w:sz="0" w:val="nil"/>
              <w:bottom w:color="000000" w:space="0" w:sz="12" w:val="single"/>
            </w:tcBorders>
          </w:tcPr>
          <w:p w:rsidR="00000000" w:rsidDel="00000000" w:rsidP="00000000" w:rsidRDefault="00000000" w:rsidRPr="00000000" w14:paraId="000000B8">
            <w:pPr>
              <w:widowControl w:val="0"/>
              <w:spacing w:after="0" w:line="240" w:lineRule="auto"/>
              <w:jc w:val="center"/>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b w:val="1"/>
                <w:bCs w:val="1"/>
                <w:rtl w:val="0"/>
              </w:rPr>
              <w:t xml:space="preserve">Quantidade de colônias obtidas em área de cultivo de </w:t>
            </w:r>
            <w:r w:rsidDel="00000000" w:rsidR="00000000" w:rsidRPr="00000000">
              <w:rPr>
                <w:rFonts w:ascii="Times New Roman" w:cs="Times New Roman" w:eastAsia="Times New Roman" w:hAnsi="Times New Roman"/>
                <w:b w:val="1"/>
                <w:bCs w:val="1"/>
                <w:i w:val="1"/>
                <w:iCs w:val="1"/>
                <w:rtl w:val="0"/>
              </w:rPr>
              <w:t xml:space="preserve">Theobroma cacao </w:t>
            </w:r>
            <w:r w:rsidDel="00000000" w:rsidR="00000000" w:rsidRPr="00000000">
              <w:rPr>
                <w:rFonts w:ascii="Times New Roman" w:cs="Times New Roman" w:eastAsia="Times New Roman" w:hAnsi="Times New Roman"/>
                <w:b w:val="1"/>
                <w:bCs w:val="1"/>
                <w:rtl w:val="0"/>
              </w:rPr>
              <w:t xml:space="preserve">(Cacau 1) </w:t>
            </w:r>
          </w:p>
        </w:tc>
      </w:tr>
      <w:tr>
        <w:trPr>
          <w:cantSplit w:val="0"/>
          <w:trHeight w:val="417" w:hRule="atLeast"/>
          <w:tblHeader w:val="0"/>
        </w:trPr>
        <w:tc>
          <w:tcPr>
            <w:tcBorders>
              <w:top w:color="000000" w:space="0" w:sz="12" w:val="single"/>
              <w:left w:color="000000" w:space="0" w:sz="0" w:val="nil"/>
            </w:tcBorders>
          </w:tcPr>
          <w:p w:rsidR="00000000" w:rsidDel="00000000" w:rsidP="00000000" w:rsidRDefault="00000000" w:rsidRPr="00000000" w14:paraId="000000C0">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Meios de cultura</w:t>
            </w:r>
          </w:p>
        </w:tc>
        <w:tc>
          <w:tcPr>
            <w:tcBorders>
              <w:top w:color="000000" w:space="0" w:sz="12" w:val="single"/>
            </w:tcBorders>
          </w:tcPr>
          <w:p w:rsidR="00000000" w:rsidDel="00000000" w:rsidP="00000000" w:rsidRDefault="00000000" w:rsidRPr="00000000" w14:paraId="000000C1">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C10</w:t>
            </w:r>
            <w:r w:rsidDel="00000000" w:rsidR="00000000" w:rsidRPr="00000000">
              <w:rPr>
                <w:rFonts w:ascii="Times New Roman" w:cs="Times New Roman" w:eastAsia="Times New Roman" w:hAnsi="Times New Roman"/>
                <w:vertAlign w:val="superscript"/>
                <w:rtl w:val="0"/>
              </w:rPr>
              <w:t xml:space="preserve">-1</w:t>
            </w:r>
            <w:r w:rsidDel="00000000" w:rsidR="00000000" w:rsidRPr="00000000">
              <w:rPr>
                <w:rtl w:val="0"/>
              </w:rPr>
            </w:r>
          </w:p>
        </w:tc>
        <w:tc>
          <w:tcPr>
            <w:gridSpan w:val="3"/>
            <w:tcBorders>
              <w:top w:color="000000" w:space="0" w:sz="12" w:val="single"/>
            </w:tcBorders>
          </w:tcPr>
          <w:p w:rsidR="00000000" w:rsidDel="00000000" w:rsidP="00000000" w:rsidRDefault="00000000" w:rsidRPr="00000000" w14:paraId="000000C2">
            <w:pPr>
              <w:widowControl w:val="0"/>
              <w:spacing w:after="0" w:line="240" w:lineRule="auto"/>
              <w:jc w:val="center"/>
              <w:rPr>
                <w:rFonts w:ascii="Times New Roman" w:cs="Times New Roman" w:eastAsia="Times New Roman" w:hAnsi="Times New Roman"/>
                <w:vertAlign w:val="superscript"/>
              </w:rPr>
            </w:pPr>
            <w:r w:rsidDel="00000000" w:rsidR="00000000" w:rsidRPr="00000000">
              <w:rPr>
                <w:rFonts w:ascii="Times New Roman" w:cs="Times New Roman" w:eastAsia="Times New Roman" w:hAnsi="Times New Roman"/>
                <w:rtl w:val="0"/>
              </w:rPr>
              <w:t xml:space="preserve">C 10</w:t>
            </w:r>
            <w:r w:rsidDel="00000000" w:rsidR="00000000" w:rsidRPr="00000000">
              <w:rPr>
                <w:rFonts w:ascii="Times New Roman" w:cs="Times New Roman" w:eastAsia="Times New Roman" w:hAnsi="Times New Roman"/>
                <w:vertAlign w:val="superscript"/>
                <w:rtl w:val="0"/>
              </w:rPr>
              <w:t xml:space="preserve">-4</w:t>
            </w:r>
          </w:p>
        </w:tc>
        <w:tc>
          <w:tcPr>
            <w:gridSpan w:val="3"/>
            <w:tcBorders>
              <w:top w:color="000000" w:space="0" w:sz="12" w:val="single"/>
            </w:tcBorders>
          </w:tcPr>
          <w:p w:rsidR="00000000" w:rsidDel="00000000" w:rsidP="00000000" w:rsidRDefault="00000000" w:rsidRPr="00000000" w14:paraId="000000C5">
            <w:pPr>
              <w:widowControl w:val="0"/>
              <w:spacing w:after="0" w:line="240" w:lineRule="auto"/>
              <w:jc w:val="center"/>
              <w:rPr>
                <w:rFonts w:ascii="Times New Roman" w:cs="Times New Roman" w:eastAsia="Times New Roman" w:hAnsi="Times New Roman"/>
                <w:vertAlign w:val="superscript"/>
              </w:rPr>
            </w:pPr>
            <w:r w:rsidDel="00000000" w:rsidR="00000000" w:rsidRPr="00000000">
              <w:rPr>
                <w:rFonts w:ascii="Times New Roman" w:cs="Times New Roman" w:eastAsia="Times New Roman" w:hAnsi="Times New Roman"/>
                <w:rtl w:val="0"/>
              </w:rPr>
              <w:t xml:space="preserve">C10</w:t>
            </w:r>
            <w:r w:rsidDel="00000000" w:rsidR="00000000" w:rsidRPr="00000000">
              <w:rPr>
                <w:rFonts w:ascii="Times New Roman" w:cs="Times New Roman" w:eastAsia="Times New Roman" w:hAnsi="Times New Roman"/>
                <w:vertAlign w:val="superscript"/>
                <w:rtl w:val="0"/>
              </w:rPr>
              <w:t xml:space="preserve">-5</w:t>
            </w:r>
          </w:p>
        </w:tc>
      </w:tr>
      <w:tr>
        <w:trPr>
          <w:cantSplit w:val="0"/>
          <w:trHeight w:val="440" w:hRule="atLeast"/>
          <w:tblHeader w:val="0"/>
        </w:trPr>
        <w:tc>
          <w:tcPr>
            <w:tcBorders>
              <w:left w:color="000000" w:space="0" w:sz="0" w:val="nil"/>
              <w:bottom w:color="000000" w:space="0" w:sz="0" w:val="nil"/>
            </w:tcBorders>
          </w:tcPr>
          <w:p w:rsidR="00000000" w:rsidDel="00000000" w:rsidP="00000000" w:rsidRDefault="00000000" w:rsidRPr="00000000" w14:paraId="000000C8">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PCA</w:t>
            </w:r>
          </w:p>
        </w:tc>
        <w:tc>
          <w:tcPr>
            <w:tcBorders>
              <w:bottom w:color="000000" w:space="0" w:sz="0" w:val="nil"/>
            </w:tcBorders>
          </w:tcPr>
          <w:p w:rsidR="00000000" w:rsidDel="00000000" w:rsidP="00000000" w:rsidRDefault="00000000" w:rsidRPr="00000000" w14:paraId="000000C9">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NE</w:t>
            </w:r>
          </w:p>
        </w:tc>
        <w:tc>
          <w:tcPr>
            <w:tcBorders>
              <w:bottom w:color="000000" w:space="0" w:sz="0" w:val="nil"/>
              <w:right w:color="000000" w:space="0" w:sz="0" w:val="nil"/>
            </w:tcBorders>
          </w:tcPr>
          <w:p w:rsidR="00000000" w:rsidDel="00000000" w:rsidP="00000000" w:rsidRDefault="00000000" w:rsidRPr="00000000" w14:paraId="000000CA">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3,0 × 10⁵</w:t>
            </w:r>
          </w:p>
        </w:tc>
        <w:tc>
          <w:tcPr>
            <w:tcBorders>
              <w:left w:color="000000" w:space="0" w:sz="0" w:val="nil"/>
              <w:bottom w:color="000000" w:space="0" w:sz="0" w:val="nil"/>
              <w:right w:color="000000" w:space="0" w:sz="0" w:val="nil"/>
            </w:tcBorders>
          </w:tcPr>
          <w:p w:rsidR="00000000" w:rsidDel="00000000" w:rsidP="00000000" w:rsidRDefault="00000000" w:rsidRPr="00000000" w14:paraId="000000CB">
            <w:pPr>
              <w:widowControl w:val="0"/>
              <w:spacing w:after="0" w:line="240" w:lineRule="auto"/>
              <w:jc w:val="center"/>
              <w:rPr>
                <w:rFonts w:ascii="Times New Roman" w:cs="Times New Roman" w:eastAsia="Times New Roman" w:hAnsi="Times New Roman"/>
                <w:vertAlign w:val="superscript"/>
              </w:rPr>
            </w:pPr>
            <w:r w:rsidDel="00000000" w:rsidR="00000000" w:rsidRPr="00000000">
              <w:rPr>
                <w:rFonts w:ascii="Times New Roman" w:cs="Times New Roman" w:eastAsia="Times New Roman" w:hAnsi="Times New Roman"/>
                <w:rtl w:val="0"/>
              </w:rPr>
              <w:t xml:space="preserve">5,0×10</w:t>
            </w:r>
            <w:r w:rsidDel="00000000" w:rsidR="00000000" w:rsidRPr="00000000">
              <w:rPr>
                <w:rFonts w:ascii="Times New Roman" w:cs="Times New Roman" w:eastAsia="Times New Roman" w:hAnsi="Times New Roman"/>
                <w:vertAlign w:val="superscript"/>
                <w:rtl w:val="0"/>
              </w:rPr>
              <w:t xml:space="preserve">5</w:t>
            </w:r>
          </w:p>
        </w:tc>
        <w:tc>
          <w:tcPr>
            <w:tcBorders>
              <w:left w:color="000000" w:space="0" w:sz="0" w:val="nil"/>
              <w:bottom w:color="000000" w:space="0" w:sz="0" w:val="nil"/>
            </w:tcBorders>
          </w:tcPr>
          <w:p w:rsidR="00000000" w:rsidDel="00000000" w:rsidP="00000000" w:rsidRDefault="00000000" w:rsidRPr="00000000" w14:paraId="000000CC">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7,0 × 10⁵</w:t>
            </w:r>
          </w:p>
        </w:tc>
        <w:tc>
          <w:tcPr>
            <w:tcBorders>
              <w:bottom w:color="000000" w:space="0" w:sz="0" w:val="nil"/>
              <w:right w:color="000000" w:space="0" w:sz="0" w:val="nil"/>
            </w:tcBorders>
          </w:tcPr>
          <w:p w:rsidR="00000000" w:rsidDel="00000000" w:rsidP="00000000" w:rsidRDefault="00000000" w:rsidRPr="00000000" w14:paraId="000000CD">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NE</w:t>
            </w:r>
          </w:p>
        </w:tc>
        <w:tc>
          <w:tcPr>
            <w:tcBorders>
              <w:left w:color="000000" w:space="0" w:sz="0" w:val="nil"/>
              <w:bottom w:color="000000" w:space="0" w:sz="0" w:val="nil"/>
              <w:right w:color="000000" w:space="0" w:sz="0" w:val="nil"/>
            </w:tcBorders>
          </w:tcPr>
          <w:p w:rsidR="00000000" w:rsidDel="00000000" w:rsidP="00000000" w:rsidRDefault="00000000" w:rsidRPr="00000000" w14:paraId="000000CE">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NE</w:t>
            </w:r>
          </w:p>
        </w:tc>
        <w:tc>
          <w:tcPr>
            <w:tcBorders>
              <w:left w:color="000000" w:space="0" w:sz="0" w:val="nil"/>
              <w:bottom w:color="000000" w:space="0" w:sz="0" w:val="nil"/>
              <w:right w:color="000000" w:space="0" w:sz="0" w:val="nil"/>
            </w:tcBorders>
          </w:tcPr>
          <w:p w:rsidR="00000000" w:rsidDel="00000000" w:rsidP="00000000" w:rsidRDefault="00000000" w:rsidRPr="00000000" w14:paraId="000000CF">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NE</w:t>
            </w:r>
          </w:p>
        </w:tc>
      </w:tr>
      <w:tr>
        <w:trPr>
          <w:cantSplit w:val="0"/>
          <w:trHeight w:val="440" w:hRule="atLeast"/>
          <w:tblHeader w:val="0"/>
        </w:trPr>
        <w:tc>
          <w:tcPr>
            <w:tcBorders>
              <w:top w:color="000000" w:space="0" w:sz="0" w:val="nil"/>
              <w:left w:color="000000" w:space="0" w:sz="0" w:val="nil"/>
              <w:bottom w:color="000000" w:space="0" w:sz="0" w:val="nil"/>
            </w:tcBorders>
          </w:tcPr>
          <w:p w:rsidR="00000000" w:rsidDel="00000000" w:rsidP="00000000" w:rsidRDefault="00000000" w:rsidRPr="00000000" w14:paraId="000000D0">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BDA</w:t>
            </w:r>
          </w:p>
        </w:tc>
        <w:tc>
          <w:tcPr>
            <w:tcBorders>
              <w:top w:color="000000" w:space="0" w:sz="0" w:val="nil"/>
              <w:bottom w:color="000000" w:space="0" w:sz="0" w:val="nil"/>
            </w:tcBorders>
          </w:tcPr>
          <w:p w:rsidR="00000000" w:rsidDel="00000000" w:rsidP="00000000" w:rsidRDefault="00000000" w:rsidRPr="00000000" w14:paraId="000000D1">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NE</w:t>
            </w:r>
          </w:p>
        </w:tc>
        <w:tc>
          <w:tcPr>
            <w:tcBorders>
              <w:top w:color="000000" w:space="0" w:sz="0" w:val="nil"/>
              <w:bottom w:color="000000" w:space="0" w:sz="0" w:val="nil"/>
              <w:right w:color="000000" w:space="0" w:sz="0" w:val="nil"/>
            </w:tcBorders>
          </w:tcPr>
          <w:p w:rsidR="00000000" w:rsidDel="00000000" w:rsidP="00000000" w:rsidRDefault="00000000" w:rsidRPr="00000000" w14:paraId="000000D2">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NE</w:t>
            </w:r>
          </w:p>
        </w:tc>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0D3">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NE</w:t>
            </w:r>
          </w:p>
        </w:tc>
        <w:tc>
          <w:tcPr>
            <w:tcBorders>
              <w:top w:color="000000" w:space="0" w:sz="0" w:val="nil"/>
              <w:left w:color="000000" w:space="0" w:sz="0" w:val="nil"/>
              <w:bottom w:color="000000" w:space="0" w:sz="0" w:val="nil"/>
            </w:tcBorders>
          </w:tcPr>
          <w:p w:rsidR="00000000" w:rsidDel="00000000" w:rsidP="00000000" w:rsidRDefault="00000000" w:rsidRPr="00000000" w14:paraId="000000D4">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NE</w:t>
            </w:r>
          </w:p>
        </w:tc>
        <w:tc>
          <w:tcPr>
            <w:tcBorders>
              <w:top w:color="000000" w:space="0" w:sz="0" w:val="nil"/>
              <w:bottom w:color="000000" w:space="0" w:sz="0" w:val="nil"/>
              <w:right w:color="000000" w:space="0" w:sz="0" w:val="nil"/>
            </w:tcBorders>
          </w:tcPr>
          <w:p w:rsidR="00000000" w:rsidDel="00000000" w:rsidP="00000000" w:rsidRDefault="00000000" w:rsidRPr="00000000" w14:paraId="000000D5">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NE</w:t>
            </w:r>
          </w:p>
        </w:tc>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0D6">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NE</w:t>
            </w:r>
          </w:p>
        </w:tc>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0D7">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NE</w:t>
            </w:r>
          </w:p>
        </w:tc>
      </w:tr>
      <w:tr>
        <w:trPr>
          <w:cantSplit w:val="0"/>
          <w:trHeight w:val="440" w:hRule="atLeast"/>
          <w:tblHeader w:val="0"/>
        </w:trPr>
        <w:tc>
          <w:tcPr>
            <w:tcBorders>
              <w:top w:color="000000" w:space="0" w:sz="0" w:val="nil"/>
              <w:left w:color="000000" w:space="0" w:sz="0" w:val="nil"/>
            </w:tcBorders>
          </w:tcPr>
          <w:p w:rsidR="00000000" w:rsidDel="00000000" w:rsidP="00000000" w:rsidRDefault="00000000" w:rsidRPr="00000000" w14:paraId="000000D8">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NYDA</w:t>
            </w:r>
          </w:p>
        </w:tc>
        <w:tc>
          <w:tcPr>
            <w:tcBorders>
              <w:top w:color="000000" w:space="0" w:sz="0" w:val="nil"/>
            </w:tcBorders>
          </w:tcPr>
          <w:p w:rsidR="00000000" w:rsidDel="00000000" w:rsidP="00000000" w:rsidRDefault="00000000" w:rsidRPr="00000000" w14:paraId="000000D9">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NE</w:t>
            </w:r>
          </w:p>
        </w:tc>
        <w:tc>
          <w:tcPr>
            <w:tcBorders>
              <w:top w:color="000000" w:space="0" w:sz="0" w:val="nil"/>
              <w:right w:color="000000" w:space="0" w:sz="0" w:val="nil"/>
            </w:tcBorders>
          </w:tcPr>
          <w:p w:rsidR="00000000" w:rsidDel="00000000" w:rsidP="00000000" w:rsidRDefault="00000000" w:rsidRPr="00000000" w14:paraId="000000DA">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NE</w:t>
            </w:r>
          </w:p>
        </w:tc>
        <w:tc>
          <w:tcPr>
            <w:tcBorders>
              <w:top w:color="000000" w:space="0" w:sz="0" w:val="nil"/>
              <w:left w:color="000000" w:space="0" w:sz="0" w:val="nil"/>
              <w:right w:color="000000" w:space="0" w:sz="0" w:val="nil"/>
            </w:tcBorders>
          </w:tcPr>
          <w:p w:rsidR="00000000" w:rsidDel="00000000" w:rsidP="00000000" w:rsidRDefault="00000000" w:rsidRPr="00000000" w14:paraId="000000DB">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NE</w:t>
            </w:r>
          </w:p>
        </w:tc>
        <w:tc>
          <w:tcPr>
            <w:tcBorders>
              <w:top w:color="000000" w:space="0" w:sz="0" w:val="nil"/>
              <w:left w:color="000000" w:space="0" w:sz="0" w:val="nil"/>
            </w:tcBorders>
          </w:tcPr>
          <w:p w:rsidR="00000000" w:rsidDel="00000000" w:rsidP="00000000" w:rsidRDefault="00000000" w:rsidRPr="00000000" w14:paraId="000000DC">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NE</w:t>
            </w:r>
          </w:p>
        </w:tc>
        <w:tc>
          <w:tcPr>
            <w:tcBorders>
              <w:top w:color="000000" w:space="0" w:sz="0" w:val="nil"/>
              <w:right w:color="000000" w:space="0" w:sz="0" w:val="nil"/>
            </w:tcBorders>
          </w:tcPr>
          <w:p w:rsidR="00000000" w:rsidDel="00000000" w:rsidP="00000000" w:rsidRDefault="00000000" w:rsidRPr="00000000" w14:paraId="000000DD">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NE</w:t>
            </w:r>
          </w:p>
        </w:tc>
        <w:tc>
          <w:tcPr>
            <w:tcBorders>
              <w:top w:color="000000" w:space="0" w:sz="0" w:val="nil"/>
              <w:left w:color="000000" w:space="0" w:sz="0" w:val="nil"/>
              <w:right w:color="000000" w:space="0" w:sz="0" w:val="nil"/>
            </w:tcBorders>
          </w:tcPr>
          <w:p w:rsidR="00000000" w:rsidDel="00000000" w:rsidP="00000000" w:rsidRDefault="00000000" w:rsidRPr="00000000" w14:paraId="000000DE">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NE</w:t>
            </w:r>
          </w:p>
        </w:tc>
        <w:tc>
          <w:tcPr>
            <w:tcBorders>
              <w:top w:color="000000" w:space="0" w:sz="0" w:val="nil"/>
              <w:left w:color="000000" w:space="0" w:sz="0" w:val="nil"/>
              <w:right w:color="000000" w:space="0" w:sz="0" w:val="nil"/>
            </w:tcBorders>
          </w:tcPr>
          <w:p w:rsidR="00000000" w:rsidDel="00000000" w:rsidP="00000000" w:rsidRDefault="00000000" w:rsidRPr="00000000" w14:paraId="000000DF">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NE</w:t>
            </w:r>
          </w:p>
        </w:tc>
      </w:tr>
    </w:tbl>
    <w:p w:rsidR="00000000" w:rsidDel="00000000" w:rsidP="00000000" w:rsidRDefault="00000000" w:rsidRPr="00000000" w14:paraId="000000E0">
      <w:pPr>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Fonte: Autores, 2025. </w:t>
      </w:r>
    </w:p>
    <w:p w:rsidR="00000000" w:rsidDel="00000000" w:rsidP="00000000" w:rsidRDefault="00000000" w:rsidRPr="00000000" w14:paraId="000000E1">
      <w:pPr>
        <w:spacing w:after="0" w:line="240"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E2">
      <w:pPr>
        <w:spacing w:after="0" w:line="360" w:lineRule="auto"/>
        <w:ind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Além disso, observou-se ausência de crescimento fúngico nos meios de cultura testados, sugerindo uma predominância bacteriana sob as condições de incubação utilizadas. A segunda amostra de solo de </w:t>
      </w:r>
      <w:r w:rsidDel="00000000" w:rsidR="00000000" w:rsidRPr="00000000">
        <w:rPr>
          <w:rFonts w:ascii="Times New Roman" w:cs="Times New Roman" w:eastAsia="Times New Roman" w:hAnsi="Times New Roman"/>
          <w:i w:val="1"/>
          <w:iCs w:val="1"/>
          <w:sz w:val="24"/>
          <w:szCs w:val="24"/>
          <w:rtl w:val="0"/>
        </w:rPr>
        <w:t xml:space="preserve">Theobroma cacao</w:t>
      </w:r>
      <w:r w:rsidDel="00000000" w:rsidR="00000000" w:rsidRPr="00000000">
        <w:rPr>
          <w:rFonts w:ascii="Times New Roman" w:cs="Times New Roman" w:eastAsia="Times New Roman" w:hAnsi="Times New Roman"/>
          <w:sz w:val="24"/>
          <w:szCs w:val="24"/>
          <w:rtl w:val="0"/>
        </w:rPr>
        <w:t xml:space="preserve"> (Cacau 2) apresentou resultados semelhantes, com a maioria das placas registrando NE, inviabilizando a quantificação das colônias. Entretanto, na diluição 10⁻¹, foi possível visualizar crescimento de microrganismos fúngicos, evidenciando que, embora minoritário, o componente fúngico estava presente (Figura 5).</w:t>
      </w:r>
    </w:p>
    <w:p w:rsidR="00000000" w:rsidDel="00000000" w:rsidP="00000000" w:rsidRDefault="00000000" w:rsidRPr="00000000" w14:paraId="000000E3">
      <w:pPr>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Figura 5 – Placas com microrganismos em diferentes concentrações e meios de cultura, oriundos do solo de cultivo de </w:t>
      </w:r>
      <w:r w:rsidDel="00000000" w:rsidR="00000000" w:rsidRPr="00000000">
        <w:rPr>
          <w:rFonts w:ascii="Times New Roman" w:cs="Times New Roman" w:eastAsia="Times New Roman" w:hAnsi="Times New Roman"/>
          <w:i w:val="1"/>
          <w:iCs w:val="1"/>
          <w:rtl w:val="0"/>
        </w:rPr>
        <w:t xml:space="preserve">Theobroma cacao.</w:t>
      </w:r>
      <w:r w:rsidDel="00000000" w:rsidR="00000000" w:rsidRPr="00000000">
        <w:rPr>
          <w:rtl w:val="0"/>
        </w:rPr>
      </w:r>
    </w:p>
    <w:p w:rsidR="00000000" w:rsidDel="00000000" w:rsidP="00000000" w:rsidRDefault="00000000" w:rsidRPr="00000000" w14:paraId="000000E4">
      <w:pPr>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3745543" cy="1609129"/>
            <wp:effectExtent b="0" l="0" r="0" t="0"/>
            <wp:docPr id="16" name="image9.png"/>
            <a:graphic>
              <a:graphicData uri="http://schemas.openxmlformats.org/drawingml/2006/picture">
                <pic:pic>
                  <pic:nvPicPr>
                    <pic:cNvPr id="0" name="image9.png"/>
                    <pic:cNvPicPr preferRelativeResize="0"/>
                  </pic:nvPicPr>
                  <pic:blipFill>
                    <a:blip r:embed="rId12"/>
                    <a:srcRect b="23584" l="0" r="0" t="0"/>
                    <a:stretch>
                      <a:fillRect/>
                    </a:stretch>
                  </pic:blipFill>
                  <pic:spPr>
                    <a:xfrm>
                      <a:off x="0" y="0"/>
                      <a:ext cx="3745543" cy="1609129"/>
                    </a:xfrm>
                    <a:prstGeom prst="rect"/>
                    <a:ln/>
                  </pic:spPr>
                </pic:pic>
              </a:graphicData>
            </a:graphic>
          </wp:inline>
        </w:drawing>
      </w:r>
      <w:r w:rsidDel="00000000" w:rsidR="00000000" w:rsidRPr="00000000">
        <w:rPr>
          <w:rtl w:val="0"/>
        </w:rPr>
      </w:r>
    </w:p>
    <w:p w:rsidR="00000000" w:rsidDel="00000000" w:rsidP="00000000" w:rsidRDefault="00000000" w:rsidRPr="00000000" w14:paraId="000000E5">
      <w:pPr>
        <w:spacing w:after="20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rtl w:val="0"/>
        </w:rPr>
        <w:t xml:space="preserve">Fonte: Autores, 2025. </w:t>
      </w:r>
      <w:r w:rsidDel="00000000" w:rsidR="00000000" w:rsidRPr="00000000">
        <w:rPr>
          <w:rtl w:val="0"/>
        </w:rPr>
      </w:r>
    </w:p>
    <w:p w:rsidR="00000000" w:rsidDel="00000000" w:rsidP="00000000" w:rsidRDefault="00000000" w:rsidRPr="00000000" w14:paraId="000000E6">
      <w:pPr>
        <w:spacing w:after="0" w:line="24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Tabela 4 –</w:t>
      </w:r>
      <w:r w:rsidDel="00000000" w:rsidR="00000000" w:rsidRPr="00000000">
        <w:rPr>
          <w:rFonts w:ascii="Times New Roman" w:cs="Times New Roman" w:eastAsia="Times New Roman" w:hAnsi="Times New Roman"/>
          <w:b w:val="1"/>
          <w:bCs w:val="1"/>
          <w:rtl w:val="0"/>
        </w:rPr>
        <w:t xml:space="preserve"> </w:t>
      </w:r>
      <w:r w:rsidDel="00000000" w:rsidR="00000000" w:rsidRPr="00000000">
        <w:rPr>
          <w:rFonts w:ascii="Times New Roman" w:cs="Times New Roman" w:eastAsia="Times New Roman" w:hAnsi="Times New Roman"/>
          <w:rtl w:val="0"/>
        </w:rPr>
        <w:t xml:space="preserve">Contagem de colônias prospectadas em diferentes meios de cultura, obtidas do processo de diluição seriada dos solos de </w:t>
      </w:r>
      <w:r w:rsidDel="00000000" w:rsidR="00000000" w:rsidRPr="00000000">
        <w:rPr>
          <w:rFonts w:ascii="Times New Roman" w:cs="Times New Roman" w:eastAsia="Times New Roman" w:hAnsi="Times New Roman"/>
          <w:i w:val="1"/>
          <w:iCs w:val="1"/>
          <w:rtl w:val="0"/>
        </w:rPr>
        <w:t xml:space="preserve">Theobroma cacao</w:t>
      </w:r>
      <w:r w:rsidDel="00000000" w:rsidR="00000000" w:rsidRPr="00000000">
        <w:rPr>
          <w:rFonts w:ascii="Times New Roman" w:cs="Times New Roman" w:eastAsia="Times New Roman" w:hAnsi="Times New Roman"/>
          <w:rtl w:val="0"/>
        </w:rPr>
        <w:t xml:space="preserve">, coletados do Sítio Agroecológico Tolú.  NE: Número Excessivo de colônias, o que torna impossivel a contagem. </w:t>
      </w:r>
    </w:p>
    <w:tbl>
      <w:tblPr>
        <w:tblStyle w:val="Table5"/>
        <w:tblpPr w:leftFromText="180" w:rightFromText="180" w:topFromText="180" w:bottomFromText="180" w:vertAnchor="text" w:horzAnchor="text" w:tblpX="9" w:tblpY="0"/>
        <w:tblW w:w="886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085"/>
        <w:gridCol w:w="1320"/>
        <w:gridCol w:w="1155"/>
        <w:gridCol w:w="750"/>
        <w:gridCol w:w="750"/>
        <w:gridCol w:w="1035"/>
        <w:gridCol w:w="1050"/>
        <w:gridCol w:w="720"/>
        <w:tblGridChange w:id="0">
          <w:tblGrid>
            <w:gridCol w:w="2085"/>
            <w:gridCol w:w="1320"/>
            <w:gridCol w:w="1155"/>
            <w:gridCol w:w="750"/>
            <w:gridCol w:w="750"/>
            <w:gridCol w:w="1035"/>
            <w:gridCol w:w="1050"/>
            <w:gridCol w:w="720"/>
          </w:tblGrid>
        </w:tblGridChange>
      </w:tblGrid>
      <w:tr>
        <w:trPr>
          <w:cantSplit w:val="0"/>
          <w:trHeight w:val="327" w:hRule="atLeast"/>
          <w:tblHeader w:val="0"/>
        </w:trPr>
        <w:tc>
          <w:tcPr>
            <w:gridSpan w:val="8"/>
            <w:tcBorders>
              <w:top w:color="000000" w:space="0" w:sz="12" w:val="single"/>
              <w:left w:color="000000" w:space="0" w:sz="0" w:val="nil"/>
              <w:bottom w:color="000000" w:space="0" w:sz="12" w:val="single"/>
            </w:tcBorders>
          </w:tcPr>
          <w:p w:rsidR="00000000" w:rsidDel="00000000" w:rsidP="00000000" w:rsidRDefault="00000000" w:rsidRPr="00000000" w14:paraId="000000E7">
            <w:pPr>
              <w:widowControl w:val="0"/>
              <w:spacing w:after="0" w:line="240" w:lineRule="auto"/>
              <w:jc w:val="center"/>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b w:val="1"/>
                <w:bCs w:val="1"/>
                <w:rtl w:val="0"/>
              </w:rPr>
              <w:t xml:space="preserve">Quantidade de colônias obtidas em área de cultivo de </w:t>
            </w:r>
            <w:r w:rsidDel="00000000" w:rsidR="00000000" w:rsidRPr="00000000">
              <w:rPr>
                <w:rFonts w:ascii="Times New Roman" w:cs="Times New Roman" w:eastAsia="Times New Roman" w:hAnsi="Times New Roman"/>
                <w:b w:val="1"/>
                <w:bCs w:val="1"/>
                <w:i w:val="1"/>
                <w:iCs w:val="1"/>
                <w:rtl w:val="0"/>
              </w:rPr>
              <w:t xml:space="preserve">Theobroma cacao </w:t>
            </w:r>
            <w:r w:rsidDel="00000000" w:rsidR="00000000" w:rsidRPr="00000000">
              <w:rPr>
                <w:rFonts w:ascii="Times New Roman" w:cs="Times New Roman" w:eastAsia="Times New Roman" w:hAnsi="Times New Roman"/>
                <w:b w:val="1"/>
                <w:bCs w:val="1"/>
                <w:rtl w:val="0"/>
              </w:rPr>
              <w:t xml:space="preserve">(Cacau 2) </w:t>
            </w:r>
          </w:p>
        </w:tc>
      </w:tr>
      <w:tr>
        <w:trPr>
          <w:cantSplit w:val="0"/>
          <w:trHeight w:val="417" w:hRule="atLeast"/>
          <w:tblHeader w:val="0"/>
        </w:trPr>
        <w:tc>
          <w:tcPr>
            <w:tcBorders>
              <w:top w:color="000000" w:space="0" w:sz="12" w:val="single"/>
              <w:left w:color="000000" w:space="0" w:sz="0" w:val="nil"/>
            </w:tcBorders>
          </w:tcPr>
          <w:p w:rsidR="00000000" w:rsidDel="00000000" w:rsidP="00000000" w:rsidRDefault="00000000" w:rsidRPr="00000000" w14:paraId="000000EF">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Meios de cultura</w:t>
            </w:r>
          </w:p>
        </w:tc>
        <w:tc>
          <w:tcPr>
            <w:tcBorders>
              <w:top w:color="000000" w:space="0" w:sz="12" w:val="single"/>
            </w:tcBorders>
          </w:tcPr>
          <w:p w:rsidR="00000000" w:rsidDel="00000000" w:rsidP="00000000" w:rsidRDefault="00000000" w:rsidRPr="00000000" w14:paraId="000000F0">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C10</w:t>
            </w:r>
            <w:r w:rsidDel="00000000" w:rsidR="00000000" w:rsidRPr="00000000">
              <w:rPr>
                <w:rFonts w:ascii="Times New Roman" w:cs="Times New Roman" w:eastAsia="Times New Roman" w:hAnsi="Times New Roman"/>
                <w:vertAlign w:val="superscript"/>
                <w:rtl w:val="0"/>
              </w:rPr>
              <w:t xml:space="preserve">-1</w:t>
            </w:r>
            <w:r w:rsidDel="00000000" w:rsidR="00000000" w:rsidRPr="00000000">
              <w:rPr>
                <w:rtl w:val="0"/>
              </w:rPr>
            </w:r>
          </w:p>
        </w:tc>
        <w:tc>
          <w:tcPr>
            <w:gridSpan w:val="3"/>
            <w:tcBorders>
              <w:top w:color="000000" w:space="0" w:sz="12" w:val="single"/>
            </w:tcBorders>
          </w:tcPr>
          <w:p w:rsidR="00000000" w:rsidDel="00000000" w:rsidP="00000000" w:rsidRDefault="00000000" w:rsidRPr="00000000" w14:paraId="000000F1">
            <w:pPr>
              <w:widowControl w:val="0"/>
              <w:spacing w:after="0" w:line="240" w:lineRule="auto"/>
              <w:jc w:val="center"/>
              <w:rPr>
                <w:rFonts w:ascii="Times New Roman" w:cs="Times New Roman" w:eastAsia="Times New Roman" w:hAnsi="Times New Roman"/>
                <w:vertAlign w:val="superscript"/>
              </w:rPr>
            </w:pPr>
            <w:r w:rsidDel="00000000" w:rsidR="00000000" w:rsidRPr="00000000">
              <w:rPr>
                <w:rFonts w:ascii="Times New Roman" w:cs="Times New Roman" w:eastAsia="Times New Roman" w:hAnsi="Times New Roman"/>
                <w:rtl w:val="0"/>
              </w:rPr>
              <w:t xml:space="preserve">C 10</w:t>
            </w:r>
            <w:r w:rsidDel="00000000" w:rsidR="00000000" w:rsidRPr="00000000">
              <w:rPr>
                <w:rFonts w:ascii="Times New Roman" w:cs="Times New Roman" w:eastAsia="Times New Roman" w:hAnsi="Times New Roman"/>
                <w:vertAlign w:val="superscript"/>
                <w:rtl w:val="0"/>
              </w:rPr>
              <w:t xml:space="preserve">-4</w:t>
            </w:r>
          </w:p>
        </w:tc>
        <w:tc>
          <w:tcPr>
            <w:gridSpan w:val="3"/>
            <w:tcBorders>
              <w:top w:color="000000" w:space="0" w:sz="12" w:val="single"/>
            </w:tcBorders>
          </w:tcPr>
          <w:p w:rsidR="00000000" w:rsidDel="00000000" w:rsidP="00000000" w:rsidRDefault="00000000" w:rsidRPr="00000000" w14:paraId="000000F4">
            <w:pPr>
              <w:widowControl w:val="0"/>
              <w:spacing w:after="0" w:line="240" w:lineRule="auto"/>
              <w:jc w:val="center"/>
              <w:rPr>
                <w:rFonts w:ascii="Times New Roman" w:cs="Times New Roman" w:eastAsia="Times New Roman" w:hAnsi="Times New Roman"/>
                <w:vertAlign w:val="superscript"/>
              </w:rPr>
            </w:pPr>
            <w:r w:rsidDel="00000000" w:rsidR="00000000" w:rsidRPr="00000000">
              <w:rPr>
                <w:rFonts w:ascii="Times New Roman" w:cs="Times New Roman" w:eastAsia="Times New Roman" w:hAnsi="Times New Roman"/>
                <w:rtl w:val="0"/>
              </w:rPr>
              <w:t xml:space="preserve">C10</w:t>
            </w:r>
            <w:r w:rsidDel="00000000" w:rsidR="00000000" w:rsidRPr="00000000">
              <w:rPr>
                <w:rFonts w:ascii="Times New Roman" w:cs="Times New Roman" w:eastAsia="Times New Roman" w:hAnsi="Times New Roman"/>
                <w:vertAlign w:val="superscript"/>
                <w:rtl w:val="0"/>
              </w:rPr>
              <w:t xml:space="preserve">-5</w:t>
            </w:r>
          </w:p>
        </w:tc>
      </w:tr>
      <w:tr>
        <w:trPr>
          <w:cantSplit w:val="0"/>
          <w:trHeight w:val="440" w:hRule="atLeast"/>
          <w:tblHeader w:val="0"/>
        </w:trPr>
        <w:tc>
          <w:tcPr>
            <w:tcBorders>
              <w:left w:color="000000" w:space="0" w:sz="0" w:val="nil"/>
              <w:bottom w:color="000000" w:space="0" w:sz="0" w:val="nil"/>
            </w:tcBorders>
          </w:tcPr>
          <w:p w:rsidR="00000000" w:rsidDel="00000000" w:rsidP="00000000" w:rsidRDefault="00000000" w:rsidRPr="00000000" w14:paraId="000000F7">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PCA</w:t>
            </w:r>
          </w:p>
        </w:tc>
        <w:tc>
          <w:tcPr>
            <w:tcBorders>
              <w:bottom w:color="000000" w:space="0" w:sz="0" w:val="nil"/>
            </w:tcBorders>
          </w:tcPr>
          <w:p w:rsidR="00000000" w:rsidDel="00000000" w:rsidP="00000000" w:rsidRDefault="00000000" w:rsidRPr="00000000" w14:paraId="000000F8">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NE</w:t>
            </w:r>
          </w:p>
        </w:tc>
        <w:tc>
          <w:tcPr>
            <w:tcBorders>
              <w:bottom w:color="000000" w:space="0" w:sz="0" w:val="nil"/>
              <w:right w:color="000000" w:space="0" w:sz="0" w:val="nil"/>
            </w:tcBorders>
          </w:tcPr>
          <w:p w:rsidR="00000000" w:rsidDel="00000000" w:rsidP="00000000" w:rsidRDefault="00000000" w:rsidRPr="00000000" w14:paraId="000000F9">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NE</w:t>
            </w:r>
          </w:p>
        </w:tc>
        <w:tc>
          <w:tcPr>
            <w:tcBorders>
              <w:left w:color="000000" w:space="0" w:sz="0" w:val="nil"/>
              <w:bottom w:color="000000" w:space="0" w:sz="0" w:val="nil"/>
              <w:right w:color="000000" w:space="0" w:sz="0" w:val="nil"/>
            </w:tcBorders>
          </w:tcPr>
          <w:p w:rsidR="00000000" w:rsidDel="00000000" w:rsidP="00000000" w:rsidRDefault="00000000" w:rsidRPr="00000000" w14:paraId="000000FA">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NE</w:t>
            </w:r>
          </w:p>
        </w:tc>
        <w:tc>
          <w:tcPr>
            <w:tcBorders>
              <w:left w:color="000000" w:space="0" w:sz="0" w:val="nil"/>
              <w:bottom w:color="000000" w:space="0" w:sz="0" w:val="nil"/>
            </w:tcBorders>
          </w:tcPr>
          <w:p w:rsidR="00000000" w:rsidDel="00000000" w:rsidP="00000000" w:rsidRDefault="00000000" w:rsidRPr="00000000" w14:paraId="000000FB">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NE</w:t>
            </w:r>
          </w:p>
        </w:tc>
        <w:tc>
          <w:tcPr>
            <w:tcBorders>
              <w:bottom w:color="000000" w:space="0" w:sz="0" w:val="nil"/>
              <w:right w:color="000000" w:space="0" w:sz="0" w:val="nil"/>
            </w:tcBorders>
          </w:tcPr>
          <w:p w:rsidR="00000000" w:rsidDel="00000000" w:rsidP="00000000" w:rsidRDefault="00000000" w:rsidRPr="00000000" w14:paraId="000000FC">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NE</w:t>
            </w:r>
          </w:p>
        </w:tc>
        <w:tc>
          <w:tcPr>
            <w:tcBorders>
              <w:left w:color="000000" w:space="0" w:sz="0" w:val="nil"/>
              <w:bottom w:color="000000" w:space="0" w:sz="0" w:val="nil"/>
              <w:right w:color="000000" w:space="0" w:sz="0" w:val="nil"/>
            </w:tcBorders>
          </w:tcPr>
          <w:p w:rsidR="00000000" w:rsidDel="00000000" w:rsidP="00000000" w:rsidRDefault="00000000" w:rsidRPr="00000000" w14:paraId="000000FD">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NE</w:t>
            </w:r>
          </w:p>
        </w:tc>
        <w:tc>
          <w:tcPr>
            <w:tcBorders>
              <w:left w:color="000000" w:space="0" w:sz="0" w:val="nil"/>
              <w:bottom w:color="000000" w:space="0" w:sz="0" w:val="nil"/>
              <w:right w:color="000000" w:space="0" w:sz="0" w:val="nil"/>
            </w:tcBorders>
          </w:tcPr>
          <w:p w:rsidR="00000000" w:rsidDel="00000000" w:rsidP="00000000" w:rsidRDefault="00000000" w:rsidRPr="00000000" w14:paraId="000000FE">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NE</w:t>
            </w:r>
          </w:p>
        </w:tc>
      </w:tr>
      <w:tr>
        <w:trPr>
          <w:cantSplit w:val="0"/>
          <w:trHeight w:val="440" w:hRule="atLeast"/>
          <w:tblHeader w:val="0"/>
        </w:trPr>
        <w:tc>
          <w:tcPr>
            <w:tcBorders>
              <w:top w:color="000000" w:space="0" w:sz="0" w:val="nil"/>
              <w:left w:color="000000" w:space="0" w:sz="0" w:val="nil"/>
              <w:bottom w:color="000000" w:space="0" w:sz="0" w:val="nil"/>
            </w:tcBorders>
          </w:tcPr>
          <w:p w:rsidR="00000000" w:rsidDel="00000000" w:rsidP="00000000" w:rsidRDefault="00000000" w:rsidRPr="00000000" w14:paraId="000000FF">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BDA</w:t>
            </w:r>
          </w:p>
        </w:tc>
        <w:tc>
          <w:tcPr>
            <w:tcBorders>
              <w:top w:color="000000" w:space="0" w:sz="0" w:val="nil"/>
              <w:bottom w:color="000000" w:space="0" w:sz="0" w:val="nil"/>
            </w:tcBorders>
          </w:tcPr>
          <w:p w:rsidR="00000000" w:rsidDel="00000000" w:rsidP="00000000" w:rsidRDefault="00000000" w:rsidRPr="00000000" w14:paraId="00000100">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1,1 × 10</w:t>
            </w:r>
            <w:r w:rsidDel="00000000" w:rsidR="00000000" w:rsidRPr="00000000">
              <w:rPr>
                <w:rFonts w:ascii="Times New Roman" w:cs="Times New Roman" w:eastAsia="Times New Roman" w:hAnsi="Times New Roman"/>
                <w:vertAlign w:val="superscript"/>
                <w:rtl w:val="0"/>
              </w:rPr>
              <w:t xml:space="preserve">3</w:t>
            </w:r>
            <w:r w:rsidDel="00000000" w:rsidR="00000000" w:rsidRPr="00000000">
              <w:rPr>
                <w:rtl w:val="0"/>
              </w:rPr>
            </w:r>
          </w:p>
        </w:tc>
        <w:tc>
          <w:tcPr>
            <w:tcBorders>
              <w:top w:color="000000" w:space="0" w:sz="0" w:val="nil"/>
              <w:bottom w:color="000000" w:space="0" w:sz="0" w:val="nil"/>
              <w:right w:color="000000" w:space="0" w:sz="0" w:val="nil"/>
            </w:tcBorders>
          </w:tcPr>
          <w:p w:rsidR="00000000" w:rsidDel="00000000" w:rsidP="00000000" w:rsidRDefault="00000000" w:rsidRPr="00000000" w14:paraId="00000101">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NE</w:t>
            </w:r>
          </w:p>
        </w:tc>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102">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NE</w:t>
            </w:r>
          </w:p>
        </w:tc>
        <w:tc>
          <w:tcPr>
            <w:tcBorders>
              <w:top w:color="000000" w:space="0" w:sz="0" w:val="nil"/>
              <w:left w:color="000000" w:space="0" w:sz="0" w:val="nil"/>
              <w:bottom w:color="000000" w:space="0" w:sz="0" w:val="nil"/>
            </w:tcBorders>
          </w:tcPr>
          <w:p w:rsidR="00000000" w:rsidDel="00000000" w:rsidP="00000000" w:rsidRDefault="00000000" w:rsidRPr="00000000" w14:paraId="00000103">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NE</w:t>
            </w:r>
          </w:p>
        </w:tc>
        <w:tc>
          <w:tcPr>
            <w:tcBorders>
              <w:top w:color="000000" w:space="0" w:sz="0" w:val="nil"/>
              <w:bottom w:color="000000" w:space="0" w:sz="0" w:val="nil"/>
              <w:right w:color="000000" w:space="0" w:sz="0" w:val="nil"/>
            </w:tcBorders>
          </w:tcPr>
          <w:p w:rsidR="00000000" w:rsidDel="00000000" w:rsidP="00000000" w:rsidRDefault="00000000" w:rsidRPr="00000000" w14:paraId="00000104">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3,0 ×10⁶</w:t>
            </w:r>
          </w:p>
        </w:tc>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105">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4,0 × 10⁶</w:t>
            </w:r>
          </w:p>
        </w:tc>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106">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NE</w:t>
            </w:r>
          </w:p>
        </w:tc>
      </w:tr>
      <w:tr>
        <w:trPr>
          <w:cantSplit w:val="0"/>
          <w:trHeight w:val="440" w:hRule="atLeast"/>
          <w:tblHeader w:val="0"/>
        </w:trPr>
        <w:tc>
          <w:tcPr>
            <w:tcBorders>
              <w:top w:color="000000" w:space="0" w:sz="0" w:val="nil"/>
              <w:left w:color="000000" w:space="0" w:sz="0" w:val="nil"/>
            </w:tcBorders>
          </w:tcPr>
          <w:p w:rsidR="00000000" w:rsidDel="00000000" w:rsidP="00000000" w:rsidRDefault="00000000" w:rsidRPr="00000000" w14:paraId="00000107">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NYDA</w:t>
            </w:r>
          </w:p>
        </w:tc>
        <w:tc>
          <w:tcPr>
            <w:tcBorders>
              <w:top w:color="000000" w:space="0" w:sz="0" w:val="nil"/>
            </w:tcBorders>
          </w:tcPr>
          <w:p w:rsidR="00000000" w:rsidDel="00000000" w:rsidP="00000000" w:rsidRDefault="00000000" w:rsidRPr="00000000" w14:paraId="00000108">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NE</w:t>
            </w:r>
          </w:p>
        </w:tc>
        <w:tc>
          <w:tcPr>
            <w:tcBorders>
              <w:top w:color="000000" w:space="0" w:sz="0" w:val="nil"/>
              <w:right w:color="000000" w:space="0" w:sz="0" w:val="nil"/>
            </w:tcBorders>
          </w:tcPr>
          <w:p w:rsidR="00000000" w:rsidDel="00000000" w:rsidP="00000000" w:rsidRDefault="00000000" w:rsidRPr="00000000" w14:paraId="00000109">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7,0 × 10⁵</w:t>
            </w:r>
          </w:p>
        </w:tc>
        <w:tc>
          <w:tcPr>
            <w:tcBorders>
              <w:top w:color="000000" w:space="0" w:sz="0" w:val="nil"/>
              <w:left w:color="000000" w:space="0" w:sz="0" w:val="nil"/>
              <w:right w:color="000000" w:space="0" w:sz="0" w:val="nil"/>
            </w:tcBorders>
          </w:tcPr>
          <w:p w:rsidR="00000000" w:rsidDel="00000000" w:rsidP="00000000" w:rsidRDefault="00000000" w:rsidRPr="00000000" w14:paraId="0000010A">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NE</w:t>
            </w:r>
          </w:p>
        </w:tc>
        <w:tc>
          <w:tcPr>
            <w:tcBorders>
              <w:top w:color="000000" w:space="0" w:sz="0" w:val="nil"/>
              <w:left w:color="000000" w:space="0" w:sz="0" w:val="nil"/>
            </w:tcBorders>
          </w:tcPr>
          <w:p w:rsidR="00000000" w:rsidDel="00000000" w:rsidP="00000000" w:rsidRDefault="00000000" w:rsidRPr="00000000" w14:paraId="0000010B">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NE</w:t>
            </w:r>
          </w:p>
        </w:tc>
        <w:tc>
          <w:tcPr>
            <w:tcBorders>
              <w:top w:color="000000" w:space="0" w:sz="0" w:val="nil"/>
              <w:right w:color="000000" w:space="0" w:sz="0" w:val="nil"/>
            </w:tcBorders>
          </w:tcPr>
          <w:p w:rsidR="00000000" w:rsidDel="00000000" w:rsidP="00000000" w:rsidRDefault="00000000" w:rsidRPr="00000000" w14:paraId="0000010C">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NE</w:t>
            </w:r>
          </w:p>
        </w:tc>
        <w:tc>
          <w:tcPr>
            <w:tcBorders>
              <w:top w:color="000000" w:space="0" w:sz="0" w:val="nil"/>
              <w:left w:color="000000" w:space="0" w:sz="0" w:val="nil"/>
              <w:right w:color="000000" w:space="0" w:sz="0" w:val="nil"/>
            </w:tcBorders>
          </w:tcPr>
          <w:p w:rsidR="00000000" w:rsidDel="00000000" w:rsidP="00000000" w:rsidRDefault="00000000" w:rsidRPr="00000000" w14:paraId="0000010D">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NE</w:t>
            </w:r>
          </w:p>
        </w:tc>
        <w:tc>
          <w:tcPr>
            <w:tcBorders>
              <w:top w:color="000000" w:space="0" w:sz="0" w:val="nil"/>
              <w:left w:color="000000" w:space="0" w:sz="0" w:val="nil"/>
              <w:right w:color="000000" w:space="0" w:sz="0" w:val="nil"/>
            </w:tcBorders>
          </w:tcPr>
          <w:p w:rsidR="00000000" w:rsidDel="00000000" w:rsidP="00000000" w:rsidRDefault="00000000" w:rsidRPr="00000000" w14:paraId="0000010E">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NE</w:t>
            </w:r>
          </w:p>
        </w:tc>
      </w:tr>
    </w:tbl>
    <w:p w:rsidR="00000000" w:rsidDel="00000000" w:rsidP="00000000" w:rsidRDefault="00000000" w:rsidRPr="00000000" w14:paraId="0000010F">
      <w:pPr>
        <w:spacing w:after="20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rtl w:val="0"/>
        </w:rPr>
        <w:t xml:space="preserve">Fonte: Autores, 2025.</w:t>
      </w:r>
      <w:r w:rsidDel="00000000" w:rsidR="00000000" w:rsidRPr="00000000">
        <w:rPr>
          <w:rtl w:val="0"/>
        </w:rPr>
      </w:r>
    </w:p>
    <w:p w:rsidR="00000000" w:rsidDel="00000000" w:rsidP="00000000" w:rsidRDefault="00000000" w:rsidRPr="00000000" w14:paraId="00000110">
      <w:pPr>
        <w:spacing w:after="0" w:line="360" w:lineRule="auto"/>
        <w:ind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Os padrões evidenciados demonstram que a composição e a estrutura da comunidade microbiana do solo são fortemente moduladas pelo tipo de cultivo e pelas práticas de manejo adotadas. Nos solos sob cultivo de Musa paradisiaca e Theobroma cacao, observou-se predominância bacteriana, possivelmente relacionada ao aporte contínuo de matéria orgânica e à rápida colonização por bactérias heterotróficas, enquanto a rizosfera de Ceiba pentandra apresentou maior diversidade microbiana e forte presença de fungos, refletindo a complexidade do sistema radicular e a disponibilidade de exsudatos orgânicos que favorecem a coexistência entre grupos microbianos (Fierer; Jackson, 2006; Philippot </w:t>
      </w:r>
      <w:r w:rsidDel="00000000" w:rsidR="00000000" w:rsidRPr="00000000">
        <w:rPr>
          <w:rFonts w:ascii="Times New Roman" w:cs="Times New Roman" w:eastAsia="Times New Roman" w:hAnsi="Times New Roman"/>
          <w:i w:val="1"/>
          <w:iCs w:val="1"/>
          <w:sz w:val="24"/>
          <w:szCs w:val="24"/>
          <w:rtl w:val="0"/>
        </w:rPr>
        <w:t xml:space="preserve">et al</w:t>
      </w:r>
      <w:r w:rsidDel="00000000" w:rsidR="00000000" w:rsidRPr="00000000">
        <w:rPr>
          <w:rFonts w:ascii="Times New Roman" w:cs="Times New Roman" w:eastAsia="Times New Roman" w:hAnsi="Times New Roman"/>
          <w:sz w:val="24"/>
          <w:szCs w:val="24"/>
          <w:rtl w:val="0"/>
        </w:rPr>
        <w:t xml:space="preserve">., 2013). Além disso, os resultados destacam limitações inerentes aos métodos convencionais de contagem, especialmente em solos com elevada densidade microbiana, reforçando a necessidade de técnicas complementares, como análises moleculares e abordagens metagenômicas, para uma estimativa mais precisa da diversidade e abundância de microrganismos (Caporaso </w:t>
      </w:r>
      <w:r w:rsidDel="00000000" w:rsidR="00000000" w:rsidRPr="00000000">
        <w:rPr>
          <w:rFonts w:ascii="Times New Roman" w:cs="Times New Roman" w:eastAsia="Times New Roman" w:hAnsi="Times New Roman"/>
          <w:i w:val="1"/>
          <w:iCs w:val="1"/>
          <w:sz w:val="24"/>
          <w:szCs w:val="24"/>
          <w:rtl w:val="0"/>
        </w:rPr>
        <w:t xml:space="preserve">et al</w:t>
      </w:r>
      <w:r w:rsidDel="00000000" w:rsidR="00000000" w:rsidRPr="00000000">
        <w:rPr>
          <w:rFonts w:ascii="Times New Roman" w:cs="Times New Roman" w:eastAsia="Times New Roman" w:hAnsi="Times New Roman"/>
          <w:sz w:val="24"/>
          <w:szCs w:val="24"/>
          <w:rtl w:val="0"/>
        </w:rPr>
        <w:t xml:space="preserve">., 2012).</w:t>
      </w:r>
    </w:p>
    <w:p w:rsidR="00000000" w:rsidDel="00000000" w:rsidP="00000000" w:rsidRDefault="00000000" w:rsidRPr="00000000" w14:paraId="00000111">
      <w:pPr>
        <w:spacing w:after="0" w:line="360" w:lineRule="auto"/>
        <w:ind w:left="0" w:firstLine="708.661417322834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Os dados obtidos reforçam que sistemas com maior diversidade radicular, como os associados à C. pentandra, tendem a sustentar comunidades microbianas mais complexas e resilientes, contribuindo para maior estabilidade ecológica, melhoria da fertilidade e redução da incidência de fitopatógenos.</w:t>
      </w:r>
    </w:p>
    <w:p w:rsidR="00000000" w:rsidDel="00000000" w:rsidP="00000000" w:rsidRDefault="00000000" w:rsidRPr="00000000" w14:paraId="00000112">
      <w:pPr>
        <w:spacing w:after="0" w:line="240" w:lineRule="auto"/>
        <w:jc w:val="both"/>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4. CONCLUSÃO</w:t>
      </w:r>
    </w:p>
    <w:p w:rsidR="00000000" w:rsidDel="00000000" w:rsidP="00000000" w:rsidRDefault="00000000" w:rsidRPr="00000000" w14:paraId="00000113">
      <w:pPr>
        <w:spacing w:after="0" w:line="360" w:lineRule="auto"/>
        <w:ind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 estudo demonstrou que a composição e a abundância microbiana do solo variam de acordo com o tipo de cultura e as condições da rizosfera, com predominância bacteriana nos solos de </w:t>
      </w:r>
      <w:r w:rsidDel="00000000" w:rsidR="00000000" w:rsidRPr="00000000">
        <w:rPr>
          <w:rFonts w:ascii="Times New Roman" w:cs="Times New Roman" w:eastAsia="Times New Roman" w:hAnsi="Times New Roman"/>
          <w:i w:val="1"/>
          <w:iCs w:val="1"/>
          <w:sz w:val="24"/>
          <w:szCs w:val="24"/>
          <w:rtl w:val="0"/>
        </w:rPr>
        <w:t xml:space="preserve">Musa paradisiaca</w:t>
      </w:r>
      <w:r w:rsidDel="00000000" w:rsidR="00000000" w:rsidRPr="00000000">
        <w:rPr>
          <w:rFonts w:ascii="Times New Roman" w:cs="Times New Roman" w:eastAsia="Times New Roman" w:hAnsi="Times New Roman"/>
          <w:sz w:val="24"/>
          <w:szCs w:val="24"/>
          <w:rtl w:val="0"/>
        </w:rPr>
        <w:t xml:space="preserve"> e </w:t>
      </w:r>
      <w:r w:rsidDel="00000000" w:rsidR="00000000" w:rsidRPr="00000000">
        <w:rPr>
          <w:rFonts w:ascii="Times New Roman" w:cs="Times New Roman" w:eastAsia="Times New Roman" w:hAnsi="Times New Roman"/>
          <w:i w:val="1"/>
          <w:iCs w:val="1"/>
          <w:sz w:val="24"/>
          <w:szCs w:val="24"/>
          <w:rtl w:val="0"/>
        </w:rPr>
        <w:t xml:space="preserve">Theobroma cacao</w:t>
      </w:r>
      <w:r w:rsidDel="00000000" w:rsidR="00000000" w:rsidRPr="00000000">
        <w:rPr>
          <w:rFonts w:ascii="Times New Roman" w:cs="Times New Roman" w:eastAsia="Times New Roman" w:hAnsi="Times New Roman"/>
          <w:sz w:val="24"/>
          <w:szCs w:val="24"/>
          <w:rtl w:val="0"/>
        </w:rPr>
        <w:t xml:space="preserve">, enquanto </w:t>
      </w:r>
      <w:r w:rsidDel="00000000" w:rsidR="00000000" w:rsidRPr="00000000">
        <w:rPr>
          <w:rFonts w:ascii="Times New Roman" w:cs="Times New Roman" w:eastAsia="Times New Roman" w:hAnsi="Times New Roman"/>
          <w:i w:val="1"/>
          <w:iCs w:val="1"/>
          <w:sz w:val="24"/>
          <w:szCs w:val="24"/>
          <w:rtl w:val="0"/>
        </w:rPr>
        <w:t xml:space="preserve">Ceiba pentandra</w:t>
      </w:r>
      <w:r w:rsidDel="00000000" w:rsidR="00000000" w:rsidRPr="00000000">
        <w:rPr>
          <w:rFonts w:ascii="Times New Roman" w:cs="Times New Roman" w:eastAsia="Times New Roman" w:hAnsi="Times New Roman"/>
          <w:sz w:val="24"/>
          <w:szCs w:val="24"/>
          <w:rtl w:val="0"/>
        </w:rPr>
        <w:t xml:space="preserve"> apresentou maior diversidade, especialmente de fungos. A elevada contagem de colônias nas diluições mais concentradas indicou alta densidade microbiana e evidenciou limitações dos métodos convencionais de quantificação, reforçando a necessidade de técnicas moleculares complementares. Os resultados mostram que o manejo, a espécie cultivada e as propriedades do solo modulam significativamente a estrutura microbiana, com implicações diretas para a saúde do solo, sua resiliência ecológica e os processos de ciclagem de nutrientes.</w:t>
      </w:r>
    </w:p>
    <w:p w:rsidR="00000000" w:rsidDel="00000000" w:rsidP="00000000" w:rsidRDefault="00000000" w:rsidRPr="00000000" w14:paraId="00000114">
      <w:pPr>
        <w:spacing w:after="0" w:line="240" w:lineRule="auto"/>
        <w:jc w:val="both"/>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b w:val="1"/>
          <w:bCs w:val="1"/>
          <w:sz w:val="24"/>
          <w:szCs w:val="24"/>
          <w:rtl w:val="0"/>
        </w:rPr>
        <w:t xml:space="preserve">5. REFERÊNCIAS. </w:t>
      </w:r>
      <w:r w:rsidDel="00000000" w:rsidR="00000000" w:rsidRPr="00000000">
        <w:rPr>
          <w:rtl w:val="0"/>
        </w:rPr>
      </w:r>
    </w:p>
    <w:p w:rsidR="00000000" w:rsidDel="00000000" w:rsidP="00000000" w:rsidRDefault="00000000" w:rsidRPr="00000000" w14:paraId="00000115">
      <w:pPr>
        <w:spacing w:after="0" w:before="200" w:line="297" w:lineRule="auto"/>
        <w:jc w:val="both"/>
        <w:rPr>
          <w:rFonts w:ascii="Times New Roman" w:cs="Times New Roman" w:eastAsia="Times New Roman" w:hAnsi="Times New Roman"/>
          <w:color w:val="222222"/>
        </w:rPr>
      </w:pPr>
      <w:r w:rsidDel="00000000" w:rsidR="00000000" w:rsidRPr="00000000">
        <w:rPr>
          <w:rFonts w:ascii="Times New Roman" w:cs="Times New Roman" w:eastAsia="Times New Roman" w:hAnsi="Times New Roman"/>
          <w:color w:val="222222"/>
          <w:rtl w:val="0"/>
        </w:rPr>
        <w:t xml:space="preserve">BELLÉ, J.; SANDRI, M. A.; FOCHESATTO, B. Importância da matéria orgânica para o cultivo do morangueiro. In: MTC-Mostra Técnico Científica 2021-2ª edição IFRS-Campus Bento Gonçalves. 2021.</w:t>
      </w:r>
    </w:p>
    <w:p w:rsidR="00000000" w:rsidDel="00000000" w:rsidP="00000000" w:rsidRDefault="00000000" w:rsidRPr="00000000" w14:paraId="00000116">
      <w:pPr>
        <w:spacing w:after="0" w:line="240" w:lineRule="auto"/>
        <w:jc w:val="both"/>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0117">
      <w:pPr>
        <w:spacing w:after="0" w:line="24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DAYANANDA, S. </w:t>
      </w:r>
      <w:r w:rsidDel="00000000" w:rsidR="00000000" w:rsidRPr="00000000">
        <w:rPr>
          <w:rFonts w:ascii="Times New Roman" w:cs="Times New Roman" w:eastAsia="Times New Roman" w:hAnsi="Times New Roman"/>
          <w:i w:val="1"/>
          <w:iCs w:val="1"/>
          <w:rtl w:val="0"/>
        </w:rPr>
        <w:t xml:space="preserve">et</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i w:val="1"/>
          <w:iCs w:val="1"/>
          <w:rtl w:val="0"/>
        </w:rPr>
        <w:t xml:space="preserve">al</w:t>
      </w:r>
      <w:r w:rsidDel="00000000" w:rsidR="00000000" w:rsidRPr="00000000">
        <w:rPr>
          <w:rFonts w:ascii="Times New Roman" w:cs="Times New Roman" w:eastAsia="Times New Roman" w:hAnsi="Times New Roman"/>
          <w:rtl w:val="0"/>
        </w:rPr>
        <w:t xml:space="preserve">. Rhizosphere microbiome of cacao (</w:t>
      </w:r>
      <w:r w:rsidDel="00000000" w:rsidR="00000000" w:rsidRPr="00000000">
        <w:rPr>
          <w:rFonts w:ascii="Times New Roman" w:cs="Times New Roman" w:eastAsia="Times New Roman" w:hAnsi="Times New Roman"/>
          <w:i w:val="1"/>
          <w:iCs w:val="1"/>
          <w:rtl w:val="0"/>
        </w:rPr>
        <w:t xml:space="preserve">Theobroma cacao</w:t>
      </w:r>
      <w:r w:rsidDel="00000000" w:rsidR="00000000" w:rsidRPr="00000000">
        <w:rPr>
          <w:rFonts w:ascii="Times New Roman" w:cs="Times New Roman" w:eastAsia="Times New Roman" w:hAnsi="Times New Roman"/>
          <w:rtl w:val="0"/>
        </w:rPr>
        <w:t xml:space="preserve">) and its role in plant health. </w:t>
      </w:r>
      <w:r w:rsidDel="00000000" w:rsidR="00000000" w:rsidRPr="00000000">
        <w:rPr>
          <w:rFonts w:ascii="Times New Roman" w:cs="Times New Roman" w:eastAsia="Times New Roman" w:hAnsi="Times New Roman"/>
          <w:i w:val="1"/>
          <w:iCs w:val="1"/>
          <w:rtl w:val="0"/>
        </w:rPr>
        <w:t xml:space="preserve">Plant and Soil</w:t>
      </w:r>
      <w:r w:rsidDel="00000000" w:rsidR="00000000" w:rsidRPr="00000000">
        <w:rPr>
          <w:rFonts w:ascii="Times New Roman" w:cs="Times New Roman" w:eastAsia="Times New Roman" w:hAnsi="Times New Roman"/>
          <w:rtl w:val="0"/>
        </w:rPr>
        <w:t xml:space="preserve">, v. 453, p. 33–51, 2020.</w:t>
      </w:r>
    </w:p>
    <w:p w:rsidR="00000000" w:rsidDel="00000000" w:rsidP="00000000" w:rsidRDefault="00000000" w:rsidRPr="00000000" w14:paraId="00000118">
      <w:pPr>
        <w:spacing w:after="0" w:before="200" w:line="297" w:lineRule="auto"/>
        <w:jc w:val="both"/>
        <w:rPr>
          <w:rFonts w:ascii="Times New Roman" w:cs="Times New Roman" w:eastAsia="Times New Roman" w:hAnsi="Times New Roman"/>
          <w:color w:val="222222"/>
        </w:rPr>
      </w:pPr>
      <w:r w:rsidDel="00000000" w:rsidR="00000000" w:rsidRPr="00000000">
        <w:rPr>
          <w:rFonts w:ascii="Times New Roman" w:cs="Times New Roman" w:eastAsia="Times New Roman" w:hAnsi="Times New Roman"/>
          <w:color w:val="222222"/>
          <w:rtl w:val="0"/>
        </w:rPr>
        <w:t xml:space="preserve">DE OLIVEIRA, M. S. </w:t>
      </w:r>
      <w:r w:rsidDel="00000000" w:rsidR="00000000" w:rsidRPr="00000000">
        <w:rPr>
          <w:rFonts w:ascii="Times New Roman" w:cs="Times New Roman" w:eastAsia="Times New Roman" w:hAnsi="Times New Roman"/>
          <w:i w:val="1"/>
          <w:iCs w:val="1"/>
          <w:color w:val="222222"/>
          <w:rtl w:val="0"/>
        </w:rPr>
        <w:t xml:space="preserve">et</w:t>
      </w:r>
      <w:r w:rsidDel="00000000" w:rsidR="00000000" w:rsidRPr="00000000">
        <w:rPr>
          <w:rFonts w:ascii="Times New Roman" w:cs="Times New Roman" w:eastAsia="Times New Roman" w:hAnsi="Times New Roman"/>
          <w:color w:val="222222"/>
          <w:rtl w:val="0"/>
        </w:rPr>
        <w:t xml:space="preserve"> </w:t>
      </w:r>
      <w:r w:rsidDel="00000000" w:rsidR="00000000" w:rsidRPr="00000000">
        <w:rPr>
          <w:rFonts w:ascii="Times New Roman" w:cs="Times New Roman" w:eastAsia="Times New Roman" w:hAnsi="Times New Roman"/>
          <w:i w:val="1"/>
          <w:iCs w:val="1"/>
          <w:color w:val="222222"/>
          <w:rtl w:val="0"/>
        </w:rPr>
        <w:t xml:space="preserve">al</w:t>
      </w:r>
      <w:r w:rsidDel="00000000" w:rsidR="00000000" w:rsidRPr="00000000">
        <w:rPr>
          <w:rFonts w:ascii="Times New Roman" w:cs="Times New Roman" w:eastAsia="Times New Roman" w:hAnsi="Times New Roman"/>
          <w:color w:val="222222"/>
          <w:rtl w:val="0"/>
        </w:rPr>
        <w:t xml:space="preserve">. Qualidade do solo: indicadores biológicos para um manejo sustentável. </w:t>
      </w:r>
      <w:r w:rsidDel="00000000" w:rsidR="00000000" w:rsidRPr="00000000">
        <w:rPr>
          <w:rFonts w:ascii="Times New Roman" w:cs="Times New Roman" w:eastAsia="Times New Roman" w:hAnsi="Times New Roman"/>
          <w:i w:val="1"/>
          <w:iCs w:val="1"/>
          <w:color w:val="222222"/>
          <w:rtl w:val="0"/>
        </w:rPr>
        <w:t xml:space="preserve">Brazilian Journal of Development</w:t>
      </w:r>
      <w:r w:rsidDel="00000000" w:rsidR="00000000" w:rsidRPr="00000000">
        <w:rPr>
          <w:rFonts w:ascii="Times New Roman" w:cs="Times New Roman" w:eastAsia="Times New Roman" w:hAnsi="Times New Roman"/>
          <w:color w:val="222222"/>
          <w:rtl w:val="0"/>
        </w:rPr>
        <w:t xml:space="preserve">, v. 7, n. 1, p. 6853-6875, 2021. Disponível em: </w:t>
      </w:r>
      <w:hyperlink r:id="rId13">
        <w:r w:rsidDel="00000000" w:rsidR="00000000" w:rsidRPr="00000000">
          <w:rPr>
            <w:rFonts w:ascii="Times New Roman" w:cs="Times New Roman" w:eastAsia="Times New Roman" w:hAnsi="Times New Roman"/>
            <w:color w:val="1155cc"/>
            <w:u w:val="single"/>
            <w:rtl w:val="0"/>
          </w:rPr>
          <w:t xml:space="preserve">https://doi.org/10.34117/bjdv7n1-463</w:t>
        </w:r>
      </w:hyperlink>
      <w:r w:rsidDel="00000000" w:rsidR="00000000" w:rsidRPr="00000000">
        <w:rPr>
          <w:rFonts w:ascii="Times New Roman" w:cs="Times New Roman" w:eastAsia="Times New Roman" w:hAnsi="Times New Roman"/>
          <w:color w:val="222222"/>
          <w:rtl w:val="0"/>
        </w:rPr>
        <w:t xml:space="preserve"> </w:t>
      </w:r>
    </w:p>
    <w:p w:rsidR="00000000" w:rsidDel="00000000" w:rsidP="00000000" w:rsidRDefault="00000000" w:rsidRPr="00000000" w14:paraId="00000119">
      <w:pPr>
        <w:spacing w:after="0" w:line="24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HERMANS, S. M. </w:t>
      </w:r>
      <w:r w:rsidDel="00000000" w:rsidR="00000000" w:rsidRPr="00000000">
        <w:rPr>
          <w:rFonts w:ascii="Times New Roman" w:cs="Times New Roman" w:eastAsia="Times New Roman" w:hAnsi="Times New Roman"/>
          <w:i w:val="1"/>
          <w:iCs w:val="1"/>
          <w:rtl w:val="0"/>
        </w:rPr>
        <w:t xml:space="preserve">et</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i w:val="1"/>
          <w:iCs w:val="1"/>
          <w:rtl w:val="0"/>
        </w:rPr>
        <w:t xml:space="preserve">al</w:t>
      </w:r>
      <w:r w:rsidDel="00000000" w:rsidR="00000000" w:rsidRPr="00000000">
        <w:rPr>
          <w:rFonts w:ascii="Times New Roman" w:cs="Times New Roman" w:eastAsia="Times New Roman" w:hAnsi="Times New Roman"/>
          <w:rtl w:val="0"/>
        </w:rPr>
        <w:t xml:space="preserve">. Microbial drivers of soil ecosystem functions across biomes. </w:t>
      </w:r>
      <w:r w:rsidDel="00000000" w:rsidR="00000000" w:rsidRPr="00000000">
        <w:rPr>
          <w:rFonts w:ascii="Times New Roman" w:cs="Times New Roman" w:eastAsia="Times New Roman" w:hAnsi="Times New Roman"/>
          <w:i w:val="1"/>
          <w:iCs w:val="1"/>
          <w:rtl w:val="0"/>
        </w:rPr>
        <w:t xml:space="preserve">Nature Ecology &amp; Evolution</w:t>
      </w:r>
      <w:r w:rsidDel="00000000" w:rsidR="00000000" w:rsidRPr="00000000">
        <w:rPr>
          <w:rFonts w:ascii="Times New Roman" w:cs="Times New Roman" w:eastAsia="Times New Roman" w:hAnsi="Times New Roman"/>
          <w:rtl w:val="0"/>
        </w:rPr>
        <w:t xml:space="preserve">, v. 4, p. 210–220, 2020.</w:t>
      </w:r>
    </w:p>
    <w:p w:rsidR="00000000" w:rsidDel="00000000" w:rsidP="00000000" w:rsidRDefault="00000000" w:rsidRPr="00000000" w14:paraId="0000011A">
      <w:pPr>
        <w:spacing w:after="0" w:line="240" w:lineRule="auto"/>
        <w:jc w:val="both"/>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011B">
      <w:pPr>
        <w:spacing w:after="0" w:line="24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KISA, M. </w:t>
      </w:r>
      <w:r w:rsidDel="00000000" w:rsidR="00000000" w:rsidRPr="00000000">
        <w:rPr>
          <w:rFonts w:ascii="Times New Roman" w:cs="Times New Roman" w:eastAsia="Times New Roman" w:hAnsi="Times New Roman"/>
          <w:i w:val="1"/>
          <w:iCs w:val="1"/>
          <w:rtl w:val="0"/>
        </w:rPr>
        <w:t xml:space="preserve">et</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i w:val="1"/>
          <w:iCs w:val="1"/>
          <w:rtl w:val="0"/>
        </w:rPr>
        <w:t xml:space="preserve">al</w:t>
      </w:r>
      <w:r w:rsidDel="00000000" w:rsidR="00000000" w:rsidRPr="00000000">
        <w:rPr>
          <w:rFonts w:ascii="Times New Roman" w:cs="Times New Roman" w:eastAsia="Times New Roman" w:hAnsi="Times New Roman"/>
          <w:rtl w:val="0"/>
        </w:rPr>
        <w:t xml:space="preserve">. Soil microbial diversity and functioning in agroforestry systems. </w:t>
      </w:r>
      <w:r w:rsidDel="00000000" w:rsidR="00000000" w:rsidRPr="00000000">
        <w:rPr>
          <w:rFonts w:ascii="Times New Roman" w:cs="Times New Roman" w:eastAsia="Times New Roman" w:hAnsi="Times New Roman"/>
          <w:i w:val="1"/>
          <w:iCs w:val="1"/>
          <w:rtl w:val="0"/>
        </w:rPr>
        <w:t xml:space="preserve">Agroforestry Systems</w:t>
      </w:r>
      <w:r w:rsidDel="00000000" w:rsidR="00000000" w:rsidRPr="00000000">
        <w:rPr>
          <w:rFonts w:ascii="Times New Roman" w:cs="Times New Roman" w:eastAsia="Times New Roman" w:hAnsi="Times New Roman"/>
          <w:rtl w:val="0"/>
        </w:rPr>
        <w:t xml:space="preserve">, v. 91, p. 677–690, 2017.</w:t>
      </w:r>
    </w:p>
    <w:p w:rsidR="00000000" w:rsidDel="00000000" w:rsidP="00000000" w:rsidRDefault="00000000" w:rsidRPr="00000000" w14:paraId="0000011C">
      <w:pPr>
        <w:spacing w:after="0" w:line="24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NANNIPIERI, P. </w:t>
      </w:r>
      <w:r w:rsidDel="00000000" w:rsidR="00000000" w:rsidRPr="00000000">
        <w:rPr>
          <w:rFonts w:ascii="Times New Roman" w:cs="Times New Roman" w:eastAsia="Times New Roman" w:hAnsi="Times New Roman"/>
          <w:i w:val="1"/>
          <w:iCs w:val="1"/>
          <w:rtl w:val="0"/>
        </w:rPr>
        <w:t xml:space="preserve">et</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i w:val="1"/>
          <w:iCs w:val="1"/>
          <w:rtl w:val="0"/>
        </w:rPr>
        <w:t xml:space="preserve">al</w:t>
      </w:r>
      <w:r w:rsidDel="00000000" w:rsidR="00000000" w:rsidRPr="00000000">
        <w:rPr>
          <w:rFonts w:ascii="Times New Roman" w:cs="Times New Roman" w:eastAsia="Times New Roman" w:hAnsi="Times New Roman"/>
          <w:rtl w:val="0"/>
        </w:rPr>
        <w:t xml:space="preserve">. Soil enzymology and microbial activity. </w:t>
      </w:r>
      <w:r w:rsidDel="00000000" w:rsidR="00000000" w:rsidRPr="00000000">
        <w:rPr>
          <w:rFonts w:ascii="Times New Roman" w:cs="Times New Roman" w:eastAsia="Times New Roman" w:hAnsi="Times New Roman"/>
          <w:i w:val="1"/>
          <w:iCs w:val="1"/>
          <w:rtl w:val="0"/>
        </w:rPr>
        <w:t xml:space="preserve">Soil Biology and Biochemistry</w:t>
      </w:r>
      <w:r w:rsidDel="00000000" w:rsidR="00000000" w:rsidRPr="00000000">
        <w:rPr>
          <w:rFonts w:ascii="Times New Roman" w:cs="Times New Roman" w:eastAsia="Times New Roman" w:hAnsi="Times New Roman"/>
          <w:rtl w:val="0"/>
        </w:rPr>
        <w:t xml:space="preserve">, v. 105, p. 1–4, 2017.</w:t>
      </w:r>
    </w:p>
    <w:p w:rsidR="00000000" w:rsidDel="00000000" w:rsidP="00000000" w:rsidRDefault="00000000" w:rsidRPr="00000000" w14:paraId="0000011D">
      <w:pPr>
        <w:spacing w:after="0" w:line="240" w:lineRule="auto"/>
        <w:jc w:val="both"/>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011E">
      <w:pPr>
        <w:spacing w:after="0" w:line="24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PAUL, E. A. </w:t>
      </w:r>
      <w:r w:rsidDel="00000000" w:rsidR="00000000" w:rsidRPr="00000000">
        <w:rPr>
          <w:rFonts w:ascii="Times New Roman" w:cs="Times New Roman" w:eastAsia="Times New Roman" w:hAnsi="Times New Roman"/>
          <w:i w:val="1"/>
          <w:iCs w:val="1"/>
          <w:rtl w:val="0"/>
        </w:rPr>
        <w:t xml:space="preserve">Soil Microbiology, Ecology and Biochemistry</w:t>
      </w:r>
      <w:r w:rsidDel="00000000" w:rsidR="00000000" w:rsidRPr="00000000">
        <w:rPr>
          <w:rFonts w:ascii="Times New Roman" w:cs="Times New Roman" w:eastAsia="Times New Roman" w:hAnsi="Times New Roman"/>
          <w:rtl w:val="0"/>
        </w:rPr>
        <w:t xml:space="preserve">. 4. ed. London: Academic Press, 2015.</w:t>
      </w:r>
    </w:p>
    <w:p w:rsidR="00000000" w:rsidDel="00000000" w:rsidP="00000000" w:rsidRDefault="00000000" w:rsidRPr="00000000" w14:paraId="0000011F">
      <w:pPr>
        <w:spacing w:after="0" w:before="200" w:line="297" w:lineRule="auto"/>
        <w:jc w:val="both"/>
        <w:rPr>
          <w:rFonts w:ascii="Times New Roman" w:cs="Times New Roman" w:eastAsia="Times New Roman" w:hAnsi="Times New Roman"/>
          <w:color w:val="222222"/>
        </w:rPr>
      </w:pPr>
      <w:r w:rsidDel="00000000" w:rsidR="00000000" w:rsidRPr="00000000">
        <w:rPr>
          <w:rFonts w:ascii="Times New Roman" w:cs="Times New Roman" w:eastAsia="Times New Roman" w:hAnsi="Times New Roman"/>
          <w:color w:val="222222"/>
          <w:rtl w:val="0"/>
        </w:rPr>
        <w:t xml:space="preserve">SILVA, J. L. F. et al. Microbial dynamics in Amazonian agroecosystems: impacts of land-use and management practices. </w:t>
      </w:r>
      <w:r w:rsidDel="00000000" w:rsidR="00000000" w:rsidRPr="00000000">
        <w:rPr>
          <w:rFonts w:ascii="Times New Roman" w:cs="Times New Roman" w:eastAsia="Times New Roman" w:hAnsi="Times New Roman"/>
          <w:i w:val="1"/>
          <w:iCs w:val="1"/>
          <w:color w:val="222222"/>
          <w:rtl w:val="0"/>
        </w:rPr>
        <w:t xml:space="preserve">Journal</w:t>
      </w:r>
      <w:r w:rsidDel="00000000" w:rsidR="00000000" w:rsidRPr="00000000">
        <w:rPr>
          <w:rFonts w:ascii="Times New Roman" w:cs="Times New Roman" w:eastAsia="Times New Roman" w:hAnsi="Times New Roman"/>
          <w:color w:val="222222"/>
          <w:rtl w:val="0"/>
        </w:rPr>
        <w:t xml:space="preserve"> </w:t>
      </w:r>
      <w:r w:rsidDel="00000000" w:rsidR="00000000" w:rsidRPr="00000000">
        <w:rPr>
          <w:rFonts w:ascii="Times New Roman" w:cs="Times New Roman" w:eastAsia="Times New Roman" w:hAnsi="Times New Roman"/>
          <w:i w:val="1"/>
          <w:iCs w:val="1"/>
          <w:color w:val="222222"/>
          <w:rtl w:val="0"/>
        </w:rPr>
        <w:t xml:space="preserve">of</w:t>
      </w:r>
      <w:r w:rsidDel="00000000" w:rsidR="00000000" w:rsidRPr="00000000">
        <w:rPr>
          <w:rFonts w:ascii="Times New Roman" w:cs="Times New Roman" w:eastAsia="Times New Roman" w:hAnsi="Times New Roman"/>
          <w:color w:val="222222"/>
          <w:rtl w:val="0"/>
        </w:rPr>
        <w:t xml:space="preserve"> </w:t>
      </w:r>
      <w:r w:rsidDel="00000000" w:rsidR="00000000" w:rsidRPr="00000000">
        <w:rPr>
          <w:rFonts w:ascii="Times New Roman" w:cs="Times New Roman" w:eastAsia="Times New Roman" w:hAnsi="Times New Roman"/>
          <w:i w:val="1"/>
          <w:iCs w:val="1"/>
          <w:color w:val="222222"/>
          <w:rtl w:val="0"/>
        </w:rPr>
        <w:t xml:space="preserve">Soil</w:t>
      </w:r>
      <w:r w:rsidDel="00000000" w:rsidR="00000000" w:rsidRPr="00000000">
        <w:rPr>
          <w:rFonts w:ascii="Times New Roman" w:cs="Times New Roman" w:eastAsia="Times New Roman" w:hAnsi="Times New Roman"/>
          <w:color w:val="222222"/>
          <w:rtl w:val="0"/>
        </w:rPr>
        <w:t xml:space="preserve"> </w:t>
      </w:r>
      <w:r w:rsidDel="00000000" w:rsidR="00000000" w:rsidRPr="00000000">
        <w:rPr>
          <w:rFonts w:ascii="Times New Roman" w:cs="Times New Roman" w:eastAsia="Times New Roman" w:hAnsi="Times New Roman"/>
          <w:i w:val="1"/>
          <w:iCs w:val="1"/>
          <w:color w:val="222222"/>
          <w:rtl w:val="0"/>
        </w:rPr>
        <w:t xml:space="preserve">Ecology</w:t>
      </w:r>
      <w:r w:rsidDel="00000000" w:rsidR="00000000" w:rsidRPr="00000000">
        <w:rPr>
          <w:rFonts w:ascii="Times New Roman" w:cs="Times New Roman" w:eastAsia="Times New Roman" w:hAnsi="Times New Roman"/>
          <w:color w:val="222222"/>
          <w:rtl w:val="0"/>
        </w:rPr>
        <w:t xml:space="preserve">, v. 45, i. 2, 227–241. 2023. </w:t>
      </w:r>
    </w:p>
    <w:p w:rsidR="00000000" w:rsidDel="00000000" w:rsidP="00000000" w:rsidRDefault="00000000" w:rsidRPr="00000000" w14:paraId="00000120">
      <w:pPr>
        <w:spacing w:after="0" w:line="240" w:lineRule="auto"/>
        <w:jc w:val="both"/>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0121">
      <w:pPr>
        <w:spacing w:after="200" w:line="24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VAN DER HEIJDEN, M. G. A.; BARDGETT, R. D.; VAN STRAALEN, N. The unseen majority: soil microbes as drivers of plant diversity and productivity. </w:t>
      </w:r>
      <w:r w:rsidDel="00000000" w:rsidR="00000000" w:rsidRPr="00000000">
        <w:rPr>
          <w:rFonts w:ascii="Times New Roman" w:cs="Times New Roman" w:eastAsia="Times New Roman" w:hAnsi="Times New Roman"/>
          <w:i w:val="1"/>
          <w:iCs w:val="1"/>
          <w:rtl w:val="0"/>
        </w:rPr>
        <w:t xml:space="preserve">Ecology Letters</w:t>
      </w:r>
      <w:r w:rsidDel="00000000" w:rsidR="00000000" w:rsidRPr="00000000">
        <w:rPr>
          <w:rFonts w:ascii="Times New Roman" w:cs="Times New Roman" w:eastAsia="Times New Roman" w:hAnsi="Times New Roman"/>
          <w:rtl w:val="0"/>
        </w:rPr>
        <w:t xml:space="preserve">, v. 11, p. 296–310, 2008.</w:t>
      </w:r>
    </w:p>
    <w:p w:rsidR="00000000" w:rsidDel="00000000" w:rsidP="00000000" w:rsidRDefault="00000000" w:rsidRPr="00000000" w14:paraId="00000122">
      <w:pPr>
        <w:spacing w:after="20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rtl w:val="0"/>
        </w:rPr>
        <w:t xml:space="preserve">ZHANG, Y. et al. Microbial community responses to sustainable agricultural practices. </w:t>
      </w:r>
      <w:r w:rsidDel="00000000" w:rsidR="00000000" w:rsidRPr="00000000">
        <w:rPr>
          <w:rFonts w:ascii="Times New Roman" w:cs="Times New Roman" w:eastAsia="Times New Roman" w:hAnsi="Times New Roman"/>
          <w:i w:val="1"/>
          <w:iCs w:val="1"/>
          <w:rtl w:val="0"/>
        </w:rPr>
        <w:t xml:space="preserve">Applied Soil Ecology</w:t>
      </w:r>
      <w:r w:rsidDel="00000000" w:rsidR="00000000" w:rsidRPr="00000000">
        <w:rPr>
          <w:rFonts w:ascii="Times New Roman" w:cs="Times New Roman" w:eastAsia="Times New Roman" w:hAnsi="Times New Roman"/>
          <w:rtl w:val="0"/>
        </w:rPr>
        <w:t xml:space="preserve">, v. 140, p. 1–10, 2019.</w:t>
      </w:r>
      <w:r w:rsidDel="00000000" w:rsidR="00000000" w:rsidRPr="00000000">
        <w:rPr>
          <w:rtl w:val="0"/>
        </w:rPr>
      </w:r>
    </w:p>
    <w:sectPr>
      <w:headerReference r:id="rId14" w:type="default"/>
      <w:headerReference r:id="rId15" w:type="first"/>
      <w:headerReference r:id="rId16" w:type="even"/>
      <w:footerReference r:id="rId17" w:type="default"/>
      <w:footerReference r:id="rId18" w:type="first"/>
      <w:footerReference r:id="rId19" w:type="even"/>
      <w:pgSz w:h="16838" w:w="11906" w:orient="portrait"/>
      <w:pgMar w:bottom="1417" w:top="1417" w:left="1701" w:right="1701" w:header="708" w:footer="708"/>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Calibri"/>
  <w:font w:name="Georgia"/>
  <w:font w:name="Times New Roman"/>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26">
    <w:pPr>
      <w:pBdr>
        <w:top w:space="0" w:sz="0" w:val="nil"/>
        <w:left w:space="0" w:sz="0" w:val="nil"/>
        <w:bottom w:space="0" w:sz="0" w:val="nil"/>
        <w:right w:space="0" w:sz="0" w:val="nil"/>
        <w:between w:space="0" w:sz="0" w:val="nil"/>
      </w:pBdr>
      <w:tabs>
        <w:tab w:val="center" w:leader="none" w:pos="4252"/>
        <w:tab w:val="right" w:leader="none" w:pos="8504"/>
      </w:tabs>
      <w:spacing w:after="0" w:line="240" w:lineRule="auto"/>
      <w:rPr>
        <w:color w:val="000000"/>
      </w:rPr>
    </w:pPr>
    <w:r w:rsidDel="00000000" w:rsidR="00000000" w:rsidRPr="00000000">
      <w:rPr>
        <w:color w:val="000000"/>
      </w:rPr>
      <w:drawing>
        <wp:inline distB="0" distT="0" distL="0" distR="0">
          <wp:extent cx="603250" cy="194945"/>
          <wp:effectExtent b="0" l="0" r="0" t="0"/>
          <wp:docPr id="18" name="image2.png"/>
          <a:graphic>
            <a:graphicData uri="http://schemas.openxmlformats.org/drawingml/2006/picture">
              <pic:pic>
                <pic:nvPicPr>
                  <pic:cNvPr id="0" name="image2.png"/>
                  <pic:cNvPicPr preferRelativeResize="0"/>
                </pic:nvPicPr>
                <pic:blipFill>
                  <a:blip r:embed="rId1"/>
                  <a:srcRect b="0" l="0" r="0" t="0"/>
                  <a:stretch>
                    <a:fillRect/>
                  </a:stretch>
                </pic:blipFill>
                <pic:spPr>
                  <a:xfrm>
                    <a:off x="0" y="0"/>
                    <a:ext cx="603250" cy="194945"/>
                  </a:xfrm>
                  <a:prstGeom prst="rect"/>
                  <a:ln/>
                </pic:spPr>
              </pic:pic>
            </a:graphicData>
          </a:graphic>
        </wp:inline>
      </w:drawing>
    </w:r>
    <w:r w:rsidDel="00000000" w:rsidR="00000000" w:rsidRPr="00000000">
      <w:rPr>
        <w:color w:val="000000"/>
        <w:rtl w:val="0"/>
      </w:rPr>
      <w:t xml:space="preserve"> </w:t>
    </w:r>
    <w:r w:rsidDel="00000000" w:rsidR="00000000" w:rsidRPr="00000000">
      <w:rPr>
        <w:color w:val="000000"/>
      </w:rPr>
      <w:drawing>
        <wp:inline distB="0" distT="0" distL="0" distR="0">
          <wp:extent cx="1416410" cy="470795"/>
          <wp:effectExtent b="0" l="0" r="0" t="0"/>
          <wp:docPr id="21" name="image3.png"/>
          <a:graphic>
            <a:graphicData uri="http://schemas.openxmlformats.org/drawingml/2006/picture">
              <pic:pic>
                <pic:nvPicPr>
                  <pic:cNvPr id="0" name="image3.png"/>
                  <pic:cNvPicPr preferRelativeResize="0"/>
                </pic:nvPicPr>
                <pic:blipFill>
                  <a:blip r:embed="rId2"/>
                  <a:srcRect b="0" l="0" r="0" t="0"/>
                  <a:stretch>
                    <a:fillRect/>
                  </a:stretch>
                </pic:blipFill>
                <pic:spPr>
                  <a:xfrm>
                    <a:off x="0" y="0"/>
                    <a:ext cx="1416410" cy="470795"/>
                  </a:xfrm>
                  <a:prstGeom prst="rect"/>
                  <a:ln/>
                </pic:spPr>
              </pic:pic>
            </a:graphicData>
          </a:graphic>
        </wp:inline>
      </w:drawing>
    </w:r>
    <w:r w:rsidDel="00000000" w:rsidR="00000000" w:rsidRPr="00000000">
      <w:rPr>
        <w:color w:val="000000"/>
        <w:rtl w:val="0"/>
      </w:rPr>
      <w:t xml:space="preserve">          </w:t>
    </w:r>
    <w:r w:rsidDel="00000000" w:rsidR="00000000" w:rsidRPr="00000000">
      <w:rPr>
        <w:color w:val="000000"/>
      </w:rPr>
      <w:drawing>
        <wp:inline distB="0" distT="0" distL="0" distR="0">
          <wp:extent cx="420370" cy="243840"/>
          <wp:effectExtent b="0" l="0" r="0" t="0"/>
          <wp:docPr id="20" name="image1.png"/>
          <a:graphic>
            <a:graphicData uri="http://schemas.openxmlformats.org/drawingml/2006/picture">
              <pic:pic>
                <pic:nvPicPr>
                  <pic:cNvPr id="0" name="image1.png"/>
                  <pic:cNvPicPr preferRelativeResize="0"/>
                </pic:nvPicPr>
                <pic:blipFill>
                  <a:blip r:embed="rId3"/>
                  <a:srcRect b="0" l="0" r="0" t="0"/>
                  <a:stretch>
                    <a:fillRect/>
                  </a:stretch>
                </pic:blipFill>
                <pic:spPr>
                  <a:xfrm>
                    <a:off x="0" y="0"/>
                    <a:ext cx="420370" cy="243840"/>
                  </a:xfrm>
                  <a:prstGeom prst="rect"/>
                  <a:ln/>
                </pic:spPr>
              </pic:pic>
            </a:graphicData>
          </a:graphic>
        </wp:inline>
      </w:drawing>
    </w:r>
    <w:r w:rsidDel="00000000" w:rsidR="00000000" w:rsidRPr="00000000">
      <w:rPr>
        <w:color w:val="000000"/>
        <w:rtl w:val="0"/>
      </w:rPr>
      <w:t xml:space="preserve">    </w:t>
    </w:r>
    <w:r w:rsidDel="00000000" w:rsidR="00000000" w:rsidRPr="00000000">
      <w:rPr>
        <w:color w:val="000000"/>
      </w:rPr>
      <w:drawing>
        <wp:inline distB="0" distT="0" distL="0" distR="0">
          <wp:extent cx="542290" cy="384175"/>
          <wp:effectExtent b="0" l="0" r="0" t="0"/>
          <wp:docPr id="24" name="image4.png"/>
          <a:graphic>
            <a:graphicData uri="http://schemas.openxmlformats.org/drawingml/2006/picture">
              <pic:pic>
                <pic:nvPicPr>
                  <pic:cNvPr id="0" name="image4.png"/>
                  <pic:cNvPicPr preferRelativeResize="0"/>
                </pic:nvPicPr>
                <pic:blipFill>
                  <a:blip r:embed="rId4"/>
                  <a:srcRect b="0" l="0" r="0" t="0"/>
                  <a:stretch>
                    <a:fillRect/>
                  </a:stretch>
                </pic:blipFill>
                <pic:spPr>
                  <a:xfrm>
                    <a:off x="0" y="0"/>
                    <a:ext cx="542290" cy="384175"/>
                  </a:xfrm>
                  <a:prstGeom prst="rect"/>
                  <a:ln/>
                </pic:spPr>
              </pic:pic>
            </a:graphicData>
          </a:graphic>
        </wp:inline>
      </w:drawing>
    </w:r>
    <w:r w:rsidDel="00000000" w:rsidR="00000000" w:rsidRPr="00000000">
      <w:rPr>
        <w:color w:val="000000"/>
        <w:rtl w:val="0"/>
      </w:rPr>
      <w:t xml:space="preserve">      </w:t>
    </w:r>
    <w:r w:rsidDel="00000000" w:rsidR="00000000" w:rsidRPr="00000000">
      <w:rPr>
        <w:color w:val="000000"/>
      </w:rPr>
      <w:drawing>
        <wp:inline distB="0" distT="0" distL="0" distR="0">
          <wp:extent cx="914400" cy="353695"/>
          <wp:effectExtent b="0" l="0" r="0" t="0"/>
          <wp:docPr id="22" name="image7.png"/>
          <a:graphic>
            <a:graphicData uri="http://schemas.openxmlformats.org/drawingml/2006/picture">
              <pic:pic>
                <pic:nvPicPr>
                  <pic:cNvPr id="0" name="image7.png"/>
                  <pic:cNvPicPr preferRelativeResize="0"/>
                </pic:nvPicPr>
                <pic:blipFill>
                  <a:blip r:embed="rId5"/>
                  <a:srcRect b="0" l="0" r="0" t="0"/>
                  <a:stretch>
                    <a:fillRect/>
                  </a:stretch>
                </pic:blipFill>
                <pic:spPr>
                  <a:xfrm>
                    <a:off x="0" y="0"/>
                    <a:ext cx="914400" cy="353695"/>
                  </a:xfrm>
                  <a:prstGeom prst="rect"/>
                  <a:ln/>
                </pic:spPr>
              </pic:pic>
            </a:graphicData>
          </a:graphic>
        </wp:inline>
      </w:drawing>
    </w:r>
    <w:r w:rsidDel="00000000" w:rsidR="00000000" w:rsidRPr="00000000">
      <w:rPr>
        <w:color w:val="000000"/>
        <w:rtl w:val="0"/>
      </w:rPr>
      <w:t xml:space="preserve">   </w:t>
    </w:r>
    <w:r w:rsidDel="00000000" w:rsidR="00000000" w:rsidRPr="00000000">
      <w:rPr>
        <w:color w:val="000000"/>
      </w:rPr>
      <w:drawing>
        <wp:inline distB="0" distT="0" distL="0" distR="0">
          <wp:extent cx="762000" cy="335280"/>
          <wp:effectExtent b="0" l="0" r="0" t="0"/>
          <wp:docPr id="23" name="image5.png"/>
          <a:graphic>
            <a:graphicData uri="http://schemas.openxmlformats.org/drawingml/2006/picture">
              <pic:pic>
                <pic:nvPicPr>
                  <pic:cNvPr id="0" name="image5.png"/>
                  <pic:cNvPicPr preferRelativeResize="0"/>
                </pic:nvPicPr>
                <pic:blipFill>
                  <a:blip r:embed="rId6"/>
                  <a:srcRect b="0" l="0" r="0" t="0"/>
                  <a:stretch>
                    <a:fillRect/>
                  </a:stretch>
                </pic:blipFill>
                <pic:spPr>
                  <a:xfrm>
                    <a:off x="0" y="0"/>
                    <a:ext cx="762000" cy="335280"/>
                  </a:xfrm>
                  <a:prstGeom prst="rect"/>
                  <a:ln/>
                </pic:spPr>
              </pic:pic>
            </a:graphicData>
          </a:graphic>
        </wp:inline>
      </w:drawing>
    </w: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27">
    <w:pPr>
      <w:pBdr>
        <w:top w:space="0" w:sz="0" w:val="nil"/>
        <w:left w:space="0" w:sz="0" w:val="nil"/>
        <w:bottom w:space="0" w:sz="0" w:val="nil"/>
        <w:right w:space="0" w:sz="0" w:val="nil"/>
        <w:between w:space="0" w:sz="0" w:val="nil"/>
      </w:pBdr>
      <w:tabs>
        <w:tab w:val="center" w:leader="none" w:pos="4252"/>
        <w:tab w:val="right" w:leader="none" w:pos="8504"/>
      </w:tabs>
      <w:spacing w:after="0" w:line="240" w:lineRule="auto"/>
      <w:rPr>
        <w:color w:val="000000"/>
      </w:rPr>
    </w:pPr>
    <w:r w:rsidDel="00000000" w:rsidR="00000000" w:rsidRPr="00000000">
      <w:rPr>
        <w:rtl w:val="0"/>
      </w:rPr>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28">
    <w:pPr>
      <w:pBdr>
        <w:top w:space="0" w:sz="0" w:val="nil"/>
        <w:left w:space="0" w:sz="0" w:val="nil"/>
        <w:bottom w:space="0" w:sz="0" w:val="nil"/>
        <w:right w:space="0" w:sz="0" w:val="nil"/>
        <w:between w:space="0" w:sz="0" w:val="nil"/>
      </w:pBdr>
      <w:tabs>
        <w:tab w:val="center" w:leader="none" w:pos="4252"/>
        <w:tab w:val="right" w:leader="none" w:pos="8504"/>
      </w:tabs>
      <w:spacing w:after="0" w:line="240" w:lineRule="auto"/>
      <w:rPr>
        <w:color w:val="000000"/>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23">
    <w:pPr>
      <w:pBdr>
        <w:top w:space="0" w:sz="0" w:val="nil"/>
        <w:left w:space="0" w:sz="0" w:val="nil"/>
        <w:bottom w:space="0" w:sz="0" w:val="nil"/>
        <w:right w:space="0" w:sz="0" w:val="nil"/>
        <w:between w:space="0" w:sz="0" w:val="nil"/>
      </w:pBdr>
      <w:tabs>
        <w:tab w:val="center" w:leader="none" w:pos="4252"/>
        <w:tab w:val="right" w:leader="none" w:pos="8504"/>
      </w:tabs>
      <w:spacing w:after="0" w:line="240" w:lineRule="auto"/>
      <w:jc w:val="center"/>
      <w:rPr>
        <w:color w:val="000000"/>
      </w:rPr>
    </w:pPr>
    <w:r w:rsidDel="00000000" w:rsidR="00000000" w:rsidRPr="00000000">
      <w:rPr>
        <w:color w:val="000000"/>
      </w:rPr>
      <w:drawing>
        <wp:inline distB="0" distT="0" distL="0" distR="0">
          <wp:extent cx="3253105" cy="1610360"/>
          <wp:effectExtent b="0" l="0" r="0" t="0"/>
          <wp:docPr descr="Logotipo, nome da empresa&#10;&#10;O conteúdo gerado por IA pode estar incorreto." id="19" name="image6.png"/>
          <a:graphic>
            <a:graphicData uri="http://schemas.openxmlformats.org/drawingml/2006/picture">
              <pic:pic>
                <pic:nvPicPr>
                  <pic:cNvPr descr="Logotipo, nome da empresa&#10;&#10;O conteúdo gerado por IA pode estar incorreto." id="0" name="image6.png"/>
                  <pic:cNvPicPr preferRelativeResize="0"/>
                </pic:nvPicPr>
                <pic:blipFill>
                  <a:blip r:embed="rId1"/>
                  <a:srcRect b="26667" l="2865" r="-2171" t="33993"/>
                  <a:stretch>
                    <a:fillRect/>
                  </a:stretch>
                </pic:blipFill>
                <pic:spPr>
                  <a:xfrm>
                    <a:off x="0" y="0"/>
                    <a:ext cx="3253105" cy="1610360"/>
                  </a:xfrm>
                  <a:prstGeom prst="rect"/>
                  <a:ln/>
                </pic:spPr>
              </pic:pic>
            </a:graphicData>
          </a:graphic>
        </wp:inline>
      </w:drawing>
    </w: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24">
    <w:pPr>
      <w:pBdr>
        <w:top w:space="0" w:sz="0" w:val="nil"/>
        <w:left w:space="0" w:sz="0" w:val="nil"/>
        <w:bottom w:space="0" w:sz="0" w:val="nil"/>
        <w:right w:space="0" w:sz="0" w:val="nil"/>
        <w:between w:space="0" w:sz="0" w:val="nil"/>
      </w:pBdr>
      <w:tabs>
        <w:tab w:val="center" w:leader="none" w:pos="4252"/>
        <w:tab w:val="right" w:leader="none" w:pos="8504"/>
      </w:tabs>
      <w:spacing w:after="0" w:line="240" w:lineRule="auto"/>
      <w:rPr>
        <w:color w:val="000000"/>
      </w:rPr>
    </w:pPr>
    <w:r w:rsidDel="00000000" w:rsidR="00000000" w:rsidRPr="00000000">
      <w:rPr>
        <w:rtl w:val="0"/>
      </w:rPr>
    </w:r>
  </w:p>
</w:hdr>
</file>

<file path=word/header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25">
    <w:pPr>
      <w:pBdr>
        <w:top w:space="0" w:sz="0" w:val="nil"/>
        <w:left w:space="0" w:sz="0" w:val="nil"/>
        <w:bottom w:space="0" w:sz="0" w:val="nil"/>
        <w:right w:space="0" w:sz="0" w:val="nil"/>
        <w:between w:space="0" w:sz="0" w:val="nil"/>
      </w:pBdr>
      <w:tabs>
        <w:tab w:val="center" w:leader="none" w:pos="4252"/>
        <w:tab w:val="right" w:leader="none" w:pos="8504"/>
      </w:tabs>
      <w:spacing w:after="0" w:line="240" w:lineRule="auto"/>
      <w:rPr>
        <w:color w:val="000000"/>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Calibri" w:cs="Calibri" w:eastAsia="Calibri" w:hAnsi="Calibri"/>
        <w:sz w:val="22"/>
        <w:szCs w:val="22"/>
        <w:lang w:val="pt_BR"/>
      </w:rPr>
    </w:rPrDefault>
    <w:pPrDefault>
      <w:pPr>
        <w:spacing w:after="160" w:line="259"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spacing w:after="120" w:before="480" w:lineRule="auto"/>
    </w:pPr>
    <w:rPr>
      <w:b w:val="1"/>
      <w:bCs w:val="1"/>
      <w:sz w:val="48"/>
      <w:szCs w:val="48"/>
    </w:rPr>
  </w:style>
  <w:style w:type="paragraph" w:styleId="Heading2">
    <w:name w:val="heading 2"/>
    <w:basedOn w:val="Normal"/>
    <w:next w:val="Normal"/>
    <w:pPr>
      <w:keepNext w:val="1"/>
      <w:keepLines w:val="1"/>
      <w:spacing w:after="80" w:before="360" w:lineRule="auto"/>
    </w:pPr>
    <w:rPr>
      <w:b w:val="1"/>
      <w:bCs w:val="1"/>
      <w:sz w:val="36"/>
      <w:szCs w:val="36"/>
    </w:rPr>
  </w:style>
  <w:style w:type="paragraph" w:styleId="Heading3">
    <w:name w:val="heading 3"/>
    <w:basedOn w:val="Normal"/>
    <w:next w:val="Normal"/>
    <w:pPr>
      <w:keepNext w:val="1"/>
      <w:keepLines w:val="1"/>
      <w:spacing w:after="80" w:before="280" w:lineRule="auto"/>
    </w:pPr>
    <w:rPr>
      <w:b w:val="1"/>
      <w:bCs w:val="1"/>
      <w:sz w:val="28"/>
      <w:szCs w:val="28"/>
    </w:rPr>
  </w:style>
  <w:style w:type="paragraph" w:styleId="Heading4">
    <w:name w:val="heading 4"/>
    <w:basedOn w:val="Normal"/>
    <w:next w:val="Normal"/>
    <w:pPr>
      <w:keepNext w:val="1"/>
      <w:keepLines w:val="1"/>
      <w:spacing w:after="40" w:before="240" w:lineRule="auto"/>
    </w:pPr>
    <w:rPr>
      <w:b w:val="1"/>
      <w:bCs w:val="1"/>
      <w:sz w:val="24"/>
      <w:szCs w:val="24"/>
    </w:rPr>
  </w:style>
  <w:style w:type="paragraph" w:styleId="Heading5">
    <w:name w:val="heading 5"/>
    <w:basedOn w:val="Normal"/>
    <w:next w:val="Normal"/>
    <w:pPr>
      <w:keepNext w:val="1"/>
      <w:keepLines w:val="1"/>
      <w:spacing w:after="40" w:before="220" w:lineRule="auto"/>
    </w:pPr>
    <w:rPr>
      <w:b w:val="1"/>
      <w:bCs w:val="1"/>
    </w:rPr>
  </w:style>
  <w:style w:type="paragraph" w:styleId="Heading6">
    <w:name w:val="heading 6"/>
    <w:basedOn w:val="Normal"/>
    <w:next w:val="Normal"/>
    <w:pPr>
      <w:keepNext w:val="1"/>
      <w:keepLines w:val="1"/>
      <w:spacing w:after="40" w:before="200" w:lineRule="auto"/>
    </w:pPr>
    <w:rPr>
      <w:b w:val="1"/>
      <w:bCs w:val="1"/>
      <w:sz w:val="20"/>
      <w:szCs w:val="20"/>
    </w:rPr>
  </w:style>
  <w:style w:type="paragraph" w:styleId="Title">
    <w:name w:val="Title"/>
    <w:basedOn w:val="Normal"/>
    <w:next w:val="Normal"/>
    <w:pPr>
      <w:keepNext w:val="1"/>
      <w:keepLines w:val="1"/>
      <w:spacing w:after="120" w:before="480" w:lineRule="auto"/>
    </w:pPr>
    <w:rPr>
      <w:b w:val="1"/>
      <w:bCs w:val="1"/>
      <w:sz w:val="72"/>
      <w:szCs w:val="72"/>
    </w:rPr>
  </w:style>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table" w:styleId="Table1">
    <w:basedOn w:val="TableNormal"/>
    <w:tblPr>
      <w:tblStyleRowBandSize w:val="1"/>
      <w:tblStyleColBandSize w:val="1"/>
    </w:tblPr>
  </w:style>
  <w:style w:type="table" w:styleId="Table2">
    <w:basedOn w:val="TableNormal"/>
    <w:tblPr>
      <w:tblStyleRowBandSize w:val="1"/>
      <w:tblStyleColBandSize w:val="1"/>
    </w:tblPr>
  </w:style>
  <w:style w:type="table" w:styleId="Table3">
    <w:basedOn w:val="TableNormal"/>
    <w:tblPr>
      <w:tblStyleRowBandSize w:val="1"/>
      <w:tblStyleColBandSize w:val="1"/>
    </w:tblPr>
  </w:style>
  <w:style w:type="table" w:styleId="Table4">
    <w:basedOn w:val="TableNormal"/>
    <w:tblPr>
      <w:tblStyleRowBandSize w:val="1"/>
      <w:tblStyleColBandSize w:val="1"/>
    </w:tblPr>
  </w:style>
  <w:style w:type="table" w:styleId="Table5">
    <w:basedOn w:val="TableNormal"/>
    <w:tblPr>
      <w:tblStyleRowBandSize w:val="1"/>
      <w:tblStyleColBandSize w:val="1"/>
    </w:tblPr>
  </w:style>
  <w:style w:type="paragraph" w:styleId="Subtitle">
    <w:name w:val="Subtitle"/>
    <w:basedOn w:val="Normal"/>
    <w:next w:val="Normal"/>
    <w:pPr>
      <w:keepNext w:val="1"/>
      <w:keepLines w:val="1"/>
      <w:spacing w:after="80" w:before="360" w:lineRule="auto"/>
    </w:pPr>
    <w:rPr>
      <w:rFonts w:ascii="Georgia" w:cs="Georgia" w:eastAsia="Georgia" w:hAnsi="Georgia"/>
      <w:i w:val="1"/>
      <w:iCs w:val="1"/>
      <w:color w:val="666666"/>
      <w:sz w:val="48"/>
      <w:szCs w:val="48"/>
    </w:rPr>
  </w:style>
  <w:style w:type="table" w:styleId="Table1">
    <w:basedOn w:val="TableNormal"/>
    <w:tblPr>
      <w:tblStyleRowBandSize w:val="1"/>
      <w:tblStyleColBandSize w:val="1"/>
    </w:tblPr>
  </w:style>
  <w:style w:type="table" w:styleId="Table2">
    <w:basedOn w:val="TableNormal"/>
    <w:tblPr>
      <w:tblStyleRowBandSize w:val="1"/>
      <w:tblStyleColBandSize w:val="1"/>
    </w:tblPr>
  </w:style>
  <w:style w:type="table" w:styleId="Table3">
    <w:basedOn w:val="TableNormal"/>
    <w:tblPr>
      <w:tblStyleRowBandSize w:val="1"/>
      <w:tblStyleColBandSize w:val="1"/>
    </w:tblPr>
  </w:style>
  <w:style w:type="table" w:styleId="Table4">
    <w:basedOn w:val="TableNormal"/>
    <w:tblPr>
      <w:tblStyleRowBandSize w:val="1"/>
      <w:tblStyleColBandSize w:val="1"/>
    </w:tblPr>
  </w:style>
  <w:style w:type="table" w:styleId="Table5">
    <w:basedOn w:val="TableNormal"/>
    <w:tblPr>
      <w:tblStyleRowBandSize w:val="1"/>
      <w:tblStyleColBandSize w:val="1"/>
    </w:tblPr>
  </w:style>
</w:styles>
</file>

<file path=word/_rels/document.xml.rels><?xml version="1.0" encoding="UTF-8" standalone="yes"?><Relationships xmlns="http://schemas.openxmlformats.org/package/2006/relationships"><Relationship Id="rId11" Type="http://schemas.openxmlformats.org/officeDocument/2006/relationships/image" Target="media/image10.png"/><Relationship Id="rId10" Type="http://schemas.openxmlformats.org/officeDocument/2006/relationships/image" Target="media/image8.png"/><Relationship Id="rId13" Type="http://schemas.openxmlformats.org/officeDocument/2006/relationships/hyperlink" Target="https://doi.org/10.34117/bjdv7n1-463" TargetMode="External"/><Relationship Id="rId12" Type="http://schemas.openxmlformats.org/officeDocument/2006/relationships/image" Target="media/image9.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1.png"/><Relationship Id="rId15" Type="http://schemas.openxmlformats.org/officeDocument/2006/relationships/header" Target="header2.xml"/><Relationship Id="rId14" Type="http://schemas.openxmlformats.org/officeDocument/2006/relationships/header" Target="header1.xml"/><Relationship Id="rId17" Type="http://schemas.openxmlformats.org/officeDocument/2006/relationships/footer" Target="footer1.xml"/><Relationship Id="rId16" Type="http://schemas.openxmlformats.org/officeDocument/2006/relationships/header" Target="header3.xml"/><Relationship Id="rId5" Type="http://schemas.openxmlformats.org/officeDocument/2006/relationships/styles" Target="styles.xml"/><Relationship Id="rId19" Type="http://schemas.openxmlformats.org/officeDocument/2006/relationships/footer" Target="footer3.xml"/><Relationship Id="rId6" Type="http://schemas.openxmlformats.org/officeDocument/2006/relationships/customXml" Target="../customXML/item1.xml"/><Relationship Id="rId18" Type="http://schemas.openxmlformats.org/officeDocument/2006/relationships/footer" Target="footer2.xml"/><Relationship Id="rId7" Type="http://schemas.openxmlformats.org/officeDocument/2006/relationships/hyperlink" Target="mailto:ana.crrocha@aluno.uepa.br" TargetMode="External"/><Relationship Id="rId8" Type="http://schemas.openxmlformats.org/officeDocument/2006/relationships/image" Target="media/image12.png"/></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 Id="rId2" Type="http://schemas.openxmlformats.org/officeDocument/2006/relationships/image" Target="media/image3.png"/><Relationship Id="rId3" Type="http://schemas.openxmlformats.org/officeDocument/2006/relationships/image" Target="media/image1.png"/><Relationship Id="rId4" Type="http://schemas.openxmlformats.org/officeDocument/2006/relationships/image" Target="media/image4.png"/><Relationship Id="rId5" Type="http://schemas.openxmlformats.org/officeDocument/2006/relationships/image" Target="media/image7.png"/><Relationship Id="rId6" Type="http://schemas.openxmlformats.org/officeDocument/2006/relationships/image" Target="media/image5.png"/></Relationships>
</file>

<file path=word/_rels/header1.xml.rels><?xml version="1.0" encoding="UTF-8" standalone="yes"?><Relationships xmlns="http://schemas.openxmlformats.org/package/2006/relationships"><Relationship Id="rId1"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TOwfcs/x/XmkxLMTN8f7duvjr1w==">CgMxLjA4AHIhMTFjR0U4Z2pBYTZKVFA3c2piUXV1Y21UczVCX1l5Znc4</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