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1DD1" w14:textId="77777777" w:rsidR="00D070BF" w:rsidRDefault="00000000">
      <w:pPr>
        <w:spacing w:line="360" w:lineRule="auto"/>
        <w:jc w:val="center"/>
      </w:pPr>
      <w:r>
        <w:rPr>
          <w:b/>
          <w:color w:val="000000"/>
          <w:sz w:val="24"/>
        </w:rPr>
        <w:t xml:space="preserve">GOLPES DIGITAIS CONTRA PESSOAS IDOSAS: </w:t>
      </w:r>
      <w:r>
        <w:rPr>
          <w:color w:val="000000"/>
          <w:sz w:val="24"/>
        </w:rPr>
        <w:t>vulnerabilidade e estratégias de prevenção</w:t>
      </w:r>
    </w:p>
    <w:p w14:paraId="7F8CACC8" w14:textId="77777777" w:rsidR="00D070BF" w:rsidRDefault="00000000" w:rsidP="00CA612D">
      <w:pPr>
        <w:jc w:val="right"/>
      </w:pPr>
      <w:r>
        <w:rPr>
          <w:color w:val="000000"/>
          <w:sz w:val="24"/>
        </w:rPr>
        <w:t>Maria Alessandra Barroso Leite</w:t>
      </w:r>
      <w:r>
        <w:rPr>
          <w:color w:val="000000"/>
          <w:sz w:val="24"/>
          <w:vertAlign w:val="superscript"/>
        </w:rPr>
        <w:t>1</w:t>
      </w:r>
    </w:p>
    <w:p w14:paraId="52CD68DF" w14:textId="77777777" w:rsidR="00D070BF" w:rsidRDefault="00000000" w:rsidP="00CA612D">
      <w:pPr>
        <w:jc w:val="right"/>
      </w:pPr>
      <w:r>
        <w:rPr>
          <w:color w:val="000000"/>
          <w:sz w:val="24"/>
        </w:rPr>
        <w:t>Leticia Amaral de Oliveira</w:t>
      </w:r>
      <w:r>
        <w:rPr>
          <w:color w:val="000000"/>
          <w:sz w:val="24"/>
          <w:vertAlign w:val="superscript"/>
        </w:rPr>
        <w:t>1</w:t>
      </w:r>
    </w:p>
    <w:p w14:paraId="2D3D025D" w14:textId="77777777" w:rsidR="00D070BF" w:rsidRDefault="00000000" w:rsidP="00CA612D">
      <w:pPr>
        <w:jc w:val="right"/>
      </w:pPr>
      <w:r>
        <w:rPr>
          <w:color w:val="000000"/>
          <w:sz w:val="24"/>
        </w:rPr>
        <w:t>Antônia Amanda Costa Carvalho</w:t>
      </w:r>
      <w:r>
        <w:rPr>
          <w:color w:val="000000"/>
          <w:sz w:val="24"/>
          <w:vertAlign w:val="superscript"/>
        </w:rPr>
        <w:t>1</w:t>
      </w:r>
    </w:p>
    <w:p w14:paraId="18906AFA" w14:textId="77777777" w:rsidR="00D070BF" w:rsidRDefault="00000000" w:rsidP="00CA612D">
      <w:pPr>
        <w:jc w:val="right"/>
      </w:pPr>
      <w:r>
        <w:rPr>
          <w:color w:val="000000"/>
          <w:sz w:val="24"/>
        </w:rPr>
        <w:t>Maria Rhianna Andrade Barroso</w:t>
      </w:r>
      <w:r>
        <w:rPr>
          <w:color w:val="000000"/>
          <w:sz w:val="24"/>
          <w:vertAlign w:val="superscript"/>
        </w:rPr>
        <w:t>1</w:t>
      </w:r>
    </w:p>
    <w:p w14:paraId="7764AD58" w14:textId="77777777" w:rsidR="00D070BF" w:rsidRDefault="00000000" w:rsidP="00CA612D">
      <w:pPr>
        <w:jc w:val="right"/>
      </w:pPr>
      <w:r>
        <w:rPr>
          <w:color w:val="000000"/>
          <w:sz w:val="24"/>
        </w:rPr>
        <w:t>Guilherme Antônio Lopes de Oliveira</w:t>
      </w:r>
      <w:r>
        <w:rPr>
          <w:color w:val="000000"/>
          <w:sz w:val="24"/>
          <w:vertAlign w:val="superscript"/>
        </w:rPr>
        <w:t>2</w:t>
      </w:r>
    </w:p>
    <w:p w14:paraId="6C5AEF78" w14:textId="77777777" w:rsidR="00D070BF" w:rsidRDefault="00D070BF" w:rsidP="00CA612D">
      <w:pPr>
        <w:jc w:val="both"/>
      </w:pPr>
    </w:p>
    <w:p w14:paraId="77A1BB03" w14:textId="77777777" w:rsidR="00D070BF" w:rsidRDefault="00000000">
      <w:pPr>
        <w:spacing w:line="360" w:lineRule="auto"/>
        <w:jc w:val="center"/>
      </w:pPr>
      <w:r>
        <w:rPr>
          <w:b/>
          <w:color w:val="000000"/>
          <w:sz w:val="24"/>
        </w:rPr>
        <w:t>RESUMO</w:t>
      </w:r>
    </w:p>
    <w:p w14:paraId="12905C00" w14:textId="77777777" w:rsidR="00D070BF" w:rsidRDefault="00000000">
      <w:pPr>
        <w:spacing w:line="360" w:lineRule="auto"/>
        <w:jc w:val="both"/>
      </w:pPr>
      <w:r>
        <w:rPr>
          <w:color w:val="000000"/>
          <w:sz w:val="24"/>
        </w:rPr>
        <w:t>Os golpes digitais contra pessoas idosas têm se tornado um problema social e jurídico diante do crescimento do uso de tecnologias, aplicativos bancários, redes sociais e serviços digitais. Essa população pode apresentar maior vulnerabilidade devido à falta de familiaridade com determinadas tecnologias, ao desconhecimento sobre mecanismos de segurança e à dificuldade em identificar situações fraudulentas. Objetivo: Analisar os golpes digitais praticados contra pessoas idosas, os fatores que contribuem para sua vulnerabilidade, os principais tipos de fraudes, seus impactos e as estratégias de prevenção e proteção jurídica. Métodos: Trata-se de um estudo literário, de abordagem qualitativa e caráter exploratório, realizado por meio de pesquisas em livros, artigos científicos, trabalhos acadêmicos, legislações e materiais relacionados ao tema, com buscas no Google Acadêmico. Foram selecionados 7 artigos relacionados diretamente aos golpes digitais contra pessoas idosas, além da análise da Constituição Federal de 1988, do Estatuto da Pessoa Idosa, do Código Penal e da Lei Geral de Proteção de Dados Pessoais (LGPD). Resultados: Evidenciou-se que entre os principais golpes estão as fraudes financeiras, phishing, engenharia social, falsas mensagens, links maliciosos, falsas centrais de atendimento e solicitações fraudulentas de dados pessoais e bancários. Além dos prejuízos financeiros, essas práticas podem causar medo, constrangimento, insegurança e perda de confiança. Os estudos destacaram a educação digital, a conscientização, a proteção de dados e o fortalecimento dos mecanismos de segurança como importantes medidas de prevenção. Conclusão: A pesquisa literária demonstrou que o enfrentamento dos golpes digitais contra pessoas idosas exige a atuação conjunta das famílias, instituições financeiras, empresas de tecnologia, Poder Público e sociedade. Torna-se fundamental investir em educação digital, proteção de dados, segurança tecnológica e políticas públicas, garantindo que a inclusão digital ocorra de forma segura, preservando a dignidade, a autonomia e os direitos da pessoa idosa.</w:t>
      </w:r>
    </w:p>
    <w:p w14:paraId="472633DB" w14:textId="77777777" w:rsidR="00D070BF" w:rsidRDefault="00D070BF">
      <w:pPr>
        <w:spacing w:line="360" w:lineRule="auto"/>
        <w:jc w:val="both"/>
      </w:pPr>
    </w:p>
    <w:p w14:paraId="1FA039D1" w14:textId="77777777" w:rsidR="00D070BF" w:rsidRDefault="00000000">
      <w:pPr>
        <w:spacing w:line="360" w:lineRule="auto"/>
        <w:jc w:val="both"/>
      </w:pPr>
      <w:r>
        <w:rPr>
          <w:b/>
          <w:color w:val="000000"/>
          <w:sz w:val="24"/>
        </w:rPr>
        <w:lastRenderedPageBreak/>
        <w:t xml:space="preserve">Palavras-chave: </w:t>
      </w:r>
      <w:r>
        <w:rPr>
          <w:color w:val="000000"/>
          <w:sz w:val="24"/>
        </w:rPr>
        <w:t>Golpes digitais. Pessoa idosa. Vulnerabilidade. Segurança digital. Prevenção. Proteção de dados.</w:t>
      </w:r>
    </w:p>
    <w:p w14:paraId="60D6D7EC" w14:textId="77777777" w:rsidR="00D070BF" w:rsidRDefault="00D070BF">
      <w:pPr>
        <w:spacing w:line="360" w:lineRule="auto"/>
        <w:jc w:val="both"/>
      </w:pPr>
    </w:p>
    <w:p w14:paraId="2D266023" w14:textId="77777777" w:rsidR="00D070BF" w:rsidRDefault="00000000">
      <w:pPr>
        <w:spacing w:line="360" w:lineRule="auto"/>
      </w:pPr>
      <w:r>
        <w:rPr>
          <w:b/>
          <w:color w:val="000000"/>
          <w:sz w:val="24"/>
        </w:rPr>
        <w:t>1 INTRODUÇÃO</w:t>
      </w:r>
    </w:p>
    <w:p w14:paraId="3442EBAB" w14:textId="77777777" w:rsidR="00D070BF" w:rsidRDefault="00000000">
      <w:pPr>
        <w:spacing w:line="360" w:lineRule="auto"/>
        <w:ind w:firstLine="709"/>
        <w:jc w:val="both"/>
      </w:pPr>
      <w:r>
        <w:rPr>
          <w:color w:val="000000"/>
          <w:sz w:val="24"/>
        </w:rPr>
        <w:t>O desenvolvimento das tecnologias digitais modificou significativamente a vida em sociedade, proporcionando maior facilidade na comunicação, no acesso à informação, na realização de operações bancárias e na utilização de serviços públicos e privados. A popularização dos smartphones, aplicativos e redes sociais também possibilitou uma maior inclusão da população idosa no ambiente digital. Entretanto, ao mesmo tempo em que a tecnologia proporciona autonomia e praticidade, o ambiente virtual também passou a ser utilizado para a prática de diferentes crimes, entre eles os golpes digitais, que podem causar significativos prejuízos financeiros, sociais e emocionais às suas vítimas.</w:t>
      </w:r>
    </w:p>
    <w:p w14:paraId="0657C781" w14:textId="77777777" w:rsidR="00D070BF" w:rsidRDefault="00000000">
      <w:pPr>
        <w:spacing w:line="360" w:lineRule="auto"/>
        <w:ind w:firstLine="709"/>
        <w:jc w:val="both"/>
      </w:pPr>
      <w:r>
        <w:rPr>
          <w:color w:val="000000"/>
          <w:sz w:val="24"/>
        </w:rPr>
        <w:t>Nesse contexto, a população idosa merece especial atenção, uma vez que sua inserção no ambiente digital ocorre em meio a diversos desafios relacionados à segurança e ao reconhecimento de situações fraudulentas. A vulnerabilidade diante dos golpes não significa incapacidade para utilizar as tecnologias, mas pode estar relacionada à falta de familiaridade com determinados recursos digitais, ao desconhecimento sobre mecanismos de segurança e à confiança depositada em pessoas ou instituições que aparentam ser legítimas. Os criminosos aproveitam-se dessas circunstâncias para desenvolver estratégias de manipulação, buscando obter informações pessoais, dados bancários, senhas, códigos de segurança ou induzir a vítima à realização de transferências financeiras.</w:t>
      </w:r>
    </w:p>
    <w:p w14:paraId="708D652B" w14:textId="77777777" w:rsidR="00D070BF" w:rsidRDefault="00000000">
      <w:pPr>
        <w:spacing w:line="360" w:lineRule="auto"/>
        <w:ind w:firstLine="709"/>
        <w:jc w:val="both"/>
      </w:pPr>
      <w:r>
        <w:rPr>
          <w:color w:val="000000"/>
          <w:sz w:val="24"/>
        </w:rPr>
        <w:t>A proteção da pessoa idosa possui fundamento na Constituição Federal de 1988. O artigo 230 estabelece que é dever da família, da sociedade e do Estado amparar as pessoas idosas, assegurando sua participação na comunidade, defendendo sua dignidade e bem-estar e garantindo-lhes o direito à vida (Brasil, 1988). Dessa forma, a proteção contra golpes digitais também deve ser compreendida como parte do dever de proteção dos direitos fundamentais da pessoa idosa, especialmente diante da crescente digitalização das relações sociais e econômicas. A segurança no ambiente virtual, portanto, deve acompanhar o processo de inclusão digital, garantindo que o acesso à tecnologia ocorra de maneira segura e consciente.</w:t>
      </w:r>
    </w:p>
    <w:p w14:paraId="7B6F237F" w14:textId="77777777" w:rsidR="00D070BF" w:rsidRDefault="00000000">
      <w:pPr>
        <w:spacing w:line="360" w:lineRule="auto"/>
        <w:ind w:firstLine="709"/>
        <w:jc w:val="both"/>
      </w:pPr>
      <w:r>
        <w:rPr>
          <w:color w:val="000000"/>
          <w:sz w:val="24"/>
        </w:rPr>
        <w:t xml:space="preserve">Nesse mesmo sentido, a Lei nº 10.741/2003, denominada Estatuto da Pessoa Idosa, estabelece normas destinadas à proteção integral das pessoas com 60 anos ou mais. O artigo 4º </w:t>
      </w:r>
      <w:r>
        <w:rPr>
          <w:color w:val="000000"/>
          <w:sz w:val="24"/>
        </w:rPr>
        <w:lastRenderedPageBreak/>
        <w:t>determina que nenhuma pessoa idosa será objeto de negligência, discriminação, violência, crueldade ou opressão, estabelecendo ainda que é dever de todos prevenir a ameaça ou violação aos seus direitos (Brasil, 2003). A ocorrência de golpes digitais pode representar uma forma de violação desses direitos, principalmente quando resulta em prejuízos patrimoniais, constrangimento, sofrimento psicológico ou comprometimento da autonomia da vítima. Assim, a prevenção constitui instrumento essencial para a efetivação da proteção assegurada pela legislação brasileira.</w:t>
      </w:r>
    </w:p>
    <w:p w14:paraId="71B1A928" w14:textId="77777777" w:rsidR="00D070BF" w:rsidRDefault="00000000">
      <w:pPr>
        <w:spacing w:line="360" w:lineRule="auto"/>
        <w:ind w:firstLine="709"/>
        <w:jc w:val="both"/>
      </w:pPr>
      <w:r>
        <w:rPr>
          <w:color w:val="000000"/>
          <w:sz w:val="24"/>
        </w:rPr>
        <w:t>No âmbito penal, os golpes praticados por meios eletrônicos também receberam tratamento específico. A Lei nº 14.155/2021 alterou o Código Penal e estabeleceu, entre outras medidas, a previsão da fraude eletrônica no artigo 171, § 2º-A. A legislação prevê ainda aumento de pena quando o crime de estelionato é cometido contra pessoa idosa ou vulnerável, reconhecendo a necessidade de maior proteção diante das circunstâncias que podem aumentar a exposição dessas pessoas às práticas fraudulentas (Brasil, 1940; Brasil, 2021). Entre as modalidades de golpes encontram-se falsas mensagens bancárias, falsas centrais de atendimento, clonagem de aplicativos de mensagens, golpes relacionados a benefícios previdenciários, envio de links fraudulentos e solicitações indevidas de dados pessoais.</w:t>
      </w:r>
    </w:p>
    <w:p w14:paraId="47B364A2" w14:textId="77777777" w:rsidR="00D070BF" w:rsidRDefault="00000000">
      <w:pPr>
        <w:spacing w:line="360" w:lineRule="auto"/>
        <w:ind w:firstLine="709"/>
        <w:jc w:val="both"/>
      </w:pPr>
      <w:r>
        <w:rPr>
          <w:color w:val="000000"/>
          <w:sz w:val="24"/>
        </w:rPr>
        <w:t>Além da proteção prevista no Estatuto da Pessoa Idosa e na legislação penal, a proteção dos dados pessoais também possui papel fundamental na prevenção dos golpes digitais. A Lei nº 13.709/2018, conhecida como Lei Geral de Proteção de Dados Pessoais (LGPD), estabelece princípios e regras para o tratamento de dados pessoais, inclusive nos meios digitais, tendo como fundamentos a proteção da privacidade e dos direitos fundamentais de liberdade e de personalidade (Brasil, 2018). A utilização indevida de informações pessoais pode facilitar a atuação de criminosos, razão pela qual a conscientização sobre a proteção de documentos, senhas, códigos de autenticação e informações bancárias constitui importante medida de prevenção.</w:t>
      </w:r>
    </w:p>
    <w:p w14:paraId="4828737E" w14:textId="77777777" w:rsidR="00D070BF" w:rsidRDefault="00000000">
      <w:pPr>
        <w:spacing w:line="360" w:lineRule="auto"/>
        <w:ind w:firstLine="709"/>
        <w:jc w:val="both"/>
      </w:pPr>
      <w:r>
        <w:rPr>
          <w:color w:val="000000"/>
          <w:sz w:val="24"/>
        </w:rPr>
        <w:t xml:space="preserve">Diante desse cenário, o presente artigo tem como objetivo analisar os golpes digitais contra pessoas idosas, destacando os fatores que contribuem para sua vulnerabilidade e as principais estratégias de prevenção. Pretende-se abordar as modalidades mais recorrentes de fraudes digitais, os impactos provocados às vítimas e os instrumentos jurídicos existentes para sua proteção. Busca-se, ainda, demonstrar a importância da educação digital, da orientação familiar, da proteção de dados e da atuação conjunta do Poder Público, das instituições </w:t>
      </w:r>
      <w:r>
        <w:rPr>
          <w:color w:val="000000"/>
          <w:sz w:val="24"/>
        </w:rPr>
        <w:lastRenderedPageBreak/>
        <w:t>financeiras e da sociedade para reduzir a ocorrência desses crimes. Dessa forma, pretende-se contribuir para a construção de um ambiente digital mais seguro, no qual a pessoa idosa possa exercer sua autonomia e utilizar os recursos tecnológicos sem que sua dignidade, patrimônio e direitos sejam colocados em risco.</w:t>
      </w:r>
    </w:p>
    <w:p w14:paraId="52E37E0A" w14:textId="77777777" w:rsidR="00D070BF" w:rsidRDefault="00D070BF">
      <w:pPr>
        <w:spacing w:line="360" w:lineRule="auto"/>
        <w:jc w:val="both"/>
      </w:pPr>
    </w:p>
    <w:p w14:paraId="7C673A98" w14:textId="77777777" w:rsidR="00D070BF" w:rsidRDefault="00000000">
      <w:pPr>
        <w:spacing w:line="360" w:lineRule="auto"/>
      </w:pPr>
      <w:r>
        <w:rPr>
          <w:b/>
          <w:color w:val="000000"/>
          <w:sz w:val="24"/>
        </w:rPr>
        <w:t>2 OBJETIVOS</w:t>
      </w:r>
    </w:p>
    <w:p w14:paraId="1F3FC7D1" w14:textId="77777777" w:rsidR="00D070BF" w:rsidRDefault="00000000">
      <w:pPr>
        <w:spacing w:line="360" w:lineRule="auto"/>
        <w:ind w:firstLine="709"/>
        <w:jc w:val="both"/>
      </w:pPr>
      <w:r>
        <w:rPr>
          <w:color w:val="000000"/>
          <w:sz w:val="24"/>
        </w:rPr>
        <w:t>Analisar os golpes digitais praticados contra pessoas idosas e os fatores que contribuem para sua vulnerabilidade no ambiente virtual. Identificar os principais tipos de fraudes e seus impactos financeiros, sociais e emocionais. Abordar os mecanismos jurídicos destinados à proteção da pessoa idosa. Apresentar estratégias de prevenção e conscientização diante dos riscos digitais. Destacar a importância da educação digital e da proteção de dados pessoais. Contribuir para um uso mais seguro, consciente e responsável das tecnologias pela população idosa.</w:t>
      </w:r>
    </w:p>
    <w:p w14:paraId="6CE1544C" w14:textId="77777777" w:rsidR="00D070BF" w:rsidRDefault="00D070BF">
      <w:pPr>
        <w:spacing w:line="360" w:lineRule="auto"/>
        <w:jc w:val="both"/>
      </w:pPr>
    </w:p>
    <w:p w14:paraId="1B6BCA5E" w14:textId="77777777" w:rsidR="00D070BF" w:rsidRDefault="00000000">
      <w:pPr>
        <w:spacing w:line="360" w:lineRule="auto"/>
      </w:pPr>
      <w:r>
        <w:rPr>
          <w:b/>
          <w:color w:val="000000"/>
          <w:sz w:val="24"/>
        </w:rPr>
        <w:t>3 MÉTODO</w:t>
      </w:r>
    </w:p>
    <w:p w14:paraId="113F3B36" w14:textId="77777777" w:rsidR="00D070BF" w:rsidRDefault="00000000">
      <w:pPr>
        <w:spacing w:line="360" w:lineRule="auto"/>
        <w:ind w:firstLine="709"/>
        <w:jc w:val="both"/>
      </w:pPr>
      <w:r>
        <w:rPr>
          <w:color w:val="000000"/>
          <w:sz w:val="24"/>
        </w:rPr>
        <w:t>O estudo foi desenvolvido por meio de um estudo literário, de abordagem qualitativa e caráter exploratório, com o objetivo de analisar os golpes digitais contra pessoas idosas, sua vulnerabilidade e as principais estratégias de prevenção. Para a elaboração do trabalho, foram realizadas pesquisas em livros, artigos científicos, trabalhos acadêmicos, legislações e materiais relacionados ao tema.</w:t>
      </w:r>
    </w:p>
    <w:p w14:paraId="41CF4FE6" w14:textId="77777777" w:rsidR="00D070BF" w:rsidRDefault="00000000">
      <w:pPr>
        <w:spacing w:line="360" w:lineRule="auto"/>
        <w:ind w:firstLine="709"/>
        <w:jc w:val="both"/>
      </w:pPr>
      <w:r>
        <w:rPr>
          <w:color w:val="000000"/>
          <w:sz w:val="24"/>
        </w:rPr>
        <w:t>Foram realizadas buscas no Google Acadêmico, utilizando termos relacionados ao tema, como “golpes digitais contra idosos”, “vulnerabilidade da pessoa idosa”, “crimes virtuais”, “segurança digital” e “prevenção de golpes digitais”. A partir dos resultados encontrados, foram selecionados materiais considerados relevantes para a compreensão da problemática abordada.</w:t>
      </w:r>
    </w:p>
    <w:p w14:paraId="4938F6C2" w14:textId="77777777" w:rsidR="00D070BF" w:rsidRDefault="00000000">
      <w:pPr>
        <w:spacing w:line="360" w:lineRule="auto"/>
        <w:ind w:firstLine="709"/>
        <w:jc w:val="both"/>
      </w:pPr>
      <w:r>
        <w:rPr>
          <w:color w:val="000000"/>
          <w:sz w:val="24"/>
        </w:rPr>
        <w:t>Para a fundamentação do estudo, foram utilizados como principais referenciais a Constituição Federal de 1988, o Estatuto da Pessoa Idosa, o Código Penal e a Lei Geral de Proteção de Dados Pessoais (LGPD), além de estudos acadêmicos relacionados à inclusão digital, segurança da informação, envelhecimento e crimes praticados no ambiente virtual.</w:t>
      </w:r>
    </w:p>
    <w:p w14:paraId="295F3FE7" w14:textId="77777777" w:rsidR="00D070BF" w:rsidRDefault="00000000">
      <w:pPr>
        <w:spacing w:line="360" w:lineRule="auto"/>
        <w:ind w:firstLine="709"/>
        <w:jc w:val="both"/>
      </w:pPr>
      <w:r>
        <w:rPr>
          <w:color w:val="000000"/>
          <w:sz w:val="24"/>
        </w:rPr>
        <w:t xml:space="preserve">Os materiais selecionados foram analisados de acordo com sua relevância para o tema, considerando informações sobre os principais tipos de golpes digitais, os fatores que contribuem para a vulnerabilidade da população idosa, os impactos causados pelas fraudes e as </w:t>
      </w:r>
      <w:r>
        <w:rPr>
          <w:color w:val="000000"/>
          <w:sz w:val="24"/>
        </w:rPr>
        <w:lastRenderedPageBreak/>
        <w:t>formas de prevenção. As informações encontradas foram organizadas de acordo com os objetivos propostos.</w:t>
      </w:r>
    </w:p>
    <w:p w14:paraId="46234913" w14:textId="77777777" w:rsidR="00D070BF" w:rsidRDefault="00000000">
      <w:pPr>
        <w:spacing w:line="360" w:lineRule="auto"/>
        <w:ind w:firstLine="709"/>
        <w:jc w:val="both"/>
      </w:pPr>
      <w:r>
        <w:rPr>
          <w:color w:val="000000"/>
          <w:sz w:val="24"/>
        </w:rPr>
        <w:t>A abordagem qualitativa possibilitou compreender os diferentes aspectos relacionados aos golpes digitais, considerando seus efeitos sobre a segurança, o patrimônio, a autonomia e a dignidade da pessoa idosa. Dessa forma, o estudo literário permitiu reunir conhecimentos presentes na literatura e na legislação, destacando a importância da conscientização, da educação digital e da proteção jurídica como instrumentos fundamentais para a prevenção dos golpes contra a população idosa.</w:t>
      </w:r>
    </w:p>
    <w:p w14:paraId="52B734AB" w14:textId="77777777" w:rsidR="00D070BF" w:rsidRDefault="00D070BF">
      <w:pPr>
        <w:spacing w:line="360" w:lineRule="auto"/>
        <w:jc w:val="both"/>
      </w:pPr>
    </w:p>
    <w:p w14:paraId="596C6AFF" w14:textId="77777777" w:rsidR="00D070BF" w:rsidRDefault="00000000">
      <w:pPr>
        <w:spacing w:line="360" w:lineRule="auto"/>
      </w:pPr>
      <w:r>
        <w:rPr>
          <w:b/>
          <w:color w:val="000000"/>
          <w:sz w:val="24"/>
        </w:rPr>
        <w:t>4 RESULTADOS E DISCUSSÃO</w:t>
      </w:r>
    </w:p>
    <w:p w14:paraId="2F51A18A" w14:textId="77777777" w:rsidR="00D070BF" w:rsidRDefault="00000000">
      <w:pPr>
        <w:spacing w:line="360" w:lineRule="auto"/>
        <w:ind w:firstLine="709"/>
        <w:jc w:val="both"/>
      </w:pPr>
      <w:r>
        <w:rPr>
          <w:color w:val="000000"/>
          <w:sz w:val="24"/>
        </w:rPr>
        <w:t>Foi realizada uma busca por estudos relacionados aos golpes digitais contra pessoas idosas, sendo 7 artigos selecionados por apresentarem relação direta com o tema. Os resultados destacaram a vulnerabilidade dos idosos, especialmente diante de fraudes bancárias, mensagens falsas e roubo de dados. Dados do TCU apontam crescimento de 248% nos registros entre 2021 e 2024. Os estudos reforçaram a importância da educação digital, conscientização e proteção de dados como principais medidas de prevenção.</w:t>
      </w:r>
    </w:p>
    <w:p w14:paraId="69AEE9FF" w14:textId="77777777" w:rsidR="00D070BF" w:rsidRDefault="00D070BF">
      <w:pPr>
        <w:spacing w:line="360" w:lineRule="auto"/>
        <w:jc w:val="both"/>
      </w:pPr>
    </w:p>
    <w:p w14:paraId="7653C4AF" w14:textId="77777777" w:rsidR="00D070BF" w:rsidRDefault="00000000">
      <w:r>
        <w:rPr>
          <w:color w:val="000000"/>
        </w:rPr>
        <w:t>Quadro 1 - Artigos selecionados sobre golpes digitais contra pessoas idosas</w:t>
      </w:r>
    </w:p>
    <w:tbl>
      <w:tblPr>
        <w:tblStyle w:val="TableNormal0"/>
        <w:tblW w:w="0" w:type="auto"/>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118"/>
        <w:gridCol w:w="2835"/>
        <w:gridCol w:w="3118"/>
      </w:tblGrid>
      <w:tr w:rsidR="00D070BF" w14:paraId="74C0BF18" w14:textId="77777777">
        <w:trPr>
          <w:cantSplit/>
          <w:tblHeader/>
          <w:jc w:val="center"/>
        </w:trPr>
        <w:tc>
          <w:tcPr>
            <w:tcW w:w="3118" w:type="dxa"/>
          </w:tcPr>
          <w:p w14:paraId="06AD60BE" w14:textId="77777777" w:rsidR="00D070BF" w:rsidRDefault="00000000">
            <w:pPr>
              <w:spacing w:before="40" w:after="40"/>
              <w:jc w:val="center"/>
            </w:pPr>
            <w:r>
              <w:rPr>
                <w:b/>
                <w:color w:val="000000"/>
                <w:sz w:val="20"/>
              </w:rPr>
              <w:t>TÍTULO</w:t>
            </w:r>
          </w:p>
        </w:tc>
        <w:tc>
          <w:tcPr>
            <w:tcW w:w="2835" w:type="dxa"/>
          </w:tcPr>
          <w:p w14:paraId="4465138B" w14:textId="77777777" w:rsidR="00D070BF" w:rsidRDefault="00000000">
            <w:pPr>
              <w:spacing w:before="40" w:after="40"/>
              <w:jc w:val="center"/>
            </w:pPr>
            <w:r>
              <w:rPr>
                <w:b/>
                <w:color w:val="000000"/>
                <w:sz w:val="20"/>
              </w:rPr>
              <w:t>AUTORES</w:t>
            </w:r>
          </w:p>
        </w:tc>
        <w:tc>
          <w:tcPr>
            <w:tcW w:w="3118" w:type="dxa"/>
          </w:tcPr>
          <w:p w14:paraId="74AB9003" w14:textId="77777777" w:rsidR="00D070BF" w:rsidRDefault="00000000">
            <w:pPr>
              <w:spacing w:before="40" w:after="40"/>
              <w:jc w:val="center"/>
            </w:pPr>
            <w:r>
              <w:rPr>
                <w:b/>
                <w:color w:val="000000"/>
                <w:sz w:val="20"/>
              </w:rPr>
              <w:t>DESENHO DE ESTUDO</w:t>
            </w:r>
          </w:p>
        </w:tc>
      </w:tr>
      <w:tr w:rsidR="00D070BF" w14:paraId="158A895C" w14:textId="77777777">
        <w:trPr>
          <w:cantSplit/>
          <w:jc w:val="center"/>
        </w:trPr>
        <w:tc>
          <w:tcPr>
            <w:tcW w:w="3118" w:type="dxa"/>
          </w:tcPr>
          <w:p w14:paraId="216FED3D" w14:textId="77777777" w:rsidR="00D070BF" w:rsidRDefault="00000000">
            <w:pPr>
              <w:spacing w:before="40" w:after="40"/>
              <w:jc w:val="both"/>
            </w:pPr>
            <w:r>
              <w:rPr>
                <w:color w:val="000000"/>
                <w:sz w:val="20"/>
              </w:rPr>
              <w:t>A vulnerabilidade social de idosos frente a golpes no âmbito digital</w:t>
            </w:r>
          </w:p>
        </w:tc>
        <w:tc>
          <w:tcPr>
            <w:tcW w:w="2835" w:type="dxa"/>
          </w:tcPr>
          <w:p w14:paraId="5DECF7D4" w14:textId="77777777" w:rsidR="00D070BF" w:rsidRDefault="00000000">
            <w:pPr>
              <w:spacing w:before="40" w:after="40"/>
              <w:jc w:val="both"/>
            </w:pPr>
            <w:r>
              <w:rPr>
                <w:color w:val="000000"/>
                <w:sz w:val="20"/>
              </w:rPr>
              <w:t>Ailton Stefani Wojahn; Carolina da Paixão Michael; Deivid Jonas Silva da Veiga; Rodrigo Lenz; Sabrina Gutknecht da Silva; Tael Pukall Rossetto; Marcelo Loeblein dos Santos</w:t>
            </w:r>
          </w:p>
        </w:tc>
        <w:tc>
          <w:tcPr>
            <w:tcW w:w="3118" w:type="dxa"/>
          </w:tcPr>
          <w:p w14:paraId="66EC6278" w14:textId="77777777" w:rsidR="00D070BF" w:rsidRDefault="00000000">
            <w:pPr>
              <w:spacing w:before="40" w:after="40"/>
              <w:jc w:val="both"/>
            </w:pPr>
            <w:r>
              <w:rPr>
                <w:color w:val="000000"/>
                <w:sz w:val="20"/>
              </w:rPr>
              <w:t>Pesquisa bibliográfica, com análise da legislação e da literatura relacionada à proteção da pessoa idosa e aos golpes digitais.</w:t>
            </w:r>
          </w:p>
        </w:tc>
      </w:tr>
      <w:tr w:rsidR="00D070BF" w14:paraId="6BF4E6DC" w14:textId="77777777">
        <w:trPr>
          <w:cantSplit/>
          <w:jc w:val="center"/>
        </w:trPr>
        <w:tc>
          <w:tcPr>
            <w:tcW w:w="3118" w:type="dxa"/>
          </w:tcPr>
          <w:p w14:paraId="7EC45A3F" w14:textId="77777777" w:rsidR="00D070BF" w:rsidRDefault="00000000">
            <w:pPr>
              <w:spacing w:before="40" w:after="40"/>
              <w:jc w:val="both"/>
            </w:pPr>
            <w:r>
              <w:rPr>
                <w:color w:val="000000"/>
                <w:sz w:val="20"/>
              </w:rPr>
              <w:t>Golpes financeiros contra pessoas idosas por meio de engenharia social no ambiente digital</w:t>
            </w:r>
          </w:p>
        </w:tc>
        <w:tc>
          <w:tcPr>
            <w:tcW w:w="2835" w:type="dxa"/>
          </w:tcPr>
          <w:p w14:paraId="4DC71C32" w14:textId="77777777" w:rsidR="00D070BF" w:rsidRDefault="00000000">
            <w:pPr>
              <w:spacing w:before="40" w:after="40"/>
              <w:jc w:val="both"/>
            </w:pPr>
            <w:r>
              <w:rPr>
                <w:color w:val="000000"/>
                <w:sz w:val="20"/>
              </w:rPr>
              <w:t>Flávio Morgado</w:t>
            </w:r>
          </w:p>
        </w:tc>
        <w:tc>
          <w:tcPr>
            <w:tcW w:w="3118" w:type="dxa"/>
          </w:tcPr>
          <w:p w14:paraId="6A9186FF" w14:textId="77777777" w:rsidR="00D070BF" w:rsidRDefault="00000000">
            <w:pPr>
              <w:spacing w:before="40" w:after="40"/>
              <w:jc w:val="both"/>
            </w:pPr>
            <w:r>
              <w:rPr>
                <w:color w:val="000000"/>
                <w:sz w:val="20"/>
              </w:rPr>
              <w:t>Revisão bibliográfica, fundamentada também em conceitos da Economia Comportamental.</w:t>
            </w:r>
          </w:p>
        </w:tc>
      </w:tr>
      <w:tr w:rsidR="00D070BF" w14:paraId="1AF2C415" w14:textId="77777777">
        <w:trPr>
          <w:cantSplit/>
          <w:jc w:val="center"/>
        </w:trPr>
        <w:tc>
          <w:tcPr>
            <w:tcW w:w="3118" w:type="dxa"/>
          </w:tcPr>
          <w:p w14:paraId="2D497A49" w14:textId="77777777" w:rsidR="00D070BF" w:rsidRDefault="00000000">
            <w:pPr>
              <w:spacing w:before="40" w:after="40"/>
              <w:jc w:val="both"/>
            </w:pPr>
            <w:r>
              <w:rPr>
                <w:color w:val="000000"/>
                <w:sz w:val="20"/>
              </w:rPr>
              <w:t>Teias de engano: uma análise dos riscos e estratégias de prevenção aos golpes cibernéticos praticados contra pessoas idosas na era digital</w:t>
            </w:r>
          </w:p>
        </w:tc>
        <w:tc>
          <w:tcPr>
            <w:tcW w:w="2835" w:type="dxa"/>
          </w:tcPr>
          <w:p w14:paraId="76E51FCD" w14:textId="77777777" w:rsidR="00D070BF" w:rsidRDefault="00000000">
            <w:pPr>
              <w:spacing w:before="40" w:after="40"/>
              <w:jc w:val="both"/>
            </w:pPr>
            <w:r>
              <w:rPr>
                <w:color w:val="000000"/>
                <w:sz w:val="20"/>
              </w:rPr>
              <w:t>Erine Natalie Bortot; Lisa Marie Franz; Marcus Vinícius Guerra; Maria de Lourdes Bernartt; Wilson Itamar Godoy</w:t>
            </w:r>
          </w:p>
        </w:tc>
        <w:tc>
          <w:tcPr>
            <w:tcW w:w="3118" w:type="dxa"/>
          </w:tcPr>
          <w:p w14:paraId="4F020125" w14:textId="77777777" w:rsidR="00D070BF" w:rsidRDefault="00000000">
            <w:pPr>
              <w:spacing w:before="40" w:after="40"/>
              <w:jc w:val="both"/>
            </w:pPr>
            <w:r>
              <w:rPr>
                <w:color w:val="000000"/>
                <w:sz w:val="20"/>
              </w:rPr>
              <w:t>Revisão bibliográfica, realizada a partir de pesquisas em bases como Web of Science, SciELO, Google Acadêmico e Scopus.</w:t>
            </w:r>
          </w:p>
        </w:tc>
      </w:tr>
      <w:tr w:rsidR="00D070BF" w14:paraId="18C6F435" w14:textId="77777777">
        <w:trPr>
          <w:cantSplit/>
          <w:jc w:val="center"/>
        </w:trPr>
        <w:tc>
          <w:tcPr>
            <w:tcW w:w="3118" w:type="dxa"/>
          </w:tcPr>
          <w:p w14:paraId="6E5912B9" w14:textId="77777777" w:rsidR="00D070BF" w:rsidRDefault="00000000">
            <w:pPr>
              <w:spacing w:before="40" w:after="40"/>
              <w:jc w:val="both"/>
            </w:pPr>
            <w:r>
              <w:rPr>
                <w:color w:val="000000"/>
                <w:sz w:val="20"/>
              </w:rPr>
              <w:lastRenderedPageBreak/>
              <w:t>Os crimes cibernéticos e a vulnerabilidade dos idosos</w:t>
            </w:r>
          </w:p>
        </w:tc>
        <w:tc>
          <w:tcPr>
            <w:tcW w:w="2835" w:type="dxa"/>
          </w:tcPr>
          <w:p w14:paraId="6A302CC7" w14:textId="77777777" w:rsidR="00D070BF" w:rsidRDefault="00000000">
            <w:pPr>
              <w:spacing w:before="40" w:after="40"/>
              <w:jc w:val="both"/>
            </w:pPr>
            <w:r>
              <w:rPr>
                <w:color w:val="000000"/>
                <w:sz w:val="20"/>
              </w:rPr>
              <w:t>Uênis Pereira da Silva; Marcela Cordeiro de Oliveira</w:t>
            </w:r>
          </w:p>
        </w:tc>
        <w:tc>
          <w:tcPr>
            <w:tcW w:w="3118" w:type="dxa"/>
          </w:tcPr>
          <w:p w14:paraId="5532CBF2" w14:textId="77777777" w:rsidR="00D070BF" w:rsidRDefault="00000000">
            <w:pPr>
              <w:spacing w:before="40" w:after="40"/>
              <w:jc w:val="both"/>
            </w:pPr>
            <w:r>
              <w:rPr>
                <w:color w:val="000000"/>
                <w:sz w:val="20"/>
              </w:rPr>
              <w:t>Pesquisa qualitativa, com análise bibliográfica e análise de 10 decisões judiciais do Tribunal de Justiça de Minas Gerais (TJMG). O estudo identificou o reconhecimento da hipervulnerabilidade dos idosos nos casos analisados.</w:t>
            </w:r>
          </w:p>
        </w:tc>
      </w:tr>
      <w:tr w:rsidR="00D070BF" w14:paraId="08C781C3" w14:textId="77777777">
        <w:trPr>
          <w:cantSplit/>
          <w:jc w:val="center"/>
        </w:trPr>
        <w:tc>
          <w:tcPr>
            <w:tcW w:w="3118" w:type="dxa"/>
          </w:tcPr>
          <w:p w14:paraId="2393614F" w14:textId="77777777" w:rsidR="00D070BF" w:rsidRDefault="00000000">
            <w:pPr>
              <w:spacing w:before="40" w:after="40"/>
              <w:jc w:val="both"/>
            </w:pPr>
            <w:r>
              <w:rPr>
                <w:color w:val="000000"/>
                <w:sz w:val="20"/>
              </w:rPr>
              <w:t>A pessoa idosa enquanto hipervulnerável no contexto das fraudes bancárias e da proteção de dados pessoais</w:t>
            </w:r>
          </w:p>
        </w:tc>
        <w:tc>
          <w:tcPr>
            <w:tcW w:w="2835" w:type="dxa"/>
          </w:tcPr>
          <w:p w14:paraId="6808D52F" w14:textId="77777777" w:rsidR="00D070BF" w:rsidRDefault="00000000">
            <w:pPr>
              <w:spacing w:before="40" w:after="40"/>
              <w:jc w:val="both"/>
            </w:pPr>
            <w:r>
              <w:rPr>
                <w:color w:val="000000"/>
                <w:sz w:val="20"/>
              </w:rPr>
              <w:t>Bruna Martins Costa</w:t>
            </w:r>
          </w:p>
        </w:tc>
        <w:tc>
          <w:tcPr>
            <w:tcW w:w="3118" w:type="dxa"/>
          </w:tcPr>
          <w:p w14:paraId="35E762D6" w14:textId="77777777" w:rsidR="00D070BF" w:rsidRDefault="00000000">
            <w:pPr>
              <w:spacing w:before="40" w:after="40"/>
              <w:jc w:val="both"/>
            </w:pPr>
            <w:r>
              <w:rPr>
                <w:color w:val="000000"/>
                <w:sz w:val="20"/>
              </w:rPr>
              <w:t>Pesquisa documental e revisão bibliográfica, com análise do ordenamento jurídico brasileiro e da doutrina relacionada ao Direito do Consumidor e à proteção de dados pessoais.</w:t>
            </w:r>
          </w:p>
        </w:tc>
      </w:tr>
      <w:tr w:rsidR="00D070BF" w14:paraId="350C6886" w14:textId="77777777">
        <w:trPr>
          <w:cantSplit/>
          <w:jc w:val="center"/>
        </w:trPr>
        <w:tc>
          <w:tcPr>
            <w:tcW w:w="3118" w:type="dxa"/>
          </w:tcPr>
          <w:p w14:paraId="68C9DD65" w14:textId="77777777" w:rsidR="00D070BF" w:rsidRDefault="00000000">
            <w:pPr>
              <w:spacing w:before="40" w:after="40"/>
              <w:jc w:val="both"/>
            </w:pPr>
            <w:r>
              <w:rPr>
                <w:color w:val="000000"/>
                <w:sz w:val="20"/>
              </w:rPr>
              <w:t>Proteção e segurança para o idoso no meio da tecnologia da informação</w:t>
            </w:r>
          </w:p>
        </w:tc>
        <w:tc>
          <w:tcPr>
            <w:tcW w:w="2835" w:type="dxa"/>
          </w:tcPr>
          <w:p w14:paraId="233F5771" w14:textId="77777777" w:rsidR="00D070BF" w:rsidRDefault="00000000">
            <w:pPr>
              <w:spacing w:before="40" w:after="40"/>
              <w:jc w:val="both"/>
            </w:pPr>
            <w:r>
              <w:rPr>
                <w:color w:val="000000"/>
                <w:sz w:val="20"/>
              </w:rPr>
              <w:t>Alends Venus Oliveira da Silva; Ângela Timótia Pereira Lima; Leonardo Chagas da Silva; Luccas Daniel Lira e Cunha; Rodrigo Silva do Carmo</w:t>
            </w:r>
          </w:p>
        </w:tc>
        <w:tc>
          <w:tcPr>
            <w:tcW w:w="3118" w:type="dxa"/>
          </w:tcPr>
          <w:p w14:paraId="500A452B" w14:textId="77777777" w:rsidR="00D070BF" w:rsidRDefault="00000000">
            <w:pPr>
              <w:spacing w:before="40" w:after="40"/>
              <w:jc w:val="both"/>
            </w:pPr>
            <w:r>
              <w:rPr>
                <w:color w:val="000000"/>
                <w:sz w:val="20"/>
              </w:rPr>
              <w:t>Pesquisa bibliográfica, com desenvolvimento de um protótipo de aplicativo voltado à proteção dos idosos contra golpes digitais.</w:t>
            </w:r>
          </w:p>
        </w:tc>
      </w:tr>
      <w:tr w:rsidR="00D070BF" w14:paraId="6D86B771" w14:textId="77777777">
        <w:trPr>
          <w:cantSplit/>
          <w:jc w:val="center"/>
        </w:trPr>
        <w:tc>
          <w:tcPr>
            <w:tcW w:w="3118" w:type="dxa"/>
          </w:tcPr>
          <w:p w14:paraId="3812B7B8" w14:textId="77777777" w:rsidR="00D070BF" w:rsidRDefault="00000000">
            <w:pPr>
              <w:spacing w:before="40" w:after="40"/>
              <w:jc w:val="both"/>
            </w:pPr>
            <w:r>
              <w:rPr>
                <w:color w:val="000000"/>
                <w:sz w:val="20"/>
              </w:rPr>
              <w:t>A proteção dos idosos contra crimes cibernéticos no Brasil: desafios e soluções jurídicas</w:t>
            </w:r>
          </w:p>
        </w:tc>
        <w:tc>
          <w:tcPr>
            <w:tcW w:w="2835" w:type="dxa"/>
          </w:tcPr>
          <w:p w14:paraId="411EDBEB" w14:textId="77777777" w:rsidR="00D070BF" w:rsidRDefault="00000000">
            <w:pPr>
              <w:spacing w:before="40" w:after="40"/>
              <w:jc w:val="both"/>
            </w:pPr>
            <w:r>
              <w:rPr>
                <w:color w:val="000000"/>
                <w:sz w:val="20"/>
              </w:rPr>
              <w:t>Francineia Cartaxo da Silva Serra; Laucemir Soares da Mota; Thiago Carlos do Carmo Nogueira; Marcio de Jesus Lima do Nascimento</w:t>
            </w:r>
          </w:p>
        </w:tc>
        <w:tc>
          <w:tcPr>
            <w:tcW w:w="3118" w:type="dxa"/>
          </w:tcPr>
          <w:p w14:paraId="57E7AA8D" w14:textId="77777777" w:rsidR="00D070BF" w:rsidRDefault="00000000">
            <w:pPr>
              <w:spacing w:before="40" w:after="40"/>
              <w:jc w:val="both"/>
            </w:pPr>
            <w:r>
              <w:rPr>
                <w:color w:val="000000"/>
                <w:sz w:val="20"/>
              </w:rPr>
              <w:t>Pesquisa bibliográfica, baseada na análise de artigos e estudos recentes relacionados aos crimes cibernéticos contra pessoas idosas.</w:t>
            </w:r>
          </w:p>
        </w:tc>
      </w:tr>
    </w:tbl>
    <w:p w14:paraId="64384A2F" w14:textId="77777777" w:rsidR="00D070BF" w:rsidRDefault="00000000">
      <w:r>
        <w:rPr>
          <w:color w:val="000000"/>
          <w:sz w:val="20"/>
        </w:rPr>
        <w:t>Fonte: Elaborado pelos autores (2026).</w:t>
      </w:r>
    </w:p>
    <w:p w14:paraId="5E82C8B6" w14:textId="77777777" w:rsidR="00D070BF" w:rsidRDefault="00D070BF">
      <w:pPr>
        <w:spacing w:line="360" w:lineRule="auto"/>
        <w:jc w:val="both"/>
      </w:pPr>
    </w:p>
    <w:p w14:paraId="5A5ACD93" w14:textId="77777777" w:rsidR="00D070BF" w:rsidRDefault="00000000">
      <w:pPr>
        <w:spacing w:line="360" w:lineRule="auto"/>
        <w:ind w:firstLine="709"/>
        <w:jc w:val="both"/>
      </w:pPr>
      <w:r>
        <w:rPr>
          <w:color w:val="000000"/>
          <w:sz w:val="24"/>
        </w:rPr>
        <w:t>A análise dos estudos selecionados evidencia que os golpes digitais contra pessoas idosas representam um problema cada vez mais presente na sociedade, especialmente diante do crescimento do uso de celulares, aplicativos bancários, redes sociais e outros serviços digitais. Os estudos analisados apontam que a população idosa pode apresentar maior vulnerabilidade diante dessas práticas criminosas, principalmente em razão da falta de conhecimento sobre segurança digital, da dificuldade em reconhecer abordagens fraudulentas e, em alguns casos, da pouca familiaridade com as novas tecnologias.</w:t>
      </w:r>
    </w:p>
    <w:p w14:paraId="688D69F9" w14:textId="77777777" w:rsidR="00D070BF" w:rsidRDefault="00000000">
      <w:pPr>
        <w:spacing w:line="360" w:lineRule="auto"/>
        <w:ind w:firstLine="709"/>
        <w:jc w:val="both"/>
      </w:pPr>
      <w:r>
        <w:rPr>
          <w:color w:val="000000"/>
          <w:sz w:val="24"/>
        </w:rPr>
        <w:t xml:space="preserve">Entre os golpes mais frequentes estão aqueles envolvendo falsas instituições bancárias, links maliciosos, mensagens de familiares, ofertas falsas e solicitações de dados pessoais ou financeiros. Essas práticas podem causar não apenas prejuízos econômicos, mas também impactos emocionais, como medo, constrangimento e insegurança. Dessa forma, os resultados reforçam a importância da conscientização e da educação digital para a população idosa, </w:t>
      </w:r>
      <w:r>
        <w:rPr>
          <w:color w:val="000000"/>
          <w:sz w:val="24"/>
        </w:rPr>
        <w:lastRenderedPageBreak/>
        <w:t>contribuindo para a prevenção de fraudes e para o uso mais seguro das ferramentas tecnológicas.</w:t>
      </w:r>
    </w:p>
    <w:p w14:paraId="1427730A" w14:textId="77777777" w:rsidR="00D070BF" w:rsidRDefault="00D070BF">
      <w:pPr>
        <w:spacing w:line="360" w:lineRule="auto"/>
        <w:jc w:val="both"/>
      </w:pPr>
    </w:p>
    <w:p w14:paraId="48750A98" w14:textId="77777777" w:rsidR="00D070BF" w:rsidRDefault="00000000">
      <w:pPr>
        <w:spacing w:line="360" w:lineRule="auto"/>
      </w:pPr>
      <w:r>
        <w:rPr>
          <w:b/>
          <w:color w:val="000000"/>
          <w:sz w:val="24"/>
        </w:rPr>
        <w:t>4.1 Principais golpes digitais e seus impactos</w:t>
      </w:r>
    </w:p>
    <w:p w14:paraId="4D243964" w14:textId="77777777" w:rsidR="00D070BF" w:rsidRDefault="00000000">
      <w:pPr>
        <w:spacing w:line="360" w:lineRule="auto"/>
        <w:ind w:firstLine="709"/>
        <w:jc w:val="both"/>
      </w:pPr>
      <w:r>
        <w:rPr>
          <w:color w:val="000000"/>
          <w:sz w:val="24"/>
        </w:rPr>
        <w:t>Morgado (2024), Bortot et al. (2024) e Silva et al. (2023) abordam diferentes formas de golpes e crimes digitais que podem atingir a população idosa, destacando, entre eles, as fraudes financeiras, o phishing, a extorsão, a fraude eletrônica e outras práticas relacionadas à engenharia social. Essas ações criminosas geralmente envolvem estratégias de manipulação e engano, nas quais os criminosos procuram estabelecer uma relação de confiança com a vítima, criar situações de urgência ou utilizar falsas informações para induzi-la a fornecer dados pessoais, senhas, informações bancárias ou realizar transferências financeiras.</w:t>
      </w:r>
    </w:p>
    <w:p w14:paraId="01BA98CF" w14:textId="77777777" w:rsidR="00D070BF" w:rsidRDefault="00000000">
      <w:pPr>
        <w:spacing w:line="360" w:lineRule="auto"/>
        <w:ind w:firstLine="709"/>
        <w:jc w:val="both"/>
      </w:pPr>
      <w:r>
        <w:rPr>
          <w:color w:val="000000"/>
          <w:sz w:val="24"/>
        </w:rPr>
        <w:t>Os estudos também evidenciam que a vulnerabilidade da pessoa idosa pode estar relacionada à menor familiaridade com determinadas tecnologias e à dificuldade de identificar sinais de fraude em mensagens, ligações, links e abordagens aparentemente legítimas. Nesse contexto, os golpes não representam apenas perdas financeiras, mas podem gerar consequências emocionais e sociais, como medo, constrangimento, insegurança e perda de confiança no uso de recursos digitais. Dessa forma, os autores reforçam a necessidade de ampliar ações de orientação, educação e conscientização digital, contribuindo para que as pessoas idosas possam utilizar as tecnologias de maneira mais segura e reconhecer situações potencialmente fraudulentas.</w:t>
      </w:r>
    </w:p>
    <w:p w14:paraId="6E84EAC1" w14:textId="77777777" w:rsidR="00D070BF" w:rsidRDefault="00D070BF">
      <w:pPr>
        <w:spacing w:line="360" w:lineRule="auto"/>
        <w:jc w:val="both"/>
      </w:pPr>
    </w:p>
    <w:p w14:paraId="7C2ED8BC" w14:textId="77777777" w:rsidR="00D070BF" w:rsidRDefault="00000000">
      <w:pPr>
        <w:spacing w:line="360" w:lineRule="auto"/>
      </w:pPr>
      <w:r>
        <w:rPr>
          <w:b/>
          <w:color w:val="000000"/>
          <w:sz w:val="24"/>
        </w:rPr>
        <w:t>4.2 Prevenção e proteção jurídica contra os golpes</w:t>
      </w:r>
    </w:p>
    <w:p w14:paraId="2C3DA759" w14:textId="77777777" w:rsidR="00D070BF" w:rsidRDefault="00000000">
      <w:pPr>
        <w:spacing w:line="360" w:lineRule="auto"/>
        <w:ind w:firstLine="709"/>
        <w:jc w:val="both"/>
      </w:pPr>
      <w:r>
        <w:rPr>
          <w:color w:val="000000"/>
          <w:sz w:val="24"/>
        </w:rPr>
        <w:t>Os trabalhos de Silva e Oliveira (2024), Costa (2025) e Serra et al. (2025) ressaltam a necessidade de adoção de medidas mais eficazes para proteger a população idosa contra crimes cibernéticos e reduzir sua vulnerabilidade no ambiente digital. Nesse contexto, a educação digital aparece como uma das principais estratégias de prevenção, pois permite que os idosos desenvolvam maior conhecimento sobre o funcionamento das tecnologias, reconheçam situações suspeitas e compreendam os riscos relacionados ao compartilhamento de informações pessoais e financeiras. Além disso, ações de conscientização podem contribuir para que esse público saiba como agir diante de mensagens, ligações, links ou solicitações que apresentem características fraudulentas.</w:t>
      </w:r>
    </w:p>
    <w:p w14:paraId="5449CF55" w14:textId="77777777" w:rsidR="00D070BF" w:rsidRDefault="00000000">
      <w:pPr>
        <w:spacing w:line="360" w:lineRule="auto"/>
        <w:ind w:firstLine="709"/>
        <w:jc w:val="both"/>
      </w:pPr>
      <w:r>
        <w:rPr>
          <w:color w:val="000000"/>
          <w:sz w:val="24"/>
        </w:rPr>
        <w:lastRenderedPageBreak/>
        <w:t>Outra medida importante está relacionada ao fortalecimento dos mecanismos de segurança utilizados pelas instituições financeiras e pelas plataformas digitais. O desenvolvimento de sistemas capazes de identificar movimentações suspeitas, alertar os usuários sobre possíveis fraudes e dificultar transações realizadas em situações de risco pode contribuir para a redução dos prejuízos. Da mesma forma, a proteção dos dados pessoais torna-se fundamental, considerando que informações obtidas pelos criminosos podem ser utilizadas para aplicar golpes cada vez mais personalizados.</w:t>
      </w:r>
    </w:p>
    <w:p w14:paraId="2EA3CD17" w14:textId="77777777" w:rsidR="00D070BF" w:rsidRDefault="00000000">
      <w:pPr>
        <w:spacing w:line="360" w:lineRule="auto"/>
        <w:ind w:firstLine="709"/>
        <w:jc w:val="both"/>
      </w:pPr>
      <w:r>
        <w:rPr>
          <w:color w:val="000000"/>
          <w:sz w:val="24"/>
        </w:rPr>
        <w:t>Dessa forma, a prevenção dos golpes digitais não deve ser atribuída exclusivamente à atenção ou ao conhecimento da própria pessoa idosa. Trata-se de uma responsabilidade compartilhada entre indivíduos, familiares, instituições financeiras, empresas de tecnologia, sociedade e Poder Público. A atuação conjunta desses agentes, por meio de políticas públicas, campanhas educativas, mecanismos de segurança e instrumentos jurídicos de proteção, é fundamental para promover um ambiente digital mais seguro. Assim, além de combater os crimes após sua ocorrência, é necessário investir em medidas preventivas que fortaleçam a autonomia, a segurança e a inclusão digital da população idosa.</w:t>
      </w:r>
    </w:p>
    <w:p w14:paraId="5CFFC3B2" w14:textId="77777777" w:rsidR="00D070BF" w:rsidRDefault="00D070BF">
      <w:pPr>
        <w:spacing w:line="360" w:lineRule="auto"/>
        <w:jc w:val="both"/>
      </w:pPr>
    </w:p>
    <w:p w14:paraId="5B03636C" w14:textId="77777777" w:rsidR="00D070BF" w:rsidRDefault="00000000">
      <w:pPr>
        <w:spacing w:line="360" w:lineRule="auto"/>
      </w:pPr>
      <w:r>
        <w:rPr>
          <w:b/>
          <w:color w:val="000000"/>
          <w:sz w:val="24"/>
        </w:rPr>
        <w:t>5 CONSIDERAÇÕES FINAIS</w:t>
      </w:r>
    </w:p>
    <w:p w14:paraId="177AE186" w14:textId="77777777" w:rsidR="00D070BF" w:rsidRDefault="00000000">
      <w:pPr>
        <w:spacing w:line="360" w:lineRule="auto"/>
        <w:ind w:firstLine="709"/>
        <w:jc w:val="both"/>
      </w:pPr>
      <w:r>
        <w:rPr>
          <w:color w:val="000000"/>
          <w:sz w:val="24"/>
        </w:rPr>
        <w:t>Os estudos analisados evidenciaram que entre as principais práticas utilizadas pelos criminosos estão as fraudes financeiras, o phishing, a engenharia social, as falsas mensagens e outras abordagens que buscam obter informações pessoais, senhas, dados bancários ou induzir as vítimas à realização de transferências. Além dos prejuízos econômicos, essas práticas podem provocar consequências emocionais e sociais, como medo, constrangimento, insegurança e perda de confiança no uso das ferramentas tecnológicas. Dessa forma, torna-se necessário reconhecer que a proteção da pessoa idosa no ambiente digital não deve se limitar à prevenção de perdas financeiras, mas também deve considerar a preservação de sua dignidade, autonomia e segurança.</w:t>
      </w:r>
    </w:p>
    <w:p w14:paraId="602A9723" w14:textId="77777777" w:rsidR="00D070BF" w:rsidRDefault="00000000">
      <w:pPr>
        <w:spacing w:line="360" w:lineRule="auto"/>
        <w:ind w:firstLine="709"/>
        <w:jc w:val="both"/>
      </w:pPr>
      <w:r>
        <w:rPr>
          <w:color w:val="000000"/>
          <w:sz w:val="24"/>
        </w:rPr>
        <w:t xml:space="preserve">Além disso, a pesquisa evidenciou a importância da educação digital como instrumento de prevenção. O acesso à informação e o desenvolvimento de conhecimentos básicos sobre segurança virtual podem contribuir para que as pessoas idosas reconheçam situações suspeitas e adotem comportamentos mais seguros no uso da internet. Medidas como não compartilhar senhas e dados pessoais, verificar a origem de mensagens e links, desconfiar de solicitações </w:t>
      </w:r>
      <w:r>
        <w:rPr>
          <w:color w:val="000000"/>
          <w:sz w:val="24"/>
        </w:rPr>
        <w:lastRenderedPageBreak/>
        <w:t>urgentes e buscar auxílio diante de situações suspeitas podem reduzir os riscos de exposição a golpes.</w:t>
      </w:r>
    </w:p>
    <w:p w14:paraId="3E60E70A" w14:textId="77777777" w:rsidR="00D070BF" w:rsidRDefault="00000000">
      <w:pPr>
        <w:spacing w:line="360" w:lineRule="auto"/>
        <w:ind w:firstLine="709"/>
        <w:jc w:val="both"/>
      </w:pPr>
      <w:r>
        <w:rPr>
          <w:color w:val="000000"/>
          <w:sz w:val="24"/>
        </w:rPr>
        <w:t>Portanto, conclui-se que o enfrentamento dos golpes digitais contra pessoas idosas exige uma atuação conjunta entre o próprio indivíduo, seus familiares, instituições financeiras, empresas de tecnologia, Poder Público e sociedade. A responsabilidade pela prevenção não deve ser atribuída exclusivamente à vítima, sendo necessário criar condições para que a população idosa tenha acesso à informação, orientação e mecanismos adequados de proteção. Assim, investir em educação digital, segurança tecnológica, proteção de dados e políticas públicas representa um caminho importante para reduzir a vulnerabilidade desse grupo e promover uma inclusão digital mais segura.</w:t>
      </w:r>
    </w:p>
    <w:p w14:paraId="6E6804E9" w14:textId="77777777" w:rsidR="00D070BF" w:rsidRDefault="00D070BF">
      <w:pPr>
        <w:spacing w:line="360" w:lineRule="auto"/>
        <w:jc w:val="both"/>
      </w:pPr>
    </w:p>
    <w:p w14:paraId="27915495" w14:textId="77777777" w:rsidR="00D070BF" w:rsidRDefault="00000000">
      <w:pPr>
        <w:spacing w:line="360" w:lineRule="auto"/>
        <w:jc w:val="center"/>
      </w:pPr>
      <w:r>
        <w:rPr>
          <w:b/>
          <w:color w:val="000000"/>
          <w:sz w:val="24"/>
        </w:rPr>
        <w:t>REFERÊNCIAS</w:t>
      </w:r>
    </w:p>
    <w:p w14:paraId="0D66AE60" w14:textId="77777777" w:rsidR="00D070BF" w:rsidRDefault="00D070BF">
      <w:pPr>
        <w:spacing w:line="360" w:lineRule="auto"/>
        <w:jc w:val="both"/>
      </w:pPr>
    </w:p>
    <w:p w14:paraId="373C4EF9" w14:textId="77777777" w:rsidR="00D070BF" w:rsidRDefault="00000000">
      <w:pPr>
        <w:spacing w:after="240"/>
      </w:pPr>
      <w:r>
        <w:rPr>
          <w:color w:val="000000"/>
          <w:sz w:val="24"/>
        </w:rPr>
        <w:t xml:space="preserve">BORTOT, Erine Natalie; FRANZ, Lisa Marie; GUERRA, Marcus Vinícius; BERNARTT, Maria de Lourdes; GODOY, Wilson Itamar. Teias de engano: uma análise dos riscos e estratégias de prevenção aos golpes cibernéticos praticados contra pessoas idosas na era digital. </w:t>
      </w:r>
      <w:r>
        <w:rPr>
          <w:b/>
          <w:color w:val="000000"/>
          <w:sz w:val="24"/>
        </w:rPr>
        <w:t>Contribuciones a las Ciencias Sociales</w:t>
      </w:r>
      <w:r>
        <w:rPr>
          <w:color w:val="000000"/>
          <w:sz w:val="24"/>
        </w:rPr>
        <w:t>, v. 17, n. 13, 2024.</w:t>
      </w:r>
    </w:p>
    <w:p w14:paraId="1FAE85D8" w14:textId="77777777" w:rsidR="00D070BF" w:rsidRDefault="00000000">
      <w:pPr>
        <w:spacing w:after="240"/>
      </w:pPr>
      <w:r>
        <w:rPr>
          <w:color w:val="000000"/>
          <w:sz w:val="24"/>
        </w:rPr>
        <w:t xml:space="preserve">BRASIL. </w:t>
      </w:r>
      <w:r>
        <w:rPr>
          <w:b/>
          <w:color w:val="000000"/>
          <w:sz w:val="24"/>
        </w:rPr>
        <w:t>Constituição da República Federativa do Brasil de 1988</w:t>
      </w:r>
      <w:r>
        <w:rPr>
          <w:color w:val="000000"/>
          <w:sz w:val="24"/>
        </w:rPr>
        <w:t>. Brasília, DF: Presidência da República, 1988.</w:t>
      </w:r>
    </w:p>
    <w:p w14:paraId="05516BB7" w14:textId="77777777" w:rsidR="00D070BF" w:rsidRDefault="00000000">
      <w:pPr>
        <w:spacing w:after="240"/>
      </w:pPr>
      <w:r>
        <w:rPr>
          <w:color w:val="000000"/>
          <w:sz w:val="24"/>
        </w:rPr>
        <w:t xml:space="preserve">BRASIL. </w:t>
      </w:r>
      <w:r>
        <w:rPr>
          <w:b/>
          <w:color w:val="000000"/>
          <w:sz w:val="24"/>
        </w:rPr>
        <w:t>Decreto-Lei nº 2.848, de 7 de dezembro de 1940</w:t>
      </w:r>
      <w:r>
        <w:rPr>
          <w:color w:val="000000"/>
          <w:sz w:val="24"/>
        </w:rPr>
        <w:t>. Código Penal. Brasília, DF: Presidência da República, 1940.</w:t>
      </w:r>
    </w:p>
    <w:p w14:paraId="1F9E0075" w14:textId="77777777" w:rsidR="00D070BF" w:rsidRDefault="00000000">
      <w:pPr>
        <w:spacing w:after="240"/>
      </w:pPr>
      <w:r>
        <w:rPr>
          <w:color w:val="000000"/>
          <w:sz w:val="24"/>
        </w:rPr>
        <w:t xml:space="preserve">BRASIL. </w:t>
      </w:r>
      <w:r>
        <w:rPr>
          <w:b/>
          <w:color w:val="000000"/>
          <w:sz w:val="24"/>
        </w:rPr>
        <w:t>Lei nº 10.741, de 1º de outubro de 2003</w:t>
      </w:r>
      <w:r>
        <w:rPr>
          <w:color w:val="000000"/>
          <w:sz w:val="24"/>
        </w:rPr>
        <w:t>. Dispõe sobre o Estatuto da Pessoa Idosa e dá outras providências. Brasília, DF: Presidência da República, 2003.</w:t>
      </w:r>
    </w:p>
    <w:p w14:paraId="0B844C18" w14:textId="77777777" w:rsidR="00D070BF" w:rsidRDefault="00000000">
      <w:pPr>
        <w:spacing w:after="240"/>
      </w:pPr>
      <w:r>
        <w:rPr>
          <w:color w:val="000000"/>
          <w:sz w:val="24"/>
        </w:rPr>
        <w:t xml:space="preserve">BRASIL. </w:t>
      </w:r>
      <w:r>
        <w:rPr>
          <w:b/>
          <w:color w:val="000000"/>
          <w:sz w:val="24"/>
        </w:rPr>
        <w:t>Lei nº 13.709, de 14 de agosto de 2018</w:t>
      </w:r>
      <w:r>
        <w:rPr>
          <w:color w:val="000000"/>
          <w:sz w:val="24"/>
        </w:rPr>
        <w:t>. Lei Geral de Proteção de Dados Pessoais (LGPD). Brasília, DF: Presidência da República, 2018.</w:t>
      </w:r>
    </w:p>
    <w:p w14:paraId="6D67E20C" w14:textId="77777777" w:rsidR="00D070BF" w:rsidRDefault="00000000">
      <w:pPr>
        <w:spacing w:after="240"/>
      </w:pPr>
      <w:r>
        <w:rPr>
          <w:color w:val="000000"/>
          <w:sz w:val="24"/>
        </w:rPr>
        <w:t xml:space="preserve">BRASIL. </w:t>
      </w:r>
      <w:r>
        <w:rPr>
          <w:b/>
          <w:color w:val="000000"/>
          <w:sz w:val="24"/>
        </w:rPr>
        <w:t>Lei nº 14.155, de 27 de maio de 2021</w:t>
      </w:r>
      <w:r>
        <w:rPr>
          <w:color w:val="000000"/>
          <w:sz w:val="24"/>
        </w:rPr>
        <w:t>. Altera o Código Penal para tornar mais graves os crimes de violação de dispositivo informático, furto e estelionato cometidos de forma eletrônica ou pela internet. Brasília, DF: Presidência da República, 2021.</w:t>
      </w:r>
    </w:p>
    <w:p w14:paraId="4557E271" w14:textId="77777777" w:rsidR="00D070BF" w:rsidRDefault="00000000">
      <w:pPr>
        <w:spacing w:after="240"/>
      </w:pPr>
      <w:r>
        <w:rPr>
          <w:color w:val="000000"/>
          <w:sz w:val="24"/>
        </w:rPr>
        <w:t xml:space="preserve">COSTA, Bruna Martins. A pessoa idosa enquanto hipervulnerável no contexto das fraudes bancárias e da proteção de dados pessoais. </w:t>
      </w:r>
      <w:r>
        <w:rPr>
          <w:b/>
          <w:color w:val="000000"/>
          <w:sz w:val="24"/>
        </w:rPr>
        <w:t>Revista Avant</w:t>
      </w:r>
      <w:r>
        <w:rPr>
          <w:color w:val="000000"/>
          <w:sz w:val="24"/>
        </w:rPr>
        <w:t>, Florianópolis, v. 9, n. 1, p. 177-193, 2025.</w:t>
      </w:r>
    </w:p>
    <w:p w14:paraId="5796DB19" w14:textId="77777777" w:rsidR="00D070BF" w:rsidRDefault="00000000">
      <w:pPr>
        <w:spacing w:after="240"/>
      </w:pPr>
      <w:r>
        <w:rPr>
          <w:color w:val="000000"/>
          <w:sz w:val="24"/>
        </w:rPr>
        <w:t xml:space="preserve">MORGADO, Flávio. Golpes financeiros contra pessoas idosas por meio de engenharia social no ambiente digital. </w:t>
      </w:r>
      <w:r>
        <w:rPr>
          <w:b/>
          <w:color w:val="000000"/>
          <w:sz w:val="24"/>
        </w:rPr>
        <w:t>Revista Longeviver</w:t>
      </w:r>
      <w:r>
        <w:rPr>
          <w:color w:val="000000"/>
          <w:sz w:val="24"/>
        </w:rPr>
        <w:t>, São Paulo, ano VI, n. 24, 2024.</w:t>
      </w:r>
    </w:p>
    <w:p w14:paraId="516023F3" w14:textId="77777777" w:rsidR="00D070BF" w:rsidRDefault="00000000">
      <w:pPr>
        <w:spacing w:after="240"/>
      </w:pPr>
      <w:r>
        <w:rPr>
          <w:color w:val="000000"/>
          <w:sz w:val="24"/>
        </w:rPr>
        <w:lastRenderedPageBreak/>
        <w:t xml:space="preserve">SERRA, Francineia Cartaxo da Silva; MOTA, Laucemir Soares da; NOGUEIRA, Thiago Carlos do Carmo; NASCIMENTO, Marcio de Jesus Lima do. A proteção dos idosos contra crimes cibernéticos no Brasil: desafios e soluções jurídicas. </w:t>
      </w:r>
      <w:r>
        <w:rPr>
          <w:b/>
          <w:color w:val="000000"/>
          <w:sz w:val="24"/>
        </w:rPr>
        <w:t>Revista Ibero-Americana de Humanidades, Ciências e Educação</w:t>
      </w:r>
      <w:r>
        <w:rPr>
          <w:color w:val="000000"/>
          <w:sz w:val="24"/>
        </w:rPr>
        <w:t>, v. 11, n. 3, p. 2071-2082, 2025.</w:t>
      </w:r>
    </w:p>
    <w:p w14:paraId="70500142" w14:textId="77777777" w:rsidR="00D070BF" w:rsidRDefault="00000000">
      <w:pPr>
        <w:spacing w:after="240"/>
      </w:pPr>
      <w:r>
        <w:rPr>
          <w:color w:val="000000"/>
          <w:sz w:val="24"/>
        </w:rPr>
        <w:t xml:space="preserve">SILVA, Alends Venus Oliveira da; LIMA, Ângela Timótia Pereira; SILVA, Leonardo Chagas da; CUNHA, Luccas Daniel Lira e; CARMO, Rodrigo Silva do. Proteção e segurança para o idoso no meio da tecnologia da informação. </w:t>
      </w:r>
      <w:r>
        <w:rPr>
          <w:b/>
          <w:color w:val="000000"/>
          <w:sz w:val="24"/>
        </w:rPr>
        <w:t>Revista Contemporânea</w:t>
      </w:r>
      <w:r>
        <w:rPr>
          <w:color w:val="000000"/>
          <w:sz w:val="24"/>
        </w:rPr>
        <w:t>, v. 3, n. 12, p. 29922-29938, 2023.</w:t>
      </w:r>
    </w:p>
    <w:p w14:paraId="484D34F7" w14:textId="77777777" w:rsidR="00D070BF" w:rsidRDefault="00000000">
      <w:pPr>
        <w:spacing w:after="240"/>
      </w:pPr>
      <w:r>
        <w:rPr>
          <w:color w:val="000000"/>
          <w:sz w:val="24"/>
        </w:rPr>
        <w:t xml:space="preserve">SILVA, Uênis Pereira da; OLIVEIRA, Marcela Cordeiro de. Os crimes cibernéticos e a vulnerabilidade dos idosos. </w:t>
      </w:r>
      <w:r>
        <w:rPr>
          <w:b/>
          <w:color w:val="000000"/>
          <w:sz w:val="24"/>
        </w:rPr>
        <w:t>LexLab – Revista Eletrônica de Direito</w:t>
      </w:r>
      <w:r>
        <w:rPr>
          <w:color w:val="000000"/>
          <w:sz w:val="24"/>
        </w:rPr>
        <w:t>, v. 1, n. 1, p. 34-55, 2024.</w:t>
      </w:r>
    </w:p>
    <w:sectPr w:rsidR="00D070BF">
      <w:headerReference w:type="default" r:id="rId8"/>
      <w:footerReference w:type="default" r:id="rId9"/>
      <w:pgSz w:w="11906" w:h="16838"/>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09BF0" w14:textId="77777777" w:rsidR="00BE1A55" w:rsidRDefault="00BE1A55">
      <w:r>
        <w:separator/>
      </w:r>
    </w:p>
  </w:endnote>
  <w:endnote w:type="continuationSeparator" w:id="0">
    <w:p w14:paraId="1F5DE0F0" w14:textId="77777777" w:rsidR="00BE1A55" w:rsidRDefault="00BE1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5D2E228-F551-47A6-A2F8-C2D2FB6A251F}"/>
  </w:font>
  <w:font w:name="Calibri">
    <w:panose1 w:val="020F0502020204030204"/>
    <w:charset w:val="00"/>
    <w:family w:val="swiss"/>
    <w:pitch w:val="variable"/>
    <w:sig w:usb0="E4002EFF" w:usb1="C200ACFF" w:usb2="00000009" w:usb3="00000000" w:csb0="000001FF" w:csb1="00000000"/>
    <w:embedRegular r:id="rId2" w:fontKey="{D8662EDE-6AC9-4AF5-8516-DEA5C767C883}"/>
  </w:font>
  <w:font w:name="Cambria">
    <w:panose1 w:val="02040503050406030204"/>
    <w:charset w:val="00"/>
    <w:family w:val="roman"/>
    <w:pitch w:val="variable"/>
    <w:sig w:usb0="E00006FF" w:usb1="420024FF" w:usb2="02000000" w:usb3="00000000" w:csb0="0000019F" w:csb1="00000000"/>
    <w:embedRegular r:id="rId3" w:fontKey="{A911ABBD-134A-4E0F-BCEB-0DBC31A8AC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E56C" w14:textId="77777777" w:rsidR="00D070BF"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43E2AA9F" wp14:editId="69B86ED9">
          <wp:simplePos x="0" y="0"/>
          <wp:positionH relativeFrom="column">
            <wp:posOffset>-161923</wp:posOffset>
          </wp:positionH>
          <wp:positionV relativeFrom="paragraph">
            <wp:posOffset>0</wp:posOffset>
          </wp:positionV>
          <wp:extent cx="5643037" cy="103759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2B0D28EB" w14:textId="77777777" w:rsidR="00D070BF" w:rsidRDefault="00D070BF">
    <w:pPr>
      <w:pBdr>
        <w:top w:val="nil"/>
        <w:left w:val="nil"/>
        <w:bottom w:val="nil"/>
        <w:right w:val="nil"/>
        <w:between w:val="nil"/>
      </w:pBdr>
      <w:tabs>
        <w:tab w:val="center" w:pos="4252"/>
        <w:tab w:val="right" w:pos="8504"/>
      </w:tabs>
      <w:ind w:hanging="1418"/>
      <w:rPr>
        <w:color w:val="000000"/>
      </w:rPr>
    </w:pPr>
  </w:p>
  <w:p w14:paraId="32E77A31" w14:textId="77777777" w:rsidR="00D070BF" w:rsidRDefault="00D070BF">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5C56" w14:textId="77777777" w:rsidR="00BE1A55" w:rsidRDefault="00BE1A55">
      <w:r>
        <w:separator/>
      </w:r>
    </w:p>
  </w:footnote>
  <w:footnote w:type="continuationSeparator" w:id="0">
    <w:p w14:paraId="7FA3FF88" w14:textId="77777777" w:rsidR="00BE1A55" w:rsidRDefault="00BE1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1150F" w14:textId="77777777" w:rsidR="00D070BF"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0" locked="0" layoutInCell="1" hidden="0" allowOverlap="1" wp14:anchorId="3E7DB5C9" wp14:editId="77B3B2E3">
          <wp:simplePos x="0" y="0"/>
          <wp:positionH relativeFrom="column">
            <wp:posOffset>-1076322</wp:posOffset>
          </wp:positionH>
          <wp:positionV relativeFrom="paragraph">
            <wp:posOffset>-449577</wp:posOffset>
          </wp:positionV>
          <wp:extent cx="7573328" cy="1400175"/>
          <wp:effectExtent l="0" t="0" r="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F4581"/>
    <w:multiLevelType w:val="multilevel"/>
    <w:tmpl w:val="35C64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96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BF"/>
    <w:rsid w:val="00BE1A55"/>
    <w:rsid w:val="00CA612D"/>
    <w:rsid w:val="00D070BF"/>
    <w:rsid w:val="00E821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F7E3"/>
  <w15:docId w15:val="{B2C0811A-760C-4E6F-9ADC-6AC538E01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SACwulzrAZSE/fFN/P1lCaApQQ==">CgMxLjA4AHIhMVVMV0xxNngxOTk4Z094bHZ2Z3pxbW5xS05KMWhIWmNs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2950</Words>
  <Characters>19122</Characters>
  <Application>Microsoft Office Word</Application>
  <DocSecurity>0</DocSecurity>
  <Lines>597</Lines>
  <Paragraphs>380</Paragraphs>
  <ScaleCrop>false</ScaleCrop>
  <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Guilherme Lopes</cp:lastModifiedBy>
  <cp:revision>2</cp:revision>
  <dcterms:created xsi:type="dcterms:W3CDTF">2026-09-09T16:50:00Z</dcterms:created>
  <dcterms:modified xsi:type="dcterms:W3CDTF">2026-09-09T16:51:00Z</dcterms:modified>
</cp:coreProperties>
</file>