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E910F" w14:textId="77777777" w:rsidR="00E11110" w:rsidRPr="00CF5469" w:rsidRDefault="00E04C8E">
      <w:pPr>
        <w:jc w:val="center"/>
        <w:rPr>
          <w:rFonts w:ascii="Times New Roman" w:hAnsi="Times New Roman"/>
          <w:b/>
          <w:sz w:val="24"/>
          <w:szCs w:val="24"/>
        </w:rPr>
      </w:pPr>
      <w:r w:rsidRPr="00CF5469">
        <w:rPr>
          <w:rFonts w:ascii="Times New Roman" w:hAnsi="Times New Roman"/>
          <w:b/>
          <w:sz w:val="24"/>
          <w:szCs w:val="24"/>
        </w:rPr>
        <w:t>EDUCAÇÃO SUPERIOR A DISTÂNCIA NO BRASIL: REFLEXÕES SOBRE POLÍTICAS PÚBLICAS DE IMPLEMENTAÇÃO E REGULAÇÃO</w:t>
      </w:r>
    </w:p>
    <w:p w14:paraId="48F67CCD" w14:textId="77777777" w:rsidR="00E04C8E" w:rsidRDefault="00E04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BE9117" w14:textId="2B25172A" w:rsidR="00E11110" w:rsidRPr="00CF5469" w:rsidRDefault="00E04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5469">
        <w:rPr>
          <w:rFonts w:ascii="Times New Roman" w:hAnsi="Times New Roman"/>
          <w:sz w:val="24"/>
          <w:szCs w:val="24"/>
        </w:rPr>
        <w:t>Ei</w:t>
      </w:r>
      <w:bookmarkStart w:id="0" w:name="_GoBack"/>
      <w:bookmarkEnd w:id="0"/>
      <w:r w:rsidRPr="00CF5469">
        <w:rPr>
          <w:rFonts w:ascii="Times New Roman" w:hAnsi="Times New Roman"/>
          <w:sz w:val="24"/>
          <w:szCs w:val="24"/>
        </w:rPr>
        <w:t>xo: Política Educacional e Gest</w:t>
      </w:r>
      <w:r w:rsidRPr="00CF5469">
        <w:rPr>
          <w:rFonts w:ascii="Times New Roman" w:hAnsi="Times New Roman"/>
          <w:sz w:val="24"/>
          <w:szCs w:val="24"/>
        </w:rPr>
        <w:t>ão</w:t>
      </w:r>
    </w:p>
    <w:p w14:paraId="6CBE9118" w14:textId="77777777" w:rsidR="00E11110" w:rsidRPr="00CF5469" w:rsidRDefault="00E1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BE9119" w14:textId="77777777" w:rsidR="00E11110" w:rsidRPr="00CF5469" w:rsidRDefault="00E04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F5469">
        <w:rPr>
          <w:rFonts w:ascii="Times New Roman" w:hAnsi="Times New Roman"/>
          <w:sz w:val="24"/>
          <w:szCs w:val="24"/>
        </w:rPr>
        <w:t>GPEaDTEC</w:t>
      </w:r>
      <w:proofErr w:type="spellEnd"/>
      <w:r w:rsidRPr="00CF5469">
        <w:rPr>
          <w:rFonts w:ascii="Times New Roman" w:hAnsi="Times New Roman"/>
          <w:sz w:val="24"/>
          <w:szCs w:val="24"/>
        </w:rPr>
        <w:t xml:space="preserve"> – Grupo de estudos e Pesquisas em Educação a distância e Tecnologias Educacionais </w:t>
      </w:r>
    </w:p>
    <w:p w14:paraId="6CBE911A" w14:textId="77777777" w:rsidR="00E11110" w:rsidRPr="00CF5469" w:rsidRDefault="00E11110">
      <w:pPr>
        <w:pStyle w:val="Default"/>
      </w:pPr>
    </w:p>
    <w:p w14:paraId="6CBE911B" w14:textId="77777777" w:rsidR="00E11110" w:rsidRPr="00CF5469" w:rsidRDefault="00E1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BE911C" w14:textId="77777777" w:rsidR="00E11110" w:rsidRPr="00CF5469" w:rsidRDefault="00E04C8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5469">
        <w:rPr>
          <w:rFonts w:ascii="Times New Roman" w:hAnsi="Times New Roman"/>
          <w:b/>
          <w:sz w:val="24"/>
          <w:szCs w:val="24"/>
        </w:rPr>
        <w:t>OBJETIVOS</w:t>
      </w:r>
    </w:p>
    <w:p w14:paraId="6CBE911D" w14:textId="77777777" w:rsidR="00E11110" w:rsidRPr="00CF5469" w:rsidRDefault="00E11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BE911E" w14:textId="77777777" w:rsidR="00E11110" w:rsidRPr="00CF5469" w:rsidRDefault="00E04C8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5469">
        <w:rPr>
          <w:rFonts w:ascii="Times New Roman" w:hAnsi="Times New Roman"/>
          <w:sz w:val="24"/>
          <w:szCs w:val="24"/>
          <w:lang w:val="pt-PT" w:eastAsia="pt-PT" w:bidi="pt-PT"/>
        </w:rPr>
        <w:t xml:space="preserve">O presente trabalho parte das discussões realizadas no Grupo de Estudos e Pesquisas em Educação a Distância e Tecnologias Educacionais </w:t>
      </w:r>
      <w:r w:rsidRPr="00CF5469">
        <w:rPr>
          <w:rFonts w:ascii="Times New Roman" w:hAnsi="Times New Roman"/>
          <w:sz w:val="24"/>
          <w:szCs w:val="24"/>
          <w:lang w:val="pt-PT" w:eastAsia="pt-PT" w:bidi="pt-PT"/>
        </w:rPr>
        <w:t>(GPEaDTEC), da Universidade Estadual de Maringá. Seu objetivo</w:t>
      </w:r>
      <w:r w:rsidRPr="00CF5469">
        <w:rPr>
          <w:rFonts w:ascii="Times New Roman" w:hAnsi="Times New Roman"/>
          <w:sz w:val="24"/>
          <w:szCs w:val="24"/>
        </w:rPr>
        <w:t xml:space="preserve">  </w:t>
      </w:r>
      <w:r w:rsidRPr="00CF5469">
        <w:rPr>
          <w:rFonts w:ascii="Times New Roman" w:eastAsia="Arial" w:hAnsi="Times New Roman"/>
          <w:color w:val="212121"/>
          <w:sz w:val="24"/>
          <w:szCs w:val="24"/>
          <w:lang w:val="pt-PT" w:eastAsia="pt-PT" w:bidi="pt-PT"/>
        </w:rPr>
        <w:t>é verificar a influência dos organismos e organizações internacionais nas políticas públicas educacionais, no que tange aos aspectos iniciais de implementação e regulação da educação superior n</w:t>
      </w:r>
      <w:r w:rsidRPr="00CF5469">
        <w:rPr>
          <w:rFonts w:ascii="Times New Roman" w:eastAsia="Arial" w:hAnsi="Times New Roman"/>
          <w:color w:val="212121"/>
          <w:sz w:val="24"/>
          <w:szCs w:val="24"/>
          <w:lang w:val="pt-PT" w:eastAsia="pt-PT" w:bidi="pt-PT"/>
        </w:rPr>
        <w:t>a modalidade a distância, efetivadas no Brasil.</w:t>
      </w:r>
    </w:p>
    <w:p w14:paraId="6CBE911F" w14:textId="77777777" w:rsidR="00E11110" w:rsidRPr="00CF5469" w:rsidRDefault="00E11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BE9120" w14:textId="77777777" w:rsidR="00E11110" w:rsidRPr="00CF5469" w:rsidRDefault="00E04C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5469">
        <w:rPr>
          <w:rFonts w:ascii="Times New Roman" w:hAnsi="Times New Roman"/>
          <w:b/>
          <w:sz w:val="24"/>
          <w:szCs w:val="24"/>
        </w:rPr>
        <w:t>ASPECTOS METODOLÓGICOS EMPREGADOS</w:t>
      </w:r>
    </w:p>
    <w:p w14:paraId="6CBE9121" w14:textId="77777777" w:rsidR="00E11110" w:rsidRPr="00CF5469" w:rsidRDefault="00E11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BE9122" w14:textId="77777777" w:rsidR="00E11110" w:rsidRPr="00CF5469" w:rsidRDefault="00E04C8E">
      <w:pPr>
        <w:pStyle w:val="Corpodetexto"/>
        <w:spacing w:line="360" w:lineRule="auto"/>
        <w:ind w:right="107" w:firstLine="707"/>
        <w:jc w:val="both"/>
        <w:rPr>
          <w:rFonts w:ascii="Times New Roman" w:hAnsi="Times New Roman" w:cs="Times New Roman"/>
        </w:rPr>
      </w:pPr>
      <w:r w:rsidRPr="00CF5469">
        <w:rPr>
          <w:rFonts w:ascii="Times New Roman" w:hAnsi="Times New Roman" w:cs="Times New Roman"/>
          <w:color w:val="212121"/>
          <w:lang w:val="pt-BR"/>
        </w:rPr>
        <w:t xml:space="preserve">O procedimento metodológico </w:t>
      </w:r>
      <w:r w:rsidRPr="00CF5469">
        <w:rPr>
          <w:rFonts w:ascii="Times New Roman" w:hAnsi="Times New Roman" w:cs="Times New Roman"/>
          <w:color w:val="212121"/>
        </w:rPr>
        <w:t xml:space="preserve">é uma pesquisa bibliográfica, a qual de acordo com </w:t>
      </w:r>
      <w:r w:rsidRPr="00CF5469">
        <w:rPr>
          <w:rFonts w:ascii="Times New Roman" w:hAnsi="Times New Roman" w:cs="Times New Roman"/>
          <w:color w:val="212121"/>
          <w:spacing w:val="3"/>
        </w:rPr>
        <w:t>Gil</w:t>
      </w:r>
      <w:r w:rsidRPr="00CF5469">
        <w:rPr>
          <w:rFonts w:ascii="Times New Roman" w:hAnsi="Times New Roman" w:cs="Times New Roman"/>
          <w:color w:val="212121"/>
          <w:spacing w:val="45"/>
        </w:rPr>
        <w:t xml:space="preserve"> </w:t>
      </w:r>
      <w:r w:rsidRPr="00CF5469">
        <w:rPr>
          <w:rFonts w:ascii="Times New Roman" w:hAnsi="Times New Roman" w:cs="Times New Roman"/>
          <w:color w:val="212121"/>
        </w:rPr>
        <w:t>(2002, p. 44), “</w:t>
      </w:r>
      <w:r w:rsidRPr="00CF5469">
        <w:rPr>
          <w:rFonts w:ascii="Times New Roman" w:hAnsi="Times New Roman" w:cs="Times New Roman"/>
          <w:color w:val="212121"/>
          <w:w w:val="95"/>
        </w:rPr>
        <w:t xml:space="preserve">é </w:t>
      </w:r>
      <w:r w:rsidRPr="00CF5469">
        <w:rPr>
          <w:rFonts w:ascii="Times New Roman" w:hAnsi="Times New Roman" w:cs="Times New Roman"/>
          <w:color w:val="212121"/>
        </w:rPr>
        <w:t xml:space="preserve">desenvolvida com base em material já elaborado, constituído </w:t>
      </w:r>
      <w:r w:rsidRPr="00CF5469">
        <w:rPr>
          <w:rFonts w:ascii="Times New Roman" w:hAnsi="Times New Roman" w:cs="Times New Roman"/>
          <w:color w:val="212121"/>
        </w:rPr>
        <w:t xml:space="preserve">principalmente de livros e artigos científicos”. Destaca-se que o texto desenvolvido não é uma análise exaustiva em relação às políticas públicas educacionais para a Educação Superior no Brasil, mas o início de uma percepção reflexiva acerca da modalidade </w:t>
      </w:r>
      <w:r w:rsidRPr="00CF5469">
        <w:rPr>
          <w:rFonts w:ascii="Times New Roman" w:hAnsi="Times New Roman" w:cs="Times New Roman"/>
          <w:color w:val="212121"/>
        </w:rPr>
        <w:t>de educação a distância em um contexto capitalista.</w:t>
      </w:r>
    </w:p>
    <w:p w14:paraId="6CBE9123" w14:textId="77777777" w:rsidR="00E11110" w:rsidRPr="00CF5469" w:rsidRDefault="00E11110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</w:p>
    <w:p w14:paraId="6CBE9124" w14:textId="77777777" w:rsidR="00E11110" w:rsidRPr="00CF5469" w:rsidRDefault="00E11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BE9125" w14:textId="77777777" w:rsidR="00E11110" w:rsidRPr="00CF5469" w:rsidRDefault="00E04C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5469">
        <w:rPr>
          <w:rFonts w:ascii="Times New Roman" w:hAnsi="Times New Roman"/>
          <w:b/>
          <w:sz w:val="24"/>
          <w:szCs w:val="24"/>
        </w:rPr>
        <w:t>RESULTADOS</w:t>
      </w:r>
    </w:p>
    <w:p w14:paraId="6CBE9126" w14:textId="77777777" w:rsidR="00E11110" w:rsidRPr="00CF5469" w:rsidRDefault="00E11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BE9127" w14:textId="77777777" w:rsidR="00E11110" w:rsidRPr="00CF5469" w:rsidRDefault="00E04C8E">
      <w:pPr>
        <w:pStyle w:val="Corpodetexto"/>
        <w:spacing w:line="360" w:lineRule="auto"/>
        <w:ind w:right="104" w:firstLine="707"/>
        <w:jc w:val="both"/>
        <w:rPr>
          <w:rFonts w:ascii="Times New Roman" w:hAnsi="Times New Roman" w:cs="Times New Roman"/>
        </w:rPr>
      </w:pPr>
      <w:r w:rsidRPr="00CF5469">
        <w:rPr>
          <w:rFonts w:ascii="Times New Roman" w:hAnsi="Times New Roman" w:cs="Times New Roman"/>
          <w:color w:val="212121"/>
        </w:rPr>
        <w:t>No final do século XX e começo do século XXI, percebemos o início do fenômeno denominado globalização, o qual de acordo com Alves (1999, p.149), “é uma nova etapa do capitalismo mundial, ins</w:t>
      </w:r>
      <w:r w:rsidRPr="00CF5469">
        <w:rPr>
          <w:rFonts w:ascii="Times New Roman" w:hAnsi="Times New Roman" w:cs="Times New Roman"/>
          <w:color w:val="212121"/>
        </w:rPr>
        <w:t>taurado pelo processo de mundialização do capital”. À vista disso, os Estados assumem posturas contraditórias mediante suas posições na economia mundial, sendo caracterizados como frágeis e fortes, reforçando a possível contradição apresentada em tal conju</w:t>
      </w:r>
      <w:r w:rsidRPr="00CF5469">
        <w:rPr>
          <w:rFonts w:ascii="Times New Roman" w:hAnsi="Times New Roman" w:cs="Times New Roman"/>
          <w:color w:val="212121"/>
        </w:rPr>
        <w:t>ntura.</w:t>
      </w:r>
    </w:p>
    <w:p w14:paraId="6CBE9128" w14:textId="77777777" w:rsidR="00E11110" w:rsidRPr="00CF5469" w:rsidRDefault="00E04C8E">
      <w:pPr>
        <w:pStyle w:val="Corpodetexto"/>
        <w:spacing w:line="360" w:lineRule="auto"/>
        <w:ind w:right="108" w:firstLine="709"/>
        <w:jc w:val="both"/>
        <w:rPr>
          <w:rFonts w:ascii="Times New Roman" w:hAnsi="Times New Roman" w:cs="Times New Roman"/>
        </w:rPr>
      </w:pPr>
      <w:r w:rsidRPr="00CF5469">
        <w:rPr>
          <w:rFonts w:ascii="Times New Roman" w:hAnsi="Times New Roman" w:cs="Times New Roman"/>
          <w:color w:val="212121"/>
        </w:rPr>
        <w:t xml:space="preserve"> </w:t>
      </w:r>
      <w:r w:rsidRPr="00CF5469">
        <w:rPr>
          <w:rFonts w:ascii="Times New Roman" w:hAnsi="Times New Roman" w:cs="Times New Roman"/>
        </w:rPr>
        <w:t xml:space="preserve">As políticas </w:t>
      </w:r>
      <w:r w:rsidRPr="00CF5469">
        <w:rPr>
          <w:rFonts w:ascii="Times New Roman" w:hAnsi="Times New Roman" w:cs="Times New Roman"/>
          <w:color w:val="212121"/>
        </w:rPr>
        <w:t xml:space="preserve">públicas são ações que o Estado tem de </w:t>
      </w:r>
      <w:r w:rsidRPr="00CF5469">
        <w:rPr>
          <w:rFonts w:ascii="Times New Roman" w:hAnsi="Times New Roman" w:cs="Times New Roman"/>
          <w:color w:val="212121"/>
          <w:spacing w:val="-3"/>
        </w:rPr>
        <w:t xml:space="preserve">realizar </w:t>
      </w:r>
      <w:r w:rsidRPr="00CF5469">
        <w:rPr>
          <w:rFonts w:ascii="Times New Roman" w:hAnsi="Times New Roman" w:cs="Times New Roman"/>
          <w:color w:val="212121"/>
        </w:rPr>
        <w:t xml:space="preserve">no sentido de concebê-las, propor manutenção e implementá-las com uma árdua carga de </w:t>
      </w:r>
      <w:r w:rsidRPr="00CF5469">
        <w:rPr>
          <w:rFonts w:ascii="Times New Roman" w:hAnsi="Times New Roman" w:cs="Times New Roman"/>
          <w:color w:val="212121"/>
        </w:rPr>
        <w:lastRenderedPageBreak/>
        <w:t>responsabilidade. Apesar disso, cabe ressaltar que as atividades que envolvem as políticas públicas nã</w:t>
      </w:r>
      <w:r w:rsidRPr="00CF5469">
        <w:rPr>
          <w:rFonts w:ascii="Times New Roman" w:hAnsi="Times New Roman" w:cs="Times New Roman"/>
          <w:color w:val="212121"/>
        </w:rPr>
        <w:t>o são limitadas a relações estatais, uma vez que as mesmas são o resultado de um processo o qual envolve atores para além do núcleo estatal. Diferentes organismos e membros da sociedade civil também permeiam tais processos de manejo das políticas públicas,</w:t>
      </w:r>
      <w:r w:rsidRPr="00CF5469">
        <w:rPr>
          <w:rFonts w:ascii="Times New Roman" w:hAnsi="Times New Roman" w:cs="Times New Roman"/>
          <w:color w:val="212121"/>
        </w:rPr>
        <w:t xml:space="preserve"> que interferem diferentemente nas relações sociais. Além disso, a importância de discussões que abarquem “o processo de definição das</w:t>
      </w:r>
      <w:r w:rsidRPr="00CF5469">
        <w:rPr>
          <w:rFonts w:ascii="Times New Roman" w:hAnsi="Times New Roman" w:cs="Times New Roman"/>
          <w:color w:val="212121"/>
          <w:spacing w:val="7"/>
        </w:rPr>
        <w:t xml:space="preserve"> </w:t>
      </w:r>
      <w:r w:rsidRPr="00CF5469">
        <w:rPr>
          <w:rFonts w:ascii="Times New Roman" w:hAnsi="Times New Roman" w:cs="Times New Roman"/>
          <w:color w:val="212121"/>
        </w:rPr>
        <w:t>po</w:t>
      </w:r>
      <w:r w:rsidRPr="00CF5469">
        <w:rPr>
          <w:rFonts w:ascii="Times New Roman" w:hAnsi="Times New Roman" w:cs="Times New Roman"/>
          <w:color w:val="212121"/>
          <w:spacing w:val="-1"/>
        </w:rPr>
        <w:t>l</w:t>
      </w:r>
      <w:r w:rsidRPr="00CF5469">
        <w:rPr>
          <w:rFonts w:ascii="Times New Roman" w:hAnsi="Times New Roman" w:cs="Times New Roman"/>
          <w:color w:val="212121"/>
          <w:spacing w:val="-3"/>
        </w:rPr>
        <w:t>í</w:t>
      </w:r>
      <w:r w:rsidRPr="00CF5469">
        <w:rPr>
          <w:rFonts w:ascii="Times New Roman" w:hAnsi="Times New Roman" w:cs="Times New Roman"/>
          <w:color w:val="212121"/>
        </w:rPr>
        <w:t>ticas</w:t>
      </w:r>
      <w:r w:rsidRPr="00CF5469">
        <w:rPr>
          <w:rFonts w:ascii="Times New Roman" w:hAnsi="Times New Roman" w:cs="Times New Roman"/>
          <w:color w:val="212121"/>
          <w:spacing w:val="7"/>
        </w:rPr>
        <w:t xml:space="preserve"> </w:t>
      </w:r>
      <w:r w:rsidRPr="00CF5469">
        <w:rPr>
          <w:rFonts w:ascii="Times New Roman" w:hAnsi="Times New Roman" w:cs="Times New Roman"/>
          <w:color w:val="212121"/>
        </w:rPr>
        <w:t xml:space="preserve">sendo </w:t>
      </w:r>
      <w:r w:rsidRPr="00CF5469">
        <w:rPr>
          <w:rFonts w:ascii="Times New Roman" w:hAnsi="Times New Roman" w:cs="Times New Roman"/>
          <w:color w:val="212121"/>
          <w:spacing w:val="-3"/>
        </w:rPr>
        <w:t>c</w:t>
      </w:r>
      <w:r w:rsidRPr="00CF5469">
        <w:rPr>
          <w:rFonts w:ascii="Times New Roman" w:hAnsi="Times New Roman" w:cs="Times New Roman"/>
          <w:color w:val="212121"/>
        </w:rPr>
        <w:t>o</w:t>
      </w:r>
      <w:r w:rsidRPr="00CF5469">
        <w:rPr>
          <w:rFonts w:ascii="Times New Roman" w:hAnsi="Times New Roman" w:cs="Times New Roman"/>
          <w:color w:val="212121"/>
          <w:spacing w:val="1"/>
        </w:rPr>
        <w:t>m</w:t>
      </w:r>
      <w:r w:rsidRPr="00CF5469">
        <w:rPr>
          <w:rFonts w:ascii="Times New Roman" w:hAnsi="Times New Roman" w:cs="Times New Roman"/>
          <w:color w:val="212121"/>
        </w:rPr>
        <w:t>p</w:t>
      </w:r>
      <w:r w:rsidRPr="00CF5469">
        <w:rPr>
          <w:rFonts w:ascii="Times New Roman" w:hAnsi="Times New Roman" w:cs="Times New Roman"/>
          <w:color w:val="212121"/>
          <w:spacing w:val="-4"/>
        </w:rPr>
        <w:t>r</w:t>
      </w:r>
      <w:r w:rsidRPr="00CF5469">
        <w:rPr>
          <w:rFonts w:ascii="Times New Roman" w:hAnsi="Times New Roman" w:cs="Times New Roman"/>
          <w:color w:val="212121"/>
        </w:rPr>
        <w:t>ee</w:t>
      </w:r>
      <w:r w:rsidRPr="00CF5469">
        <w:rPr>
          <w:rFonts w:ascii="Times New Roman" w:hAnsi="Times New Roman" w:cs="Times New Roman"/>
          <w:color w:val="212121"/>
          <w:spacing w:val="-2"/>
        </w:rPr>
        <w:t>n</w:t>
      </w:r>
      <w:r w:rsidRPr="00CF5469">
        <w:rPr>
          <w:rFonts w:ascii="Times New Roman" w:hAnsi="Times New Roman" w:cs="Times New Roman"/>
          <w:color w:val="212121"/>
        </w:rPr>
        <w:t>d</w:t>
      </w:r>
      <w:r w:rsidRPr="00CF5469">
        <w:rPr>
          <w:rFonts w:ascii="Times New Roman" w:hAnsi="Times New Roman" w:cs="Times New Roman"/>
          <w:color w:val="212121"/>
          <w:spacing w:val="-1"/>
        </w:rPr>
        <w:t>id</w:t>
      </w:r>
      <w:r w:rsidRPr="00CF5469">
        <w:rPr>
          <w:rFonts w:ascii="Times New Roman" w:hAnsi="Times New Roman" w:cs="Times New Roman"/>
          <w:color w:val="212121"/>
        </w:rPr>
        <w:t>o</w:t>
      </w:r>
      <w:r w:rsidRPr="00CF5469">
        <w:rPr>
          <w:rFonts w:ascii="Times New Roman" w:hAnsi="Times New Roman" w:cs="Times New Roman"/>
          <w:color w:val="212121"/>
          <w:spacing w:val="8"/>
        </w:rPr>
        <w:t xml:space="preserve"> </w:t>
      </w:r>
      <w:r w:rsidRPr="00CF5469">
        <w:rPr>
          <w:rFonts w:ascii="Times New Roman" w:hAnsi="Times New Roman" w:cs="Times New Roman"/>
          <w:color w:val="212121"/>
        </w:rPr>
        <w:t>c</w:t>
      </w:r>
      <w:r w:rsidRPr="00CF5469">
        <w:rPr>
          <w:rFonts w:ascii="Times New Roman" w:hAnsi="Times New Roman" w:cs="Times New Roman"/>
          <w:color w:val="212121"/>
          <w:spacing w:val="-2"/>
        </w:rPr>
        <w:t>o</w:t>
      </w:r>
      <w:r w:rsidRPr="00CF5469">
        <w:rPr>
          <w:rFonts w:ascii="Times New Roman" w:hAnsi="Times New Roman" w:cs="Times New Roman"/>
          <w:color w:val="212121"/>
          <w:spacing w:val="1"/>
        </w:rPr>
        <w:t>m</w:t>
      </w:r>
      <w:r w:rsidRPr="00CF5469">
        <w:rPr>
          <w:rFonts w:ascii="Times New Roman" w:hAnsi="Times New Roman" w:cs="Times New Roman"/>
          <w:color w:val="212121"/>
        </w:rPr>
        <w:t>o</w:t>
      </w:r>
      <w:r w:rsidRPr="00CF5469">
        <w:rPr>
          <w:rFonts w:ascii="Times New Roman" w:hAnsi="Times New Roman" w:cs="Times New Roman"/>
          <w:color w:val="212121"/>
          <w:spacing w:val="8"/>
        </w:rPr>
        <w:t xml:space="preserve"> </w:t>
      </w:r>
      <w:r w:rsidRPr="00CF5469">
        <w:rPr>
          <w:rFonts w:ascii="Times New Roman" w:hAnsi="Times New Roman" w:cs="Times New Roman"/>
          <w:color w:val="212121"/>
          <w:spacing w:val="-2"/>
        </w:rPr>
        <w:t>u</w:t>
      </w:r>
      <w:r w:rsidRPr="00CF5469">
        <w:rPr>
          <w:rFonts w:ascii="Times New Roman" w:hAnsi="Times New Roman" w:cs="Times New Roman"/>
          <w:color w:val="212121"/>
        </w:rPr>
        <w:t>m</w:t>
      </w:r>
      <w:r w:rsidRPr="00CF5469">
        <w:rPr>
          <w:rFonts w:ascii="Times New Roman" w:hAnsi="Times New Roman" w:cs="Times New Roman"/>
          <w:color w:val="212121"/>
          <w:spacing w:val="11"/>
        </w:rPr>
        <w:t xml:space="preserve"> </w:t>
      </w:r>
      <w:r w:rsidRPr="00CF5469">
        <w:rPr>
          <w:rFonts w:ascii="Times New Roman" w:hAnsi="Times New Roman" w:cs="Times New Roman"/>
          <w:color w:val="212121"/>
        </w:rPr>
        <w:t>r</w:t>
      </w:r>
      <w:r w:rsidRPr="00CF5469">
        <w:rPr>
          <w:rFonts w:ascii="Times New Roman" w:hAnsi="Times New Roman" w:cs="Times New Roman"/>
          <w:color w:val="212121"/>
          <w:spacing w:val="-3"/>
        </w:rPr>
        <w:t>e</w:t>
      </w:r>
      <w:r w:rsidRPr="00CF5469">
        <w:rPr>
          <w:rFonts w:ascii="Times New Roman" w:hAnsi="Times New Roman" w:cs="Times New Roman"/>
          <w:color w:val="212121"/>
          <w:spacing w:val="2"/>
        </w:rPr>
        <w:t>f</w:t>
      </w:r>
      <w:r w:rsidRPr="00CF5469">
        <w:rPr>
          <w:rFonts w:ascii="Times New Roman" w:hAnsi="Times New Roman" w:cs="Times New Roman"/>
          <w:color w:val="212121"/>
          <w:spacing w:val="-3"/>
        </w:rPr>
        <w:t>l</w:t>
      </w:r>
      <w:r w:rsidRPr="00CF5469">
        <w:rPr>
          <w:rFonts w:ascii="Times New Roman" w:hAnsi="Times New Roman" w:cs="Times New Roman"/>
          <w:color w:val="212121"/>
        </w:rPr>
        <w:t>e</w:t>
      </w:r>
      <w:r w:rsidRPr="00CF5469">
        <w:rPr>
          <w:rFonts w:ascii="Times New Roman" w:hAnsi="Times New Roman" w:cs="Times New Roman"/>
          <w:color w:val="212121"/>
          <w:spacing w:val="-3"/>
        </w:rPr>
        <w:t>x</w:t>
      </w:r>
      <w:r w:rsidRPr="00CF5469">
        <w:rPr>
          <w:rFonts w:ascii="Times New Roman" w:hAnsi="Times New Roman" w:cs="Times New Roman"/>
          <w:color w:val="212121"/>
        </w:rPr>
        <w:t>o</w:t>
      </w:r>
      <w:r w:rsidRPr="00CF5469">
        <w:rPr>
          <w:rFonts w:ascii="Times New Roman" w:hAnsi="Times New Roman" w:cs="Times New Roman"/>
          <w:color w:val="212121"/>
          <w:spacing w:val="10"/>
        </w:rPr>
        <w:t xml:space="preserve"> </w:t>
      </w:r>
      <w:r w:rsidRPr="00CF5469">
        <w:rPr>
          <w:rFonts w:ascii="Times New Roman" w:hAnsi="Times New Roman" w:cs="Times New Roman"/>
          <w:color w:val="212121"/>
        </w:rPr>
        <w:t>dos</w:t>
      </w:r>
      <w:r w:rsidRPr="00CF5469">
        <w:rPr>
          <w:rFonts w:ascii="Times New Roman" w:hAnsi="Times New Roman" w:cs="Times New Roman"/>
          <w:color w:val="212121"/>
          <w:spacing w:val="7"/>
        </w:rPr>
        <w:t xml:space="preserve"> </w:t>
      </w:r>
      <w:r w:rsidRPr="00CF5469">
        <w:rPr>
          <w:rFonts w:ascii="Times New Roman" w:hAnsi="Times New Roman" w:cs="Times New Roman"/>
          <w:color w:val="212121"/>
          <w:w w:val="99"/>
        </w:rPr>
        <w:t>co</w:t>
      </w:r>
      <w:r w:rsidRPr="00CF5469">
        <w:rPr>
          <w:rFonts w:ascii="Times New Roman" w:hAnsi="Times New Roman" w:cs="Times New Roman"/>
          <w:color w:val="212121"/>
          <w:spacing w:val="-2"/>
          <w:w w:val="99"/>
        </w:rPr>
        <w:t>n</w:t>
      </w:r>
      <w:r w:rsidRPr="00CF5469">
        <w:rPr>
          <w:rFonts w:ascii="Times New Roman" w:hAnsi="Times New Roman" w:cs="Times New Roman"/>
          <w:color w:val="212121"/>
          <w:spacing w:val="2"/>
        </w:rPr>
        <w:t>f</w:t>
      </w:r>
      <w:r w:rsidRPr="00CF5469">
        <w:rPr>
          <w:rFonts w:ascii="Times New Roman" w:hAnsi="Times New Roman" w:cs="Times New Roman"/>
          <w:color w:val="212121"/>
          <w:w w:val="99"/>
        </w:rPr>
        <w:t>l</w:t>
      </w:r>
      <w:r w:rsidRPr="00CF5469">
        <w:rPr>
          <w:rFonts w:ascii="Times New Roman" w:hAnsi="Times New Roman" w:cs="Times New Roman"/>
          <w:color w:val="212121"/>
          <w:spacing w:val="-1"/>
          <w:w w:val="99"/>
        </w:rPr>
        <w:t>i</w:t>
      </w:r>
      <w:r w:rsidRPr="00CF5469">
        <w:rPr>
          <w:rFonts w:ascii="Times New Roman" w:hAnsi="Times New Roman" w:cs="Times New Roman"/>
          <w:color w:val="212121"/>
          <w:spacing w:val="-2"/>
        </w:rPr>
        <w:t>t</w:t>
      </w:r>
      <w:r w:rsidRPr="00CF5469">
        <w:rPr>
          <w:rFonts w:ascii="Times New Roman" w:hAnsi="Times New Roman" w:cs="Times New Roman"/>
          <w:color w:val="212121"/>
          <w:spacing w:val="-2"/>
          <w:w w:val="99"/>
        </w:rPr>
        <w:t>o</w:t>
      </w:r>
      <w:r w:rsidRPr="00CF5469">
        <w:rPr>
          <w:rFonts w:ascii="Times New Roman" w:hAnsi="Times New Roman" w:cs="Times New Roman"/>
          <w:color w:val="212121"/>
        </w:rPr>
        <w:t>s</w:t>
      </w:r>
      <w:r w:rsidRPr="00CF5469">
        <w:rPr>
          <w:rFonts w:ascii="Times New Roman" w:hAnsi="Times New Roman" w:cs="Times New Roman"/>
          <w:color w:val="212121"/>
          <w:spacing w:val="9"/>
        </w:rPr>
        <w:t xml:space="preserve"> </w:t>
      </w:r>
      <w:r w:rsidRPr="00CF5469">
        <w:rPr>
          <w:rFonts w:ascii="Times New Roman" w:hAnsi="Times New Roman" w:cs="Times New Roman"/>
          <w:color w:val="212121"/>
          <w:w w:val="99"/>
        </w:rPr>
        <w:t>de</w:t>
      </w:r>
      <w:r w:rsidRPr="00CF5469">
        <w:rPr>
          <w:rFonts w:ascii="Times New Roman" w:hAnsi="Times New Roman" w:cs="Times New Roman"/>
          <w:color w:val="212121"/>
          <w:spacing w:val="8"/>
        </w:rPr>
        <w:t xml:space="preserve"> </w:t>
      </w:r>
      <w:r w:rsidRPr="00CF5469">
        <w:rPr>
          <w:rFonts w:ascii="Times New Roman" w:hAnsi="Times New Roman" w:cs="Times New Roman"/>
          <w:color w:val="212121"/>
          <w:w w:val="99"/>
        </w:rPr>
        <w:t>in</w:t>
      </w:r>
      <w:r w:rsidRPr="00CF5469">
        <w:rPr>
          <w:rFonts w:ascii="Times New Roman" w:hAnsi="Times New Roman" w:cs="Times New Roman"/>
          <w:color w:val="212121"/>
          <w:spacing w:val="-2"/>
          <w:w w:val="99"/>
        </w:rPr>
        <w:t>t</w:t>
      </w:r>
      <w:r w:rsidRPr="00CF5469">
        <w:rPr>
          <w:rFonts w:ascii="Times New Roman" w:hAnsi="Times New Roman" w:cs="Times New Roman"/>
          <w:color w:val="212121"/>
          <w:w w:val="99"/>
        </w:rPr>
        <w:t>eresse</w:t>
      </w:r>
      <w:r w:rsidRPr="00CF5469">
        <w:rPr>
          <w:rFonts w:ascii="Times New Roman" w:hAnsi="Times New Roman" w:cs="Times New Roman"/>
          <w:color w:val="212121"/>
        </w:rPr>
        <w:t>s,</w:t>
      </w:r>
      <w:r w:rsidRPr="00CF5469">
        <w:rPr>
          <w:rFonts w:ascii="Times New Roman" w:hAnsi="Times New Roman" w:cs="Times New Roman"/>
          <w:color w:val="212121"/>
          <w:spacing w:val="7"/>
        </w:rPr>
        <w:t xml:space="preserve"> </w:t>
      </w:r>
      <w:r w:rsidRPr="00CF5469">
        <w:rPr>
          <w:rFonts w:ascii="Times New Roman" w:hAnsi="Times New Roman" w:cs="Times New Roman"/>
          <w:color w:val="212121"/>
          <w:w w:val="99"/>
        </w:rPr>
        <w:t>o</w:t>
      </w:r>
      <w:r w:rsidRPr="00CF5469">
        <w:rPr>
          <w:rFonts w:ascii="Times New Roman" w:hAnsi="Times New Roman" w:cs="Times New Roman"/>
          <w:color w:val="212121"/>
        </w:rPr>
        <w:t xml:space="preserve">s arranjos feitos nas esferas de poder que </w:t>
      </w:r>
      <w:r w:rsidRPr="00CF5469">
        <w:rPr>
          <w:rFonts w:ascii="Times New Roman" w:hAnsi="Times New Roman" w:cs="Times New Roman"/>
          <w:color w:val="212121"/>
        </w:rPr>
        <w:t>perpassam as instituições do Estado e da sociedade como um todo” (</w:t>
      </w:r>
      <w:r w:rsidRPr="00CF5469">
        <w:rPr>
          <w:rFonts w:ascii="Times New Roman" w:hAnsi="Times New Roman" w:cs="Times New Roman"/>
        </w:rPr>
        <w:t>HÖFLING</w:t>
      </w:r>
      <w:r w:rsidRPr="00CF5469">
        <w:rPr>
          <w:rFonts w:ascii="Times New Roman" w:hAnsi="Times New Roman" w:cs="Times New Roman"/>
          <w:color w:val="212121"/>
        </w:rPr>
        <w:t>, 2001, p. 38). Demonstrando de fato, que há interação e uma necessidade de superar uma inquietação que engloba diferentes sujeitos da sociedade e</w:t>
      </w:r>
      <w:r w:rsidRPr="00CF5469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CF5469">
        <w:rPr>
          <w:rFonts w:ascii="Times New Roman" w:hAnsi="Times New Roman" w:cs="Times New Roman"/>
          <w:color w:val="212121"/>
        </w:rPr>
        <w:t>instituições.</w:t>
      </w:r>
    </w:p>
    <w:p w14:paraId="6CBE9129" w14:textId="77777777" w:rsidR="00E11110" w:rsidRPr="00CF5469" w:rsidRDefault="00E04C8E">
      <w:pPr>
        <w:pStyle w:val="Corpodetexto"/>
        <w:spacing w:line="360" w:lineRule="auto"/>
        <w:ind w:right="108" w:firstLine="709"/>
        <w:jc w:val="both"/>
        <w:rPr>
          <w:rFonts w:ascii="Times New Roman" w:hAnsi="Times New Roman" w:cs="Times New Roman"/>
        </w:rPr>
      </w:pPr>
      <w:r w:rsidRPr="00CF5469">
        <w:rPr>
          <w:rFonts w:ascii="Times New Roman" w:hAnsi="Times New Roman" w:cs="Times New Roman"/>
        </w:rPr>
        <w:t>Percebemos que a educa</w:t>
      </w:r>
      <w:r w:rsidRPr="00CF5469">
        <w:rPr>
          <w:rFonts w:ascii="Times New Roman" w:hAnsi="Times New Roman" w:cs="Times New Roman"/>
        </w:rPr>
        <w:t>ção de uma nação e suas prioridades podem ser entendidas como uma “política pública social, uma política pública de corte social, de responsabilidade do Estado – mas não pensada somente por seus organismos” (HÖFLING, 2001, p.31). Isto quer dizer que a educ</w:t>
      </w:r>
      <w:r w:rsidRPr="00CF5469">
        <w:rPr>
          <w:rFonts w:ascii="Times New Roman" w:hAnsi="Times New Roman" w:cs="Times New Roman"/>
        </w:rPr>
        <w:t>ação, assim como as políticas públicas criadas para atender suas demandas implicam o envolvimento e interferências de organismos e organizações que buscam determinar ações que visam a manutenção e possibilidade de formação social abrangente, dessa forma pa</w:t>
      </w:r>
      <w:r w:rsidRPr="00CF5469">
        <w:rPr>
          <w:rFonts w:ascii="Times New Roman" w:hAnsi="Times New Roman" w:cs="Times New Roman"/>
        </w:rPr>
        <w:t xml:space="preserve">ra além da compreensão da esfera educativa.  </w:t>
      </w:r>
    </w:p>
    <w:p w14:paraId="6CBE912A" w14:textId="77777777" w:rsidR="00E11110" w:rsidRPr="00CF5469" w:rsidRDefault="00E04C8E">
      <w:pPr>
        <w:pStyle w:val="Corpodetexto"/>
        <w:spacing w:line="360" w:lineRule="auto"/>
        <w:ind w:right="108" w:firstLine="709"/>
        <w:jc w:val="both"/>
        <w:rPr>
          <w:rFonts w:ascii="Times New Roman" w:hAnsi="Times New Roman" w:cs="Times New Roman"/>
        </w:rPr>
      </w:pPr>
      <w:r w:rsidRPr="00CF5469">
        <w:rPr>
          <w:rFonts w:ascii="Times New Roman" w:hAnsi="Times New Roman" w:cs="Times New Roman"/>
        </w:rPr>
        <w:t>Assim, faz-se necessário observarmos as formas de intervenção dos agentes denominados organismos e organizações internacionais os quais são entidades que atuam mundialmente com “o objetivo de trabalhar em comum</w:t>
      </w:r>
      <w:r w:rsidRPr="00CF5469">
        <w:rPr>
          <w:rFonts w:ascii="Times New Roman" w:hAnsi="Times New Roman" w:cs="Times New Roman"/>
        </w:rPr>
        <w:t xml:space="preserve"> para o pleno desenvolvimento das diferentes áreas da atividade humana como a política, a economia, a educação, a saúde, a segurança, entre outras” (RESENDE, 2018, p.38).</w:t>
      </w:r>
    </w:p>
    <w:p w14:paraId="6CBE912B" w14:textId="77777777" w:rsidR="00E11110" w:rsidRPr="00CF5469" w:rsidRDefault="00E04C8E">
      <w:pPr>
        <w:pStyle w:val="Corpodetexto"/>
        <w:spacing w:before="1" w:line="360" w:lineRule="auto"/>
        <w:ind w:right="105" w:firstLine="707"/>
        <w:jc w:val="both"/>
        <w:rPr>
          <w:rFonts w:ascii="Times New Roman" w:hAnsi="Times New Roman" w:cs="Times New Roman"/>
        </w:rPr>
      </w:pPr>
      <w:r w:rsidRPr="00CF5469">
        <w:rPr>
          <w:rFonts w:ascii="Times New Roman" w:hAnsi="Times New Roman" w:cs="Times New Roman"/>
        </w:rPr>
        <w:t>No tocante a Educação e suas respectivas políticas públicas destaca-se que o Banco Mu</w:t>
      </w:r>
      <w:r w:rsidRPr="00CF5469">
        <w:rPr>
          <w:rFonts w:ascii="Times New Roman" w:hAnsi="Times New Roman" w:cs="Times New Roman"/>
        </w:rPr>
        <w:t>ndial - Inicialmente chamado de Banco Internacional de Reconstrução e Desenvolvimento (BIRD) - exerce a maior influência e atuação, uma vez que “desde 1990, o BIRD tem declarado que seu principal objetivo é o ataque à pobreza” (</w:t>
      </w:r>
      <w:r w:rsidRPr="00CF5469">
        <w:rPr>
          <w:rFonts w:ascii="Times New Roman" w:hAnsi="Times New Roman" w:cs="Times New Roman"/>
          <w:color w:val="212121"/>
        </w:rPr>
        <w:t xml:space="preserve">ALTMANN, 2002, </w:t>
      </w:r>
      <w:r w:rsidRPr="00CF5469">
        <w:rPr>
          <w:rFonts w:ascii="Times New Roman" w:hAnsi="Times New Roman" w:cs="Times New Roman"/>
        </w:rPr>
        <w:t xml:space="preserve">p.79). E, em </w:t>
      </w:r>
      <w:r w:rsidRPr="00CF5469">
        <w:rPr>
          <w:rFonts w:ascii="Times New Roman" w:hAnsi="Times New Roman" w:cs="Times New Roman"/>
        </w:rPr>
        <w:t>consequência disso aumentar os recursos em educação é uma forma de proporcionar mais recursos aos pobres. Dessa maneira, as políticas públicas voltadas para a área educacional estão associadas a temáticas que abrangem necessidades sociais, assim como os di</w:t>
      </w:r>
      <w:r w:rsidRPr="00CF5469">
        <w:rPr>
          <w:rFonts w:ascii="Times New Roman" w:hAnsi="Times New Roman" w:cs="Times New Roman"/>
        </w:rPr>
        <w:t>reitos de cidadania.</w:t>
      </w:r>
    </w:p>
    <w:p w14:paraId="6CBE912C" w14:textId="77777777" w:rsidR="00E11110" w:rsidRPr="00CF5469" w:rsidRDefault="00E04C8E">
      <w:pPr>
        <w:pStyle w:val="Corpodetexto"/>
        <w:spacing w:line="360" w:lineRule="auto"/>
        <w:ind w:right="111" w:firstLine="520"/>
        <w:jc w:val="both"/>
        <w:rPr>
          <w:rFonts w:ascii="Times New Roman" w:hAnsi="Times New Roman" w:cs="Times New Roman"/>
        </w:rPr>
      </w:pPr>
      <w:r w:rsidRPr="00CF5469">
        <w:rPr>
          <w:rFonts w:ascii="Times New Roman" w:hAnsi="Times New Roman" w:cs="Times New Roman"/>
        </w:rPr>
        <w:t xml:space="preserve">No Brasil, a partir da Lei de Diretrizes e Bases da Educação Nacional nº 9.394, </w:t>
      </w:r>
      <w:r w:rsidRPr="00CF5469">
        <w:rPr>
          <w:rFonts w:ascii="Times New Roman" w:hAnsi="Times New Roman" w:cs="Times New Roman"/>
        </w:rPr>
        <w:lastRenderedPageBreak/>
        <w:t>de 20 de dezembro de 1996, houve de fato abertura para discutirem-se estratégias para a democratização ao acesso ao ensino</w:t>
      </w:r>
      <w:r w:rsidRPr="00CF5469">
        <w:rPr>
          <w:rFonts w:ascii="Times New Roman" w:hAnsi="Times New Roman" w:cs="Times New Roman"/>
          <w:spacing w:val="48"/>
        </w:rPr>
        <w:t xml:space="preserve"> </w:t>
      </w:r>
      <w:r w:rsidRPr="00CF5469">
        <w:rPr>
          <w:rFonts w:ascii="Times New Roman" w:hAnsi="Times New Roman" w:cs="Times New Roman"/>
        </w:rPr>
        <w:t>superior na modalidade de educaç</w:t>
      </w:r>
      <w:r w:rsidRPr="00CF5469">
        <w:rPr>
          <w:rFonts w:ascii="Times New Roman" w:hAnsi="Times New Roman" w:cs="Times New Roman"/>
        </w:rPr>
        <w:t xml:space="preserve">ão a distância em nosso país. Por meio dessa lei, a EaD foi reconhecida como modalidade de ensino e passou a ser regulamentada. </w:t>
      </w:r>
    </w:p>
    <w:p w14:paraId="6CBE912D" w14:textId="77777777" w:rsidR="00E11110" w:rsidRPr="00CF5469" w:rsidRDefault="00E04C8E">
      <w:pPr>
        <w:pStyle w:val="Corpodetexto"/>
        <w:spacing w:line="360" w:lineRule="auto"/>
        <w:ind w:right="107" w:firstLine="520"/>
        <w:jc w:val="both"/>
        <w:rPr>
          <w:rFonts w:ascii="Times New Roman" w:hAnsi="Times New Roman" w:cs="Times New Roman"/>
        </w:rPr>
      </w:pPr>
      <w:r w:rsidRPr="00CF5469">
        <w:rPr>
          <w:rFonts w:ascii="Times New Roman" w:hAnsi="Times New Roman" w:cs="Times New Roman"/>
        </w:rPr>
        <w:t xml:space="preserve">A busca constante por melhoramento em todos os aspectos do ensino na modalidade a distância, vem consolidando-se ao longo de </w:t>
      </w:r>
      <w:r w:rsidRPr="00CF5469">
        <w:rPr>
          <w:rFonts w:ascii="Times New Roman" w:hAnsi="Times New Roman" w:cs="Times New Roman"/>
        </w:rPr>
        <w:t>um trajeto de visíveis transformações, também é importante salientar que essas transformações são resultados da implementação de políticas públicas, que além de assegurar o reconhecimento dessa forma de ensino, buscam garantir aspectos de qualidade. O marc</w:t>
      </w:r>
      <w:r w:rsidRPr="00CF5469">
        <w:rPr>
          <w:rFonts w:ascii="Times New Roman" w:hAnsi="Times New Roman" w:cs="Times New Roman"/>
        </w:rPr>
        <w:t xml:space="preserve">o inicial ao incentivo a modalidade consolidou-se por meio do Art. 80 da  Lei de Diretrizes e Bases da Educação, o qual em seu texto estabelece que o governo deverá incentivar a educação a distância em todos os níveis da educação e igualmente em relação a </w:t>
      </w:r>
      <w:r w:rsidRPr="00CF5469">
        <w:rPr>
          <w:rFonts w:ascii="Times New Roman" w:hAnsi="Times New Roman" w:cs="Times New Roman"/>
        </w:rPr>
        <w:t xml:space="preserve">formação continuada. </w:t>
      </w:r>
    </w:p>
    <w:p w14:paraId="6CBE912E" w14:textId="77777777" w:rsidR="00E11110" w:rsidRPr="00CF5469" w:rsidRDefault="00E04C8E">
      <w:pPr>
        <w:pStyle w:val="Corpodetexto"/>
        <w:spacing w:line="360" w:lineRule="auto"/>
        <w:ind w:firstLine="520"/>
        <w:jc w:val="both"/>
        <w:rPr>
          <w:rFonts w:ascii="Times New Roman" w:hAnsi="Times New Roman" w:cs="Times New Roman"/>
        </w:rPr>
      </w:pPr>
      <w:r w:rsidRPr="00CF5469">
        <w:rPr>
          <w:rFonts w:ascii="Times New Roman" w:hAnsi="Times New Roman" w:cs="Times New Roman"/>
        </w:rPr>
        <w:t>Essa modalidade em ascensão, em particular no ensino superior, visa promover o acesso e a democratização, visto que as demandas desse nível de educação não são totalmente supridas pela oferta de vagas na modalidade presencial. O acess</w:t>
      </w:r>
      <w:r w:rsidRPr="00CF5469">
        <w:rPr>
          <w:rFonts w:ascii="Times New Roman" w:hAnsi="Times New Roman" w:cs="Times New Roman"/>
        </w:rPr>
        <w:t>o à educação superior no Brasil não deve ser considerado um privilégio, por sua vez ele deve ser considerado um direito democrático a todo o cidadão brasileiro (FILIPAK; PACHECO, 2017, p.1246).</w:t>
      </w:r>
    </w:p>
    <w:p w14:paraId="6CBE912F" w14:textId="77777777" w:rsidR="00E11110" w:rsidRPr="00CF5469" w:rsidRDefault="00E04C8E">
      <w:pPr>
        <w:pStyle w:val="Corpodetexto"/>
        <w:spacing w:line="360" w:lineRule="auto"/>
        <w:ind w:right="107" w:firstLine="707"/>
        <w:jc w:val="both"/>
        <w:rPr>
          <w:rFonts w:ascii="Times New Roman" w:hAnsi="Times New Roman" w:cs="Times New Roman"/>
        </w:rPr>
      </w:pPr>
      <w:r w:rsidRPr="00CF5469">
        <w:rPr>
          <w:rFonts w:ascii="Times New Roman" w:hAnsi="Times New Roman" w:cs="Times New Roman"/>
        </w:rPr>
        <w:t xml:space="preserve">Para além disso, os documentos de implementação e </w:t>
      </w:r>
      <w:r w:rsidRPr="00CF5469">
        <w:rPr>
          <w:rFonts w:ascii="Times New Roman" w:hAnsi="Times New Roman" w:cs="Times New Roman"/>
        </w:rPr>
        <w:t>regulação relacionados ao ensino superior a distância do Brasil, fazem menção ainda a termos que permeiam suas bases de norteamento. Os principais termos discutidos são: acesso, igualdade e qualidade. Nos diferentes documentos, esses termos apresentam defi</w:t>
      </w:r>
      <w:r w:rsidRPr="00CF5469">
        <w:rPr>
          <w:rFonts w:ascii="Times New Roman" w:hAnsi="Times New Roman" w:cs="Times New Roman"/>
        </w:rPr>
        <w:t>nições duvidosas, isto é, oportunizando mais de uma interpretação.</w:t>
      </w:r>
    </w:p>
    <w:p w14:paraId="6CBE9130" w14:textId="77777777" w:rsidR="00E11110" w:rsidRPr="00CF5469" w:rsidRDefault="00E11110">
      <w:pPr>
        <w:spacing w:after="0" w:line="360" w:lineRule="auto"/>
        <w:jc w:val="both"/>
        <w:rPr>
          <w:rFonts w:ascii="Times New Roman" w:eastAsia="Arial" w:hAnsi="Times New Roman"/>
          <w:color w:val="212121"/>
          <w:sz w:val="24"/>
          <w:szCs w:val="24"/>
          <w:lang w:val="pt-PT" w:eastAsia="pt-PT" w:bidi="pt-PT"/>
        </w:rPr>
      </w:pPr>
    </w:p>
    <w:p w14:paraId="6CBE9131" w14:textId="77777777" w:rsidR="00E11110" w:rsidRPr="00CF5469" w:rsidRDefault="00E04C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5469">
        <w:rPr>
          <w:rFonts w:ascii="Times New Roman" w:hAnsi="Times New Roman"/>
          <w:b/>
          <w:sz w:val="24"/>
          <w:szCs w:val="24"/>
        </w:rPr>
        <w:t>CONCLUSÕES</w:t>
      </w:r>
    </w:p>
    <w:p w14:paraId="6CBE9132" w14:textId="77777777" w:rsidR="00E11110" w:rsidRPr="00CF5469" w:rsidRDefault="00E11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BE9133" w14:textId="77777777" w:rsidR="00E11110" w:rsidRPr="00CF5469" w:rsidRDefault="00E11110">
      <w:pPr>
        <w:spacing w:after="0" w:line="360" w:lineRule="auto"/>
        <w:ind w:firstLine="708"/>
        <w:jc w:val="both"/>
        <w:rPr>
          <w:rFonts w:ascii="Times New Roman" w:eastAsia="Arial" w:hAnsi="Times New Roman"/>
          <w:sz w:val="24"/>
          <w:szCs w:val="24"/>
          <w:lang w:val="pt-PT" w:eastAsia="pt-PT" w:bidi="pt-PT"/>
        </w:rPr>
      </w:pPr>
    </w:p>
    <w:p w14:paraId="6CBE9134" w14:textId="77777777" w:rsidR="00E11110" w:rsidRPr="00CF5469" w:rsidRDefault="00E04C8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>Um importante desafio ao pensarmos a respeito da educação superior a distância em nosso país revelou-se por meio das reflexões propostas na construção desse texto, sendo que é</w:t>
      </w: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 xml:space="preserve"> o de perceber as ideias implícitas nos textos de documentos que delineiam, sobretudo, a implementação da modalidade e que não preocupam-se em unicamente  atender as demandas e agenda de reformas prescritas pelos organismos e organizações </w:t>
      </w: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lastRenderedPageBreak/>
        <w:t>internacionais. À</w:t>
      </w: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 xml:space="preserve"> vista disso, a partir da </w:t>
      </w:r>
      <w:r w:rsidRPr="00CF5469">
        <w:rPr>
          <w:rFonts w:ascii="Times New Roman" w:hAnsi="Times New Roman"/>
          <w:sz w:val="24"/>
          <w:szCs w:val="24"/>
        </w:rPr>
        <w:t xml:space="preserve">Lei de Diretrizes e Bases da Educação Nacional nº 9.394/96, pode-se notar um importante marco regulatório, esse que ressignifica a modalidade em todo território brasileiro. </w:t>
      </w:r>
    </w:p>
    <w:p w14:paraId="6CBE9135" w14:textId="77777777" w:rsidR="00E11110" w:rsidRPr="00CF5469" w:rsidRDefault="00E04C8E">
      <w:pPr>
        <w:spacing w:after="0" w:line="360" w:lineRule="auto"/>
        <w:ind w:firstLine="708"/>
        <w:jc w:val="both"/>
        <w:rPr>
          <w:rFonts w:ascii="Times New Roman" w:eastAsia="Arial" w:hAnsi="Times New Roman"/>
          <w:sz w:val="24"/>
          <w:szCs w:val="24"/>
          <w:lang w:val="pt-PT" w:eastAsia="pt-PT" w:bidi="pt-PT"/>
        </w:rPr>
      </w:pP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>Isto quer dizer que, ao definir a regulamentação e imple</w:t>
      </w: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>mentação da modalidade como responsabilidade única do Estado, e ao mesmo tempo, fala-se em qualidade estabelecida por critérios definidos pelas Instituições de ensino superior credenciadas e aptas a ofertar a EaD, pressupõe discrepâncias no formato e carac</w:t>
      </w: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>terísticas de diferentes cursos que podem ser ofertados, oportunizando assim a acentuação de possibilidades de desigualdades educacionais na forma de oferta do ensino superior a distância.</w:t>
      </w:r>
    </w:p>
    <w:p w14:paraId="6CBE9136" w14:textId="77777777" w:rsidR="00E11110" w:rsidRPr="00CF5469" w:rsidRDefault="00E04C8E">
      <w:pPr>
        <w:spacing w:after="0" w:line="360" w:lineRule="auto"/>
        <w:ind w:firstLine="708"/>
        <w:jc w:val="both"/>
        <w:rPr>
          <w:rFonts w:ascii="Times New Roman" w:eastAsia="Arial" w:hAnsi="Times New Roman"/>
          <w:sz w:val="24"/>
          <w:szCs w:val="24"/>
          <w:lang w:val="pt-PT" w:eastAsia="pt-PT" w:bidi="pt-PT"/>
        </w:rPr>
      </w:pP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>Dessa forma, as reflexões a respeito do tema proposto demonstram qu</w:t>
      </w: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 xml:space="preserve">e a função exercida pelo Estado no que tange as políticas públicas educacionais do ensino superior  à distância no Brasil, apresentam contradições as demandas estabelecidas pela agenda de reformas educativas pautadas em ideias neoliberais, pois apesar das </w:t>
      </w: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>recomendações dos organismos e organizações internacionais apresentarem uma única proposta de atribuição do Estado e ao mesmo tempo estabelecer suas políticas de focalização e descentralização das políticas públicas educativas relacionadas a modalidade des</w:t>
      </w: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>se nível de ensino a distância em nosso país, não atendem a essas recomendações especialmente a questão de atribuição do Estado.</w:t>
      </w:r>
    </w:p>
    <w:p w14:paraId="6CBE9137" w14:textId="77777777" w:rsidR="00E11110" w:rsidRPr="00CF5469" w:rsidRDefault="00E11110">
      <w:pPr>
        <w:spacing w:after="0" w:line="360" w:lineRule="auto"/>
        <w:ind w:firstLine="708"/>
        <w:jc w:val="both"/>
        <w:rPr>
          <w:rFonts w:ascii="Times New Roman" w:eastAsia="Arial" w:hAnsi="Times New Roman"/>
          <w:sz w:val="24"/>
          <w:szCs w:val="24"/>
          <w:lang w:val="pt-PT" w:eastAsia="pt-PT" w:bidi="pt-PT"/>
        </w:rPr>
      </w:pPr>
    </w:p>
    <w:p w14:paraId="6CBE9138" w14:textId="77777777" w:rsidR="00E11110" w:rsidRPr="00CF5469" w:rsidRDefault="00E11110">
      <w:pPr>
        <w:spacing w:after="0" w:line="360" w:lineRule="auto"/>
        <w:ind w:firstLine="708"/>
        <w:jc w:val="both"/>
        <w:rPr>
          <w:rFonts w:ascii="Times New Roman" w:eastAsia="Arial" w:hAnsi="Times New Roman"/>
          <w:sz w:val="24"/>
          <w:szCs w:val="24"/>
          <w:lang w:val="pt-PT" w:eastAsia="pt-PT" w:bidi="pt-PT"/>
        </w:rPr>
      </w:pPr>
    </w:p>
    <w:p w14:paraId="6CBE9139" w14:textId="77777777" w:rsidR="00E11110" w:rsidRPr="00CF5469" w:rsidRDefault="00E04C8E">
      <w:pPr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val="pt-PT" w:eastAsia="pt-PT" w:bidi="pt-PT"/>
        </w:rPr>
      </w:pP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>REFERÊNCIAS</w:t>
      </w:r>
    </w:p>
    <w:p w14:paraId="6CBE913A" w14:textId="77777777" w:rsidR="00E11110" w:rsidRPr="00CF5469" w:rsidRDefault="00E11110">
      <w:pPr>
        <w:spacing w:after="0" w:line="360" w:lineRule="auto"/>
        <w:rPr>
          <w:rFonts w:ascii="Times New Roman" w:eastAsia="Arial" w:hAnsi="Times New Roman"/>
          <w:sz w:val="24"/>
          <w:szCs w:val="24"/>
          <w:lang w:val="pt-PT" w:eastAsia="pt-PT" w:bidi="pt-PT"/>
        </w:rPr>
      </w:pPr>
    </w:p>
    <w:p w14:paraId="6CBE913B" w14:textId="77777777" w:rsidR="00E11110" w:rsidRPr="00CF5469" w:rsidRDefault="00E04C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 xml:space="preserve">ALTMANN, H. </w:t>
      </w:r>
      <w:r w:rsidRPr="00CF5469">
        <w:rPr>
          <w:rFonts w:ascii="Times New Roman" w:eastAsia="Arial" w:hAnsi="Times New Roman"/>
          <w:b/>
          <w:sz w:val="24"/>
          <w:szCs w:val="24"/>
          <w:lang w:val="pt-PT" w:eastAsia="pt-PT" w:bidi="pt-PT"/>
        </w:rPr>
        <w:t>Influênicas do Banco Mundial no projeto educacional brasileiro</w:t>
      </w: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 xml:space="preserve">. Educação e Pesquisa, v. 28, n.1, p. </w:t>
      </w: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>77-89, 2002.</w:t>
      </w:r>
    </w:p>
    <w:p w14:paraId="6CBE913C" w14:textId="77777777" w:rsidR="00E11110" w:rsidRPr="00CF5469" w:rsidRDefault="00E11110">
      <w:pPr>
        <w:spacing w:after="0" w:line="360" w:lineRule="auto"/>
        <w:rPr>
          <w:rFonts w:ascii="Times New Roman" w:eastAsia="Arial" w:hAnsi="Times New Roman"/>
          <w:sz w:val="24"/>
          <w:szCs w:val="24"/>
          <w:lang w:val="pt-PT" w:eastAsia="pt-PT" w:bidi="pt-PT"/>
        </w:rPr>
      </w:pPr>
    </w:p>
    <w:p w14:paraId="6CBE913D" w14:textId="77777777" w:rsidR="00E11110" w:rsidRPr="00CF5469" w:rsidRDefault="00E04C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 xml:space="preserve">ALVES, G. A. P. </w:t>
      </w:r>
      <w:r w:rsidRPr="00CF5469">
        <w:rPr>
          <w:rFonts w:ascii="Times New Roman" w:eastAsia="Arial" w:hAnsi="Times New Roman"/>
          <w:b/>
          <w:sz w:val="24"/>
          <w:szCs w:val="24"/>
          <w:lang w:val="pt-PT" w:eastAsia="pt-PT" w:bidi="pt-PT"/>
        </w:rPr>
        <w:t xml:space="preserve">A natureza contraditória do Estado capitalista na era na financeirização. </w:t>
      </w: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>Estudos de Sociologia, 1999. Disponível em: &lt;</w:t>
      </w:r>
      <w:r w:rsidRPr="00CF5469">
        <w:rPr>
          <w:rFonts w:ascii="Times New Roman" w:hAnsi="Times New Roman"/>
          <w:sz w:val="24"/>
          <w:szCs w:val="24"/>
        </w:rPr>
        <w:t xml:space="preserve"> https://repositorio.unesp.br/bitstream/handle/11449/107038/ISSN1982-4718-1999-4-6-149-153.pdf?sequence=1&gt; </w:t>
      </w:r>
      <w:r w:rsidRPr="00CF5469">
        <w:rPr>
          <w:rFonts w:ascii="Times New Roman" w:hAnsi="Times New Roman"/>
          <w:sz w:val="24"/>
          <w:szCs w:val="24"/>
        </w:rPr>
        <w:t>Acesso em: 10 mar. 2019.</w:t>
      </w:r>
    </w:p>
    <w:p w14:paraId="6CBE913E" w14:textId="77777777" w:rsidR="00E11110" w:rsidRPr="00CF5469" w:rsidRDefault="00E11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BE913F" w14:textId="77777777" w:rsidR="00E11110" w:rsidRPr="00CF5469" w:rsidRDefault="00E04C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469">
        <w:rPr>
          <w:rFonts w:ascii="Times New Roman" w:hAnsi="Times New Roman"/>
          <w:sz w:val="24"/>
          <w:szCs w:val="24"/>
        </w:rPr>
        <w:t xml:space="preserve">BRASIL. Lei 9394/96 - </w:t>
      </w:r>
      <w:r w:rsidRPr="00CF5469">
        <w:rPr>
          <w:rFonts w:ascii="Times New Roman" w:hAnsi="Times New Roman"/>
          <w:b/>
          <w:sz w:val="24"/>
          <w:szCs w:val="24"/>
        </w:rPr>
        <w:t>LDBN – Lei de Diretrizes e Bases da Educação Nacional</w:t>
      </w:r>
      <w:r w:rsidRPr="00CF5469">
        <w:rPr>
          <w:rFonts w:ascii="Times New Roman" w:hAnsi="Times New Roman"/>
          <w:sz w:val="24"/>
          <w:szCs w:val="24"/>
        </w:rPr>
        <w:t>. Disponível em:&lt;http://www.planalto.gov.br/ccivil_03/Leis/L9394.htm&gt;. Acesso em: 04 mar. 2019</w:t>
      </w:r>
    </w:p>
    <w:p w14:paraId="6CBE9140" w14:textId="77777777" w:rsidR="00E11110" w:rsidRPr="00CF5469" w:rsidRDefault="00E11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BE9141" w14:textId="77777777" w:rsidR="00E11110" w:rsidRPr="00CF5469" w:rsidRDefault="00E04C8E">
      <w:pPr>
        <w:pStyle w:val="Corpodetexto"/>
        <w:ind w:left="0" w:right="108"/>
        <w:rPr>
          <w:rFonts w:ascii="Times New Roman" w:hAnsi="Times New Roman" w:cs="Times New Roman"/>
        </w:rPr>
      </w:pPr>
      <w:r w:rsidRPr="00CF5469">
        <w:rPr>
          <w:rFonts w:ascii="Times New Roman" w:hAnsi="Times New Roman" w:cs="Times New Roman"/>
          <w:color w:val="212121"/>
          <w:spacing w:val="-3"/>
        </w:rPr>
        <w:t xml:space="preserve">FILIPAK, </w:t>
      </w:r>
      <w:r w:rsidRPr="00CF5469">
        <w:rPr>
          <w:rFonts w:ascii="Times New Roman" w:hAnsi="Times New Roman" w:cs="Times New Roman"/>
          <w:color w:val="212121"/>
        </w:rPr>
        <w:t xml:space="preserve">S. </w:t>
      </w:r>
      <w:r w:rsidRPr="00CF5469">
        <w:rPr>
          <w:rFonts w:ascii="Times New Roman" w:hAnsi="Times New Roman" w:cs="Times New Roman"/>
          <w:color w:val="212121"/>
          <w:spacing w:val="-3"/>
        </w:rPr>
        <w:t xml:space="preserve">T.; PACHECO, </w:t>
      </w:r>
      <w:r w:rsidRPr="00CF5469">
        <w:rPr>
          <w:rFonts w:ascii="Times New Roman" w:hAnsi="Times New Roman" w:cs="Times New Roman"/>
          <w:color w:val="212121"/>
        </w:rPr>
        <w:t xml:space="preserve">E. F. H. A </w:t>
      </w:r>
      <w:r w:rsidRPr="00CF5469">
        <w:rPr>
          <w:rFonts w:ascii="Times New Roman" w:hAnsi="Times New Roman" w:cs="Times New Roman"/>
          <w:color w:val="212121"/>
        </w:rPr>
        <w:t xml:space="preserve">democratização do acesso à educação superior no Brasil. </w:t>
      </w:r>
      <w:r w:rsidRPr="00CF5469">
        <w:rPr>
          <w:rFonts w:ascii="Times New Roman" w:hAnsi="Times New Roman" w:cs="Times New Roman"/>
          <w:b/>
          <w:color w:val="212121"/>
        </w:rPr>
        <w:t>Revista Diálogo Educacional</w:t>
      </w:r>
      <w:r w:rsidRPr="00CF5469">
        <w:rPr>
          <w:rFonts w:ascii="Times New Roman" w:hAnsi="Times New Roman" w:cs="Times New Roman"/>
          <w:color w:val="212121"/>
        </w:rPr>
        <w:t xml:space="preserve">, </w:t>
      </w:r>
      <w:r w:rsidRPr="00CF5469">
        <w:rPr>
          <w:rFonts w:ascii="Times New Roman" w:hAnsi="Times New Roman" w:cs="Times New Roman"/>
          <w:color w:val="212121"/>
          <w:spacing w:val="-10"/>
        </w:rPr>
        <w:t xml:space="preserve">v. </w:t>
      </w:r>
      <w:r w:rsidRPr="00CF5469">
        <w:rPr>
          <w:rFonts w:ascii="Times New Roman" w:hAnsi="Times New Roman" w:cs="Times New Roman"/>
          <w:color w:val="212121"/>
        </w:rPr>
        <w:t>17, n. 54,</w:t>
      </w:r>
      <w:r w:rsidRPr="00CF5469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CF5469">
        <w:rPr>
          <w:rFonts w:ascii="Times New Roman" w:hAnsi="Times New Roman" w:cs="Times New Roman"/>
          <w:color w:val="212121"/>
        </w:rPr>
        <w:t>2017.</w:t>
      </w:r>
    </w:p>
    <w:p w14:paraId="6CBE9142" w14:textId="77777777" w:rsidR="00E11110" w:rsidRPr="00CF5469" w:rsidRDefault="00E11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BE9143" w14:textId="77777777" w:rsidR="00E11110" w:rsidRPr="00CF5469" w:rsidRDefault="00E04C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469">
        <w:rPr>
          <w:rFonts w:ascii="Times New Roman" w:hAnsi="Times New Roman"/>
          <w:sz w:val="24"/>
          <w:szCs w:val="24"/>
        </w:rPr>
        <w:lastRenderedPageBreak/>
        <w:t xml:space="preserve">GIL, A. C. </w:t>
      </w:r>
      <w:r w:rsidRPr="00CF5469">
        <w:rPr>
          <w:rFonts w:ascii="Times New Roman" w:hAnsi="Times New Roman"/>
          <w:b/>
          <w:sz w:val="24"/>
          <w:szCs w:val="24"/>
        </w:rPr>
        <w:t>Como elaborar projetos de pesquisa</w:t>
      </w:r>
      <w:r w:rsidRPr="00CF5469">
        <w:rPr>
          <w:rFonts w:ascii="Times New Roman" w:hAnsi="Times New Roman"/>
          <w:sz w:val="24"/>
          <w:szCs w:val="24"/>
        </w:rPr>
        <w:t>. São Paulo: Atlas, 2002</w:t>
      </w:r>
    </w:p>
    <w:p w14:paraId="6CBE9144" w14:textId="77777777" w:rsidR="00E11110" w:rsidRPr="00CF5469" w:rsidRDefault="00E11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BE9145" w14:textId="77777777" w:rsidR="00E11110" w:rsidRPr="00CF5469" w:rsidRDefault="00E04C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 xml:space="preserve">CAETANOL, C. B. R. C.; COSTA,  M. L. F.; QUAGLIA, I. </w:t>
      </w:r>
      <w:r w:rsidRPr="00CF5469">
        <w:rPr>
          <w:rFonts w:ascii="Times New Roman" w:eastAsia="Arial" w:hAnsi="Times New Roman"/>
          <w:b/>
          <w:sz w:val="24"/>
          <w:szCs w:val="24"/>
          <w:lang w:val="pt-PT" w:eastAsia="pt-PT" w:bidi="pt-PT"/>
        </w:rPr>
        <w:t>Políticas públicas na educ</w:t>
      </w:r>
      <w:r w:rsidRPr="00CF5469">
        <w:rPr>
          <w:rFonts w:ascii="Times New Roman" w:eastAsia="Arial" w:hAnsi="Times New Roman"/>
          <w:b/>
          <w:sz w:val="24"/>
          <w:szCs w:val="24"/>
          <w:lang w:val="pt-PT" w:eastAsia="pt-PT" w:bidi="pt-PT"/>
        </w:rPr>
        <w:t>ação e educação a distância: estratégia para a democratização do acesso ao Ensino superior.</w:t>
      </w: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 xml:space="preserve"> In: ESUD 2014 – XI Congresso Brasileiro de Ensino Superior a distância. 2014, Florianopólis. UNIREDE. p. 1099-1113.</w:t>
      </w:r>
    </w:p>
    <w:p w14:paraId="6CBE9146" w14:textId="77777777" w:rsidR="00E11110" w:rsidRPr="00CF5469" w:rsidRDefault="00E11110">
      <w:pPr>
        <w:spacing w:after="0" w:line="240" w:lineRule="auto"/>
        <w:rPr>
          <w:rFonts w:ascii="Times New Roman" w:eastAsia="Arial" w:hAnsi="Times New Roman"/>
          <w:sz w:val="24"/>
          <w:szCs w:val="24"/>
          <w:lang w:val="pt-PT" w:eastAsia="pt-PT" w:bidi="pt-PT"/>
        </w:rPr>
      </w:pPr>
    </w:p>
    <w:p w14:paraId="6CBE9147" w14:textId="77777777" w:rsidR="00E11110" w:rsidRPr="00CF5469" w:rsidRDefault="00E04C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469">
        <w:rPr>
          <w:rFonts w:ascii="Times New Roman" w:hAnsi="Times New Roman"/>
          <w:spacing w:val="-4"/>
          <w:sz w:val="24"/>
          <w:szCs w:val="24"/>
        </w:rPr>
        <w:t xml:space="preserve">HÖFLING, </w:t>
      </w:r>
      <w:r w:rsidRPr="00CF5469">
        <w:rPr>
          <w:rFonts w:ascii="Times New Roman" w:hAnsi="Times New Roman"/>
          <w:sz w:val="24"/>
          <w:szCs w:val="24"/>
        </w:rPr>
        <w:t xml:space="preserve">E. et al. </w:t>
      </w:r>
      <w:r w:rsidRPr="00CF5469">
        <w:rPr>
          <w:rFonts w:ascii="Times New Roman" w:hAnsi="Times New Roman"/>
          <w:b/>
          <w:sz w:val="24"/>
          <w:szCs w:val="24"/>
        </w:rPr>
        <w:t>Estado e políticas (públicas</w:t>
      </w:r>
      <w:r w:rsidRPr="00CF5469">
        <w:rPr>
          <w:rFonts w:ascii="Times New Roman" w:hAnsi="Times New Roman"/>
          <w:b/>
          <w:sz w:val="24"/>
          <w:szCs w:val="24"/>
        </w:rPr>
        <w:t>) sociais</w:t>
      </w:r>
      <w:r w:rsidRPr="00CF5469">
        <w:rPr>
          <w:rFonts w:ascii="Times New Roman" w:hAnsi="Times New Roman"/>
          <w:sz w:val="24"/>
          <w:szCs w:val="24"/>
        </w:rPr>
        <w:t>. Cadernos Cedes,</w:t>
      </w:r>
      <w:r w:rsidRPr="00CF546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69">
        <w:rPr>
          <w:rFonts w:ascii="Times New Roman" w:hAnsi="Times New Roman"/>
          <w:sz w:val="24"/>
          <w:szCs w:val="24"/>
        </w:rPr>
        <w:t>2001.</w:t>
      </w:r>
    </w:p>
    <w:p w14:paraId="6CBE9148" w14:textId="77777777" w:rsidR="00E11110" w:rsidRPr="00CF5469" w:rsidRDefault="00E11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BE9149" w14:textId="77777777" w:rsidR="00E11110" w:rsidRPr="00CF5469" w:rsidRDefault="00E04C8E">
      <w:pPr>
        <w:rPr>
          <w:rFonts w:ascii="Times New Roman" w:hAnsi="Times New Roman"/>
          <w:sz w:val="24"/>
          <w:szCs w:val="24"/>
        </w:rPr>
      </w:pP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 xml:space="preserve">RESENDE, S. G. </w:t>
      </w:r>
      <w:r w:rsidRPr="00CF5469">
        <w:rPr>
          <w:rFonts w:ascii="Times New Roman" w:eastAsia="Arial" w:hAnsi="Times New Roman"/>
          <w:b/>
          <w:sz w:val="24"/>
          <w:szCs w:val="24"/>
          <w:lang w:val="pt-PT" w:eastAsia="pt-PT" w:bidi="pt-PT"/>
        </w:rPr>
        <w:t>Políticas Públicas para a educação superior a distância no brasil: princípios e contradições entre a legislação brasileira e as recomendações dos organismos internacionais.</w:t>
      </w:r>
      <w:r w:rsidRPr="00CF5469">
        <w:rPr>
          <w:rFonts w:ascii="Times New Roman" w:eastAsia="Arial" w:hAnsi="Times New Roman"/>
          <w:sz w:val="24"/>
          <w:szCs w:val="24"/>
          <w:lang w:val="pt-PT" w:eastAsia="pt-PT" w:bidi="pt-PT"/>
        </w:rPr>
        <w:t xml:space="preserve"> </w:t>
      </w:r>
      <w:r w:rsidRPr="00CF5469">
        <w:rPr>
          <w:rFonts w:ascii="Times New Roman" w:hAnsi="Times New Roman"/>
          <w:sz w:val="24"/>
          <w:szCs w:val="24"/>
        </w:rPr>
        <w:t xml:space="preserve">117 f. Dissertação </w:t>
      </w:r>
      <w:r w:rsidRPr="00CF5469">
        <w:rPr>
          <w:rFonts w:ascii="Times New Roman" w:hAnsi="Times New Roman"/>
          <w:sz w:val="24"/>
          <w:szCs w:val="24"/>
        </w:rPr>
        <w:t xml:space="preserve">(Mestrado em Educação) – Universidade Estadual de Maringá. Orientador: </w:t>
      </w:r>
      <w:proofErr w:type="spellStart"/>
      <w:r w:rsidRPr="00CF5469">
        <w:rPr>
          <w:rFonts w:ascii="Times New Roman" w:hAnsi="Times New Roman"/>
          <w:sz w:val="24"/>
          <w:szCs w:val="24"/>
        </w:rPr>
        <w:t>Profª</w:t>
      </w:r>
      <w:proofErr w:type="spellEnd"/>
      <w:r w:rsidRPr="00CF5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469">
        <w:rPr>
          <w:rFonts w:ascii="Times New Roman" w:hAnsi="Times New Roman"/>
          <w:sz w:val="24"/>
          <w:szCs w:val="24"/>
        </w:rPr>
        <w:t>Drª</w:t>
      </w:r>
      <w:proofErr w:type="spellEnd"/>
      <w:r w:rsidRPr="00CF5469">
        <w:rPr>
          <w:rFonts w:ascii="Times New Roman" w:hAnsi="Times New Roman"/>
          <w:sz w:val="24"/>
          <w:szCs w:val="24"/>
        </w:rPr>
        <w:t xml:space="preserve"> Maria </w:t>
      </w:r>
      <w:proofErr w:type="spellStart"/>
      <w:r w:rsidRPr="00CF5469">
        <w:rPr>
          <w:rFonts w:ascii="Times New Roman" w:hAnsi="Times New Roman"/>
          <w:sz w:val="24"/>
          <w:szCs w:val="24"/>
        </w:rPr>
        <w:t>Luisa</w:t>
      </w:r>
      <w:proofErr w:type="spellEnd"/>
      <w:r w:rsidRPr="00CF5469">
        <w:rPr>
          <w:rFonts w:ascii="Times New Roman" w:hAnsi="Times New Roman"/>
          <w:sz w:val="24"/>
          <w:szCs w:val="24"/>
        </w:rPr>
        <w:t xml:space="preserve"> Furlan Costa. Maringá, 2018.</w:t>
      </w:r>
    </w:p>
    <w:p w14:paraId="6CBE914A" w14:textId="77777777" w:rsidR="00E11110" w:rsidRPr="00CF5469" w:rsidRDefault="00E11110">
      <w:pPr>
        <w:rPr>
          <w:rFonts w:ascii="Times New Roman" w:eastAsia="Arial" w:hAnsi="Times New Roman"/>
          <w:sz w:val="24"/>
          <w:szCs w:val="24"/>
          <w:lang w:val="pt-PT" w:eastAsia="pt-PT" w:bidi="pt-PT"/>
        </w:rPr>
      </w:pPr>
    </w:p>
    <w:p w14:paraId="6CBE914B" w14:textId="77777777" w:rsidR="00E11110" w:rsidRPr="00CF5469" w:rsidRDefault="00E11110">
      <w:pPr>
        <w:spacing w:after="0" w:line="240" w:lineRule="auto"/>
        <w:rPr>
          <w:rFonts w:ascii="Times New Roman" w:eastAsia="Arial" w:hAnsi="Times New Roman"/>
          <w:sz w:val="24"/>
          <w:szCs w:val="24"/>
          <w:lang w:val="pt-PT" w:eastAsia="pt-PT" w:bidi="pt-PT"/>
        </w:rPr>
      </w:pPr>
    </w:p>
    <w:p w14:paraId="6CBE914C" w14:textId="77777777" w:rsidR="00E11110" w:rsidRPr="00CF5469" w:rsidRDefault="00E11110">
      <w:pPr>
        <w:rPr>
          <w:rFonts w:ascii="Times New Roman" w:hAnsi="Times New Roman"/>
          <w:sz w:val="24"/>
          <w:szCs w:val="24"/>
        </w:rPr>
      </w:pPr>
    </w:p>
    <w:sectPr w:rsidR="00E11110" w:rsidRPr="00CF5469" w:rsidSect="00CF5469">
      <w:pgSz w:w="11906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E9113" w14:textId="77777777" w:rsidR="00000000" w:rsidRDefault="00E04C8E">
      <w:pPr>
        <w:spacing w:after="0" w:line="240" w:lineRule="auto"/>
      </w:pPr>
      <w:r>
        <w:separator/>
      </w:r>
    </w:p>
  </w:endnote>
  <w:endnote w:type="continuationSeparator" w:id="0">
    <w:p w14:paraId="6CBE9115" w14:textId="77777777" w:rsidR="00000000" w:rsidRDefault="00E0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E910F" w14:textId="77777777" w:rsidR="00000000" w:rsidRDefault="00E04C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BE9111" w14:textId="77777777" w:rsidR="00000000" w:rsidRDefault="00E04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1110"/>
    <w:rsid w:val="00CF5469"/>
    <w:rsid w:val="00E04C8E"/>
    <w:rsid w:val="00E1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910F"/>
  <w15:docId w15:val="{C437E97E-9013-4742-AEEA-D5EB3D9C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563C1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Corpodetexto">
    <w:name w:val="Body Text"/>
    <w:basedOn w:val="Normal"/>
    <w:pPr>
      <w:widowControl w:val="0"/>
      <w:autoSpaceDE w:val="0"/>
      <w:spacing w:after="0" w:line="240" w:lineRule="auto"/>
      <w:ind w:left="102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1469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rodrigues</dc:creator>
  <dc:description/>
  <cp:lastModifiedBy>Dayane Horwat</cp:lastModifiedBy>
  <cp:revision>2</cp:revision>
  <dcterms:created xsi:type="dcterms:W3CDTF">2019-04-09T19:25:00Z</dcterms:created>
  <dcterms:modified xsi:type="dcterms:W3CDTF">2019-04-09T19:25:00Z</dcterms:modified>
</cp:coreProperties>
</file>