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3503" w:dyaOrig="2894">
          <v:rect xmlns:o="urn:schemas-microsoft-com:office:office" xmlns:v="urn:schemas-microsoft-com:vml" id="rectole0000000000" style="width:175.150000pt;height:14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</w:p>
    <w:p>
      <w:pPr>
        <w:spacing w:before="0" w:after="0" w:line="278"/>
        <w:ind w:right="1039" w:left="1289" w:firstLine="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Avaliação do pré operatório hepático: fatores de seleção e preparação do paciente.</w:t>
      </w:r>
    </w:p>
    <w:p>
      <w:pPr>
        <w:spacing w:before="0" w:after="0" w:line="278"/>
        <w:ind w:right="1039" w:left="1289" w:firstLine="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Gabriella de Brito Malcher Melo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gabriellabmmelo@gmail.com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Universidade Federal do Amapá (Unifap)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Rafaela Assis Rodrigues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rafaelaassisr@gmail.com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FAMP- Faculdade Morgana Potrich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Isabelle Karolinne Bispo Andrade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isabelle.karolinne@souunit.com.br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Universidade Tiradentes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Abiana Santos da Cruz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abianasantos.as@gmail.com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Uniceuma renascença- medicina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Edduardo Willker Teixeira de Rezende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edduardo_willker@hotmail.com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Universidade CEUMA Imperatriz MA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Estela Pazeto Nolêto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estelapazeto@hotmail.com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UNAERP - Universidade de Ribeirão Preto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Ilan Iginio da Silva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iladf07@gmail.com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Faculdade Anhanguera de Brasília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Pedro Alves de Sousa.     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pedalvsou@gmail.com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Universidade Nove de Julho - Bauru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Laís Albuquerque Borges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laisalbuquerque_12@hotmail.com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Faculdade Zarns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Fabio Junior da Silva 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fabiojrsilva.med@gmail.com</w:t>
      </w:r>
    </w:p>
    <w:p>
      <w:pPr>
        <w:spacing w:before="0" w:after="0" w:line="278"/>
        <w:ind w:right="1039" w:left="1289" w:firstLine="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Universidade Federal do Sul da Bahia (UFSB)</w:t>
      </w:r>
    </w:p>
    <w:p>
      <w:pPr>
        <w:tabs>
          <w:tab w:val="left" w:pos="994" w:leader="none"/>
          <w:tab w:val="left" w:pos="3962" w:leader="none"/>
          <w:tab w:val="left" w:pos="6371" w:leader="none"/>
        </w:tabs>
        <w:spacing w:before="2" w:after="0" w:line="240"/>
        <w:ind w:right="0" w:left="31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7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88" w:after="0" w:line="240"/>
        <w:ind w:right="0" w:left="2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RESUMO</w:t>
      </w:r>
    </w:p>
    <w:p>
      <w:pPr>
        <w:spacing w:before="117" w:after="0" w:line="360"/>
        <w:ind w:right="288" w:left="28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575756"/>
          <w:spacing w:val="-1"/>
          <w:position w:val="0"/>
          <w:sz w:val="22"/>
          <w:shd w:fill="auto" w:val="clear"/>
        </w:rPr>
        <w:t xml:space="preserve">Objetivo: Analisar a eficácia da Oxigenação por Membrana Extracorpórea (ECMO, em inglês extracorporeal membrane oxygenation) antes, durante e depois do transplante de fígado. Metodologia: Realizou-se uma revisão integrativa com o intuito de examinar as situações em que a ECMO é recomendada no transplante de fígado, bem como suas possíveis complicações. Foram consultadas as bases de dados: MEDLINE, Web of Science e Scopus, considerando artigos publicados nos últimos 10 anos, em inglês e português. Resultados: A revisão incluiu 24 estudos, sendo 3 artigos originais e 21 relatos de caso. Os estudos foram classificados conforme o momento de utilização da ECMO em relação ao transplante de fígado: 1 durante o pré-operatório, 8 no intraoperatório e 15 no pós-operatório. Destacou-se que a ECMO é frequentemente utilizada para tratar complicações da síndrome hepatopulmonar. A escassez de artigos sobre o uso da ECMO no pré-operatório ressalta a importância do transplante de fígado como forma principal de tratar complicações hepáticas. Durante o procedimento cirúrgico, a ECMO é bastante eficaz no tratamento de problemas cardiorrespiratórios que não respondem a intervenções anteriores. No pós-operatório, a ECMO é comumente utilizada para tratar casos graves de hipoxemia associada à síndrome hepatopulmonar, quando outros tratamentos falharam. As principais complicações ocorridas com o uso da ECMO foram sepse, insuficiência renal e sangramento. Conclusão: A ECMO é uma terapia relevante para lidar com complicações decorrentes do transplante de fígado. No entanto, há poucos estudos na literatura com amostras adequadas para avaliar sua eficácia real e nível de segurança.</w:t>
      </w:r>
    </w:p>
    <w:p>
      <w:pPr>
        <w:spacing w:before="120" w:after="0" w:line="240"/>
        <w:ind w:right="0" w:left="2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75756"/>
          <w:spacing w:val="0"/>
          <w:position w:val="0"/>
          <w:sz w:val="18"/>
          <w:shd w:fill="auto" w:val="clear"/>
        </w:rPr>
        <w:t xml:space="preserve">Descritores:</w:t>
      </w:r>
      <w:r>
        <w:rPr>
          <w:rFonts w:ascii="Times New Roman" w:hAnsi="Times New Roman" w:cs="Times New Roman" w:eastAsia="Times New Roman"/>
          <w:b/>
          <w:color w:val="575756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75756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75756"/>
          <w:spacing w:val="0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575756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75756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575756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75756"/>
          <w:spacing w:val="0"/>
          <w:position w:val="0"/>
          <w:sz w:val="18"/>
          <w:shd w:fill="auto" w:val="clear"/>
        </w:rPr>
        <w:t xml:space="preserve">Fígado; Período</w:t>
      </w:r>
      <w:r>
        <w:rPr>
          <w:rFonts w:ascii="Times New Roman" w:hAnsi="Times New Roman" w:cs="Times New Roman" w:eastAsia="Times New Roman"/>
          <w:color w:val="575756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75756"/>
          <w:spacing w:val="0"/>
          <w:position w:val="0"/>
          <w:sz w:val="18"/>
          <w:shd w:fill="auto" w:val="clear"/>
        </w:rPr>
        <w:t xml:space="preserve">Perioperatório; Síndrome</w:t>
      </w:r>
      <w:r>
        <w:rPr>
          <w:rFonts w:ascii="Times New Roman" w:hAnsi="Times New Roman" w:cs="Times New Roman" w:eastAsia="Times New Roman"/>
          <w:color w:val="575756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75756"/>
          <w:spacing w:val="0"/>
          <w:position w:val="0"/>
          <w:sz w:val="18"/>
          <w:shd w:fill="auto" w:val="clear"/>
        </w:rPr>
        <w:t xml:space="preserve">Hepatopulmonar; Sepse.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8" w:after="0" w:line="240"/>
        <w:ind w:right="0" w:left="6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INTRODUÇÃO</w:t>
      </w:r>
    </w:p>
    <w:p>
      <w:pPr>
        <w:spacing w:before="102" w:after="0" w:line="302"/>
        <w:ind w:right="114" w:left="6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aplicado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1963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Startz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constante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prognóstico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submetidos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tratamento.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6"/>
            <w:sz w:val="10"/>
            <w:u w:val="single"/>
            <w:shd w:fill="auto" w:val="clear"/>
          </w:rPr>
          <w:t xml:space="preserve">1</w:t>
        </w:r>
      </w:hyperlink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auto"/>
          <w:spacing w:val="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desenvolvidas</w:t>
      </w:r>
      <w:r>
        <w:rPr>
          <w:rFonts w:ascii="Times New Roman" w:hAnsi="Times New Roman" w:cs="Times New Roman" w:eastAsia="Times New Roman"/>
          <w:color w:val="auto"/>
          <w:spacing w:val="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transplante,</w:t>
      </w:r>
      <w:r>
        <w:rPr>
          <w:rFonts w:ascii="Times New Roman" w:hAnsi="Times New Roman" w:cs="Times New Roman" w:eastAsia="Times New Roman"/>
          <w:color w:val="auto"/>
          <w:spacing w:val="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manejo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 complicações do pré- ao pós-operatório, incluindo insuficiência cardíaca, insuficiência respiratória grave e outras síndromes</w:t>
      </w:r>
      <w:r>
        <w:rPr>
          <w:rFonts w:ascii="Times New Roman" w:hAnsi="Times New Roman" w:cs="Times New Roman" w:eastAsia="Times New Roman"/>
          <w:color w:val="auto"/>
          <w:spacing w:val="-4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sistêmicas,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necessitam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terapias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alternativas.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6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oxigenação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membrana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extracorpórea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6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inglês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6"/>
          <w:sz w:val="18"/>
          <w:shd w:fill="auto" w:val="clear"/>
        </w:rPr>
        <w:t xml:space="preserve">extracorporeal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membrane oxygenation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) é uma modalidade terapêutica que garante as trocas gasosas, a ventilação mecânica e o suporte para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fluxo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sanguíneo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sistêmico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pulmonar.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oxigenação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assegura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respiratória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cardíaca,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tornando-se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frequente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associadas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hepático.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4</w:t>
      </w:r>
    </w:p>
    <w:p>
      <w:pPr>
        <w:spacing w:before="0" w:after="0" w:line="302"/>
        <w:ind w:right="118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aponta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2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períodos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intraoperatório,</w:t>
      </w:r>
      <w:r>
        <w:rPr>
          <w:rFonts w:ascii="Times New Roman" w:hAnsi="Times New Roman" w:cs="Times New Roman" w:eastAsia="Times New Roman"/>
          <w:color w:val="auto"/>
          <w:spacing w:val="-2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2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pós-reperfusão</w:t>
      </w:r>
      <w:r>
        <w:rPr>
          <w:rFonts w:ascii="Times New Roman" w:hAnsi="Times New Roman" w:cs="Times New Roman" w:eastAsia="Times New Roman"/>
          <w:color w:val="auto"/>
          <w:spacing w:val="-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grave,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pós-operatório,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angústia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respiratória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hepatopulmonar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persistente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resquicial.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0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entanto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6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controversa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indicações.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contexto,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alguns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mostram</w:t>
      </w:r>
      <w:r>
        <w:rPr>
          <w:rFonts w:ascii="Times New Roman" w:hAnsi="Times New Roman" w:cs="Times New Roman" w:eastAsia="Times New Roman"/>
          <w:color w:val="auto"/>
          <w:spacing w:val="-1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complicações,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sepse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sangramentos,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dificultam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ponderação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detrimento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riscos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conduta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clínica.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0"/>
          <w:shd w:fill="auto" w:val="clear"/>
        </w:rPr>
        <w:t xml:space="preserve">7</w:t>
      </w:r>
    </w:p>
    <w:p>
      <w:pPr>
        <w:spacing w:before="0" w:after="0" w:line="302"/>
        <w:ind w:right="117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Diante disso, essa revisão tem como objetivo avaliar a indicação da ECMO durante os períodos pré-, intra- e pós-operatórios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03" w:after="0" w:line="240"/>
        <w:ind w:right="0" w:left="6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MÉTODOS</w:t>
      </w:r>
    </w:p>
    <w:p>
      <w:pPr>
        <w:spacing w:before="101" w:after="0" w:line="302"/>
        <w:ind w:right="117" w:left="6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Esse estudo se configura como uma revisão integrativa, o qual utilizou o protocolo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Preferred Reporting Items for Systematic Reviews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and Meta-Analysis (PRISMA)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para análise das indicações da ECMO no paciente no pré-, intra- e pós-operatório de transplante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hepático.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debate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centrou-se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tópico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“transplante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hepático”,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atingido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método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FINER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Factível,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Interessante,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Nova, Ética e Relevante),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 maneira a levantar uma técnica atual e que gerasse uma discussão a respeito dos benefícios de sua</w:t>
      </w:r>
      <w:r>
        <w:rPr>
          <w:rFonts w:ascii="Times New Roman" w:hAnsi="Times New Roman" w:cs="Times New Roman" w:eastAsia="Times New Roman"/>
          <w:color w:val="auto"/>
          <w:spacing w:val="-4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tal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procedimento.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Estabeleceu-se,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seguida,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elementos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método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PICO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.</w:t>
      </w:r>
    </w:p>
    <w:tbl>
      <w:tblPr>
        <w:tblInd w:w="7" w:type="dxa"/>
      </w:tblPr>
      <w:tblGrid>
        <w:gridCol w:w="1318"/>
        <w:gridCol w:w="3546"/>
        <w:gridCol w:w="4334"/>
      </w:tblGrid>
      <w:tr>
        <w:trPr>
          <w:trHeight w:val="210" w:hRule="auto"/>
          <w:jc w:val="left"/>
        </w:trPr>
        <w:tc>
          <w:tcPr>
            <w:tcW w:w="1318" w:type="dxa"/>
            <w:tcBorders>
              <w:top w:val="single" w:color="000000" w:sz="0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47" w:left="382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</w:t>
            </w:r>
          </w:p>
        </w:tc>
        <w:tc>
          <w:tcPr>
            <w:tcW w:w="3546" w:type="dxa"/>
            <w:tcBorders>
              <w:top w:val="single" w:color="000000" w:sz="0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82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4" w:type="dxa"/>
            <w:tcBorders>
              <w:top w:val="single" w:color="000000" w:sz="0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1223" w:left="8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sexo,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idade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etnia</w:t>
            </w:r>
          </w:p>
        </w:tc>
      </w:tr>
      <w:tr>
        <w:trPr>
          <w:trHeight w:val="197" w:hRule="auto"/>
          <w:jc w:val="left"/>
        </w:trPr>
        <w:tc>
          <w:tcPr>
            <w:tcW w:w="1318" w:type="dxa"/>
            <w:tcBorders>
              <w:top w:val="single" w:color="353666" w:sz="4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565" w:left="382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</w:t>
            </w:r>
          </w:p>
        </w:tc>
        <w:tc>
          <w:tcPr>
            <w:tcW w:w="3546" w:type="dxa"/>
            <w:tcBorders>
              <w:top w:val="single" w:color="353666" w:sz="4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812" w:left="52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Intervenção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tópico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interesse</w:t>
            </w:r>
          </w:p>
        </w:tc>
        <w:tc>
          <w:tcPr>
            <w:tcW w:w="4334" w:type="dxa"/>
            <w:tcBorders>
              <w:top w:val="single" w:color="353666" w:sz="4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1223" w:left="8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Emprego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ECMO</w:t>
            </w:r>
          </w:p>
        </w:tc>
      </w:tr>
      <w:tr>
        <w:trPr>
          <w:trHeight w:val="197" w:hRule="auto"/>
          <w:jc w:val="left"/>
        </w:trPr>
        <w:tc>
          <w:tcPr>
            <w:tcW w:w="1318" w:type="dxa"/>
            <w:tcBorders>
              <w:top w:val="single" w:color="353666" w:sz="4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539" w:left="382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</w:t>
            </w:r>
          </w:p>
        </w:tc>
        <w:tc>
          <w:tcPr>
            <w:tcW w:w="3546" w:type="dxa"/>
            <w:tcBorders>
              <w:top w:val="single" w:color="353666" w:sz="4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812" w:left="52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Controle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comparação</w:t>
            </w:r>
          </w:p>
        </w:tc>
        <w:tc>
          <w:tcPr>
            <w:tcW w:w="4334" w:type="dxa"/>
            <w:tcBorders>
              <w:top w:val="single" w:color="353666" w:sz="4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1223" w:left="8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utilização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ECMO</w:t>
            </w:r>
          </w:p>
        </w:tc>
      </w:tr>
      <w:tr>
        <w:trPr>
          <w:trHeight w:val="184" w:hRule="auto"/>
          <w:jc w:val="left"/>
        </w:trPr>
        <w:tc>
          <w:tcPr>
            <w:tcW w:w="1318" w:type="dxa"/>
            <w:tcBorders>
              <w:top w:val="single" w:color="353666" w:sz="4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532" w:left="3829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</w:p>
        </w:tc>
        <w:tc>
          <w:tcPr>
            <w:tcW w:w="3546" w:type="dxa"/>
            <w:tcBorders>
              <w:top w:val="single" w:color="353666" w:sz="4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812" w:left="52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Desfecho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resultados</w:t>
            </w:r>
          </w:p>
        </w:tc>
        <w:tc>
          <w:tcPr>
            <w:tcW w:w="4334" w:type="dxa"/>
            <w:tcBorders>
              <w:top w:val="single" w:color="353666" w:sz="4"/>
              <w:left w:val="single" w:color="000000" w:sz="0"/>
              <w:bottom w:val="single" w:color="353666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1223" w:left="8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Diminuição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taxa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mortalidade</w:t>
            </w:r>
          </w:p>
        </w:tc>
      </w:tr>
    </w:tbl>
    <w:p>
      <w:pPr>
        <w:spacing w:before="68" w:after="0" w:line="240"/>
        <w:ind w:right="0" w:left="38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2"/>
          <w:shd w:fill="auto" w:val="clear"/>
        </w:rPr>
      </w:pPr>
    </w:p>
    <w:p>
      <w:pPr>
        <w:spacing w:before="0" w:after="0" w:line="302"/>
        <w:ind w:right="117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Dessa forma, elaborou-se a pergunta norteadora deste estudo: “O uso de ECMO no perioperatório de adultos em transplante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fator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mortalidade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comparado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instrumento?”</w:t>
      </w:r>
    </w:p>
    <w:p>
      <w:pPr>
        <w:spacing w:before="0" w:after="0" w:line="302"/>
        <w:ind w:right="117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Foram utilizadas as bases de dados que abrangem um maior número de evidências acerca do problema de pesquisa, dentre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eles: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MEDLINE,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Web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Science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Scopus.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executada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adultos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pré-,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intra-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pós-operatório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necessária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manejo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eliminando a população pediátrica e outras patologias com indicação de ECMO, como COVID-19. Todas as fontes 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consultadas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2022.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registrada.</w:t>
      </w:r>
    </w:p>
    <w:p>
      <w:pPr>
        <w:numPr>
          <w:ilvl w:val="0"/>
          <w:numId w:val="43"/>
        </w:numPr>
        <w:tabs>
          <w:tab w:val="left" w:pos="961" w:leader="none"/>
        </w:tabs>
        <w:spacing w:before="0" w:after="0" w:line="302"/>
        <w:ind w:right="119" w:left="960" w:hanging="17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MEDLINE: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((Liver_Transplantation[Title/Abstract])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(ECMO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Extracorporeal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Membrane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Oxygenation[Title/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Abstract]))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((“2012/01/01”[Date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Publication]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“3000”[Date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Publication]))</w:t>
      </w:r>
    </w:p>
    <w:p>
      <w:pPr>
        <w:numPr>
          <w:ilvl w:val="0"/>
          <w:numId w:val="43"/>
        </w:numPr>
        <w:tabs>
          <w:tab w:val="left" w:pos="961" w:leader="none"/>
        </w:tabs>
        <w:spacing w:before="0" w:after="0" w:line="302"/>
        <w:ind w:right="118" w:left="960" w:hanging="17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Web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Science: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((TS=(Liver_Transplantation)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TS=(ECMO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Extracorporeal_Membrane_Oxygenation)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PY=(2012-2022))</w:t>
      </w:r>
    </w:p>
    <w:p>
      <w:pPr>
        <w:numPr>
          <w:ilvl w:val="0"/>
          <w:numId w:val="43"/>
        </w:numPr>
        <w:tabs>
          <w:tab w:val="left" w:pos="961" w:leader="none"/>
        </w:tabs>
        <w:spacing w:before="0" w:after="0" w:line="302"/>
        <w:ind w:right="119" w:left="960" w:hanging="17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Scopus: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(TITLE-ABS-KEY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liver_transplation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TITLE-ABS-KEY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(ecmo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extracorporeal_membrane_oxygenation))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PUBYEAR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&gt;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2011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PUBYEAR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&gt;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2011</w:t>
      </w:r>
    </w:p>
    <w:p>
      <w:pPr>
        <w:spacing w:before="0" w:after="0" w:line="30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34" w:after="0" w:line="240"/>
        <w:ind w:right="0" w:left="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16"/>
          <w:shd w:fill="auto" w:val="clear"/>
        </w:rPr>
        <w:t xml:space="preserve">Seleção</w:t>
      </w:r>
    </w:p>
    <w:p>
      <w:pPr>
        <w:spacing w:before="89" w:after="0" w:line="240"/>
        <w:ind w:right="0" w:left="1682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4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9"/>
          <w:shd w:fill="auto" w:val="clear"/>
        </w:rPr>
      </w:pPr>
    </w:p>
    <w:p>
      <w:pPr>
        <w:spacing w:before="110" w:after="0" w:line="307"/>
        <w:ind w:right="117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inclusão,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incluídos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originais,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inglês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português,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publicados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 com procedimento realizado em indivíduos com faixa etária acima de 18 anos. Os critérios utilizados para exclusão 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artigos com tipo de estudo inadequado, como carta ao leitor, editorial, revisões e anais de congressos; artigos centrados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pediátrica;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fogem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revisão,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discutiam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paralelas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às doenças hepáticas ou não discutiam exclusivamente o transplante hepático, como por exemplo transplantes simultâneos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Relatos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incluídos,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nível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evidência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científica,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originais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mostrou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limitada,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comprometendo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revisão.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2,6,11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10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Utilizou-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6"/>
          <w:sz w:val="18"/>
          <w:shd w:fill="auto" w:val="clear"/>
        </w:rPr>
        <w:t xml:space="preserve">Critically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Appraised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Topic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(CAT)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Manager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App</w:t>
      </w:r>
      <w:r>
        <w:rPr>
          <w:rFonts w:ascii="Times New Roman" w:hAnsi="Times New Roman" w:cs="Times New Roman" w:eastAsia="Times New Roman"/>
          <w:i/>
          <w:color w:val="auto"/>
          <w:spacing w:val="-4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para avaliar os riscos de vieses do estudo. Identificaram-se como limitações: presença de estudo não randomizado, presença de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efeito.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11" w:after="0" w:line="240"/>
        <w:ind w:right="0" w:left="6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RESULTADOS</w:t>
      </w:r>
    </w:p>
    <w:p>
      <w:pPr>
        <w:spacing w:before="34" w:after="0" w:line="307"/>
        <w:ind w:right="0" w:left="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16"/>
          <w:shd w:fill="auto" w:val="clear"/>
        </w:rPr>
        <w:t xml:space="preserve">Identificação</w:t>
      </w:r>
    </w:p>
    <w:p>
      <w:pPr>
        <w:spacing w:before="107" w:after="0" w:line="307"/>
        <w:ind w:right="119" w:left="6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incluídos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artigos,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eram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originais.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divididos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período da aplicação da ECMO em relação ao transplante hepático: 1 em relação ao pré-operatório, 8 ao intraoperatório e 15 no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pós-operatório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.</w:t>
      </w:r>
    </w:p>
    <w:p>
      <w:pPr>
        <w:spacing w:before="34" w:after="0" w:line="240"/>
        <w:ind w:right="0" w:left="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16"/>
          <w:shd w:fill="auto" w:val="clear"/>
        </w:rPr>
        <w:t xml:space="preserve">Incluídos</w:t>
      </w:r>
    </w:p>
    <w:p>
      <w:pPr>
        <w:spacing w:before="89" w:after="0" w:line="240"/>
        <w:ind w:right="0" w:left="6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Pré-operatório</w:t>
      </w:r>
    </w:p>
    <w:p>
      <w:pPr>
        <w:spacing w:before="105" w:after="0" w:line="304"/>
        <w:ind w:right="118" w:left="6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aborda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pré-operatório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demonstra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dispositivo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estabilização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portopulmonar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(Tabela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2).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duas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tentativas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distintas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porém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não suportava a anestesia geral e era refratária ao uso de vasopressores. A ECMO foi utilizada como uma estratégia para evitar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desequilíbrio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sistêmico,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mostrou-se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eficiente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tal,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garantindo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operação,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causar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diretas.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7</w:t>
      </w:r>
    </w:p>
    <w:p>
      <w:pPr>
        <w:spacing w:before="0" w:after="0" w:line="249"/>
        <w:ind w:right="33" w:left="1473" w:hanging="59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trombose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intracardíaca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pós-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reperfusão.</w:t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61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129" w:after="0" w:line="304"/>
        <w:ind w:right="118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et al.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citam o uso da ECMO no paciente com grave disfunção cardiocirculatória prévia visando atenuar o estresse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transplante.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20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Martucci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2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i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citam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portopulmonar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elegível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uso.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Outras situações, como a oclusão de veias importantes na drenagem circulatória, como a braquicefálica, jugular interna e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subclávia, também foram condições avaliadas para o uso da ECMO.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Já nos casos de repercussão hemodinâmica decorrente de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síndrome pós-reperfusão grave, seis artigos relataram a temática, sendo dois trabalhos acerca de parada cardíaca,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15,16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enquanto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outros mostraram arritmia,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trombose intracardíaca,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embolia pulmonar severa,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 choque cardiogênico.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Em quatro deles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foram realizadas manobras de reanimação cardiopulmonar com drogas vasoativas, porém, sem sucesso.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18,20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Neles, o ritmo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cardíaco foi retomado após o uso da ECMO, sem grandes complicações associadas desenvolvidas. Já em outro, a reanimação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cardíaca obteve sucesso antes da instalação, entretanto o paciente evoluiu para um choque séptico no pós-operatório, evoluindo</w:t>
      </w:r>
      <w:r>
        <w:rPr>
          <w:rFonts w:ascii="Times New Roman" w:hAnsi="Times New Roman" w:cs="Times New Roman" w:eastAsia="Times New Roman"/>
          <w:color w:val="auto"/>
          <w:spacing w:val="-4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ao óbito.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Quanto ao caso de embolia pulmonar severa, o paciente apresentou choque, com demanda de vasopressores para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hemodinâmico,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melhora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sistêmica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ECMO,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desenvolver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complicações.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19</w:t>
      </w:r>
    </w:p>
    <w:p>
      <w:pPr>
        <w:spacing w:before="10" w:after="0" w:line="304"/>
        <w:ind w:right="117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Além desses, Chou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et al.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demonstraram em um estudo de coorte retrospectivo de escala nacional, feito em Taiwan, o uso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perioperatório,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envolvendo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intra-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pós-operatório.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utilizada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Nacional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NHIRD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) para comparar a mortalidade de pacientes com cirrose hepática submetidos ao uso de ECMO, com pessoas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cirrose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submetidas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ECMO,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2013.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7.003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analisados,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233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tinham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cirrose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destes,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submetidos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submetidos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ECMO;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84,2%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cirrose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usaram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fizeram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vieram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óbito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anos.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mortalidade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fizeram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4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hepático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maior: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submetidos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intraoperatório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faleceram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admissão,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submetidos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pós-operatório,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faleceram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anos.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12</w:t>
      </w:r>
    </w:p>
    <w:p>
      <w:pPr>
        <w:spacing w:before="10" w:after="0" w:line="304"/>
        <w:ind w:right="117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</w:p>
    <w:p>
      <w:pPr>
        <w:spacing w:before="26" w:after="0" w:line="240"/>
        <w:ind w:right="0" w:left="6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Pós-operatório</w:t>
      </w:r>
    </w:p>
    <w:p>
      <w:pPr>
        <w:spacing w:before="105" w:after="0" w:line="304"/>
        <w:ind w:right="0" w:left="6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amplamente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referenciada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pós-operatório,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exemplificado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62,5%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revisados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(15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total)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(Tabela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4).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estudos,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estavam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onze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relatos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11,13,21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1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duas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séries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19,26</w:t>
      </w:r>
      <w:r>
        <w:rPr>
          <w:rFonts w:ascii="Times New Roman" w:hAnsi="Times New Roman" w:cs="Times New Roman" w:eastAsia="Times New Roman"/>
          <w:color w:val="auto"/>
          <w:spacing w:val="1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originais,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0"/>
          <w:shd w:fill="auto" w:val="clear"/>
        </w:rPr>
        <w:t xml:space="preserve">2,6</w:t>
      </w:r>
      <w:r>
        <w:rPr>
          <w:rFonts w:ascii="Times New Roman" w:hAnsi="Times New Roman" w:cs="Times New Roman" w:eastAsia="Times New Roman"/>
          <w:color w:val="auto"/>
          <w:spacing w:val="7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indicações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síndromes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respiratórias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graves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cardiovasculares.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 desse cenário, seis abordaram síndrome hepatopulmonar resquicial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11,19,23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 seis trataram da síndrome de angústia respiratória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secundária.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6,19,21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23,26</w:t>
      </w:r>
      <w:r>
        <w:rPr>
          <w:rFonts w:ascii="Times New Roman" w:hAnsi="Times New Roman" w:cs="Times New Roman" w:eastAsia="Times New Roman"/>
          <w:color w:val="auto"/>
          <w:spacing w:val="14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cenários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cardiovascular,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ventilação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mecânica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convencionais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mostraram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ineficientes;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relatou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trombos,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5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abordou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 a embolia pulmonar severa e parada cardiorrespiratória,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um discutiu choque cardiogênico,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um trombose da veia porta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 um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congestão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pulmonar.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2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frequente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protocolo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choque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séptico,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-2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analisados,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2,13,22</w:t>
      </w:r>
      <w:r>
        <w:rPr>
          <w:rFonts w:ascii="Times New Roman" w:hAnsi="Times New Roman" w:cs="Times New Roman" w:eastAsia="Times New Roman"/>
          <w:color w:val="auto"/>
          <w:spacing w:val="10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entanto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quadros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estavam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acompanhados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insuficiências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respiratórias.</w:t>
      </w:r>
    </w:p>
    <w:p>
      <w:pPr>
        <w:spacing w:before="110" w:after="0" w:line="316"/>
        <w:ind w:right="118" w:left="620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tratou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tipos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ECMO,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onze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relatos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apresentaram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severas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relacionadas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suporte.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13,27</w:t>
      </w:r>
      <w:r>
        <w:rPr>
          <w:rFonts w:ascii="Times New Roman" w:hAnsi="Times New Roman" w:cs="Times New Roman" w:eastAsia="Times New Roman"/>
          <w:color w:val="auto"/>
          <w:spacing w:val="12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séries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casos,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relatado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Goussous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sete</w:t>
      </w:r>
      <w:r>
        <w:rPr>
          <w:rFonts w:ascii="Times New Roman" w:hAnsi="Times New Roman" w:cs="Times New Roman" w:eastAsia="Times New Roman"/>
          <w:color w:val="auto"/>
          <w:spacing w:val="-4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pôde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decanulado,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sofreram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renal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demandaram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reoperados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sangramentos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internos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graves.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decanulados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necessitaram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traqueostomia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4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vieram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óbito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fungemia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insuficiência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respiratória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veio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óbito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paralelas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ECMO;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2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Braun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6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6"/>
          <w:sz w:val="18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relataram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renal,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bacteremia,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traqueostomia,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oito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sobreviveram.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26</w:t>
      </w:r>
    </w:p>
    <w:p>
      <w:pPr>
        <w:spacing w:before="1" w:after="0" w:line="316"/>
        <w:ind w:right="118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Ademais,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Seo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8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i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discutem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angústia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respiratória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8"/>
          <w:shd w:fill="auto" w:val="clear"/>
        </w:rPr>
        <w:t xml:space="preserve">SARA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estudar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dispositivo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haviam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refratários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estabelecidos.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69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total,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chegando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sobrevivência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18,8%,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35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vieram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óbito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ECMO.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Lee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6"/>
          <w:sz w:val="18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publicaram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retrospectivo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teve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analisar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emprego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choque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séptico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4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 tratamento convencional ser ineficiente. Ao todo foram oito indivíduos estudados, dos quais dois sobreviveram, os quais não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sofreram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diretas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ECMO.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conclusão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utilizada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4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resgate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choque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séptico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refratário,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sobrevivência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25%.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03" w:after="0" w:line="240"/>
        <w:ind w:right="0" w:left="6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DISCUSSÃO</w:t>
      </w:r>
    </w:p>
    <w:p>
      <w:pPr>
        <w:spacing w:before="104" w:after="0" w:line="304"/>
        <w:ind w:right="115" w:left="6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secundárias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hepático,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principalmente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cardiopulmonar.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Duas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modalidades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atualmente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empregadas,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venovenosa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(ECMO-VV)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venoarterial</w:t>
      </w:r>
      <w:r>
        <w:rPr>
          <w:rFonts w:ascii="Times New Roman" w:hAnsi="Times New Roman" w:cs="Times New Roman" w:eastAsia="Times New Roman"/>
          <w:color w:val="auto"/>
          <w:spacing w:val="-1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(ECMO-VA),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color w:val="auto"/>
          <w:spacing w:val="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envolvida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hemodinâmico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suporte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pulmonar,</w:t>
      </w:r>
      <w:r>
        <w:rPr>
          <w:rFonts w:ascii="Times New Roman" w:hAnsi="Times New Roman" w:cs="Times New Roman" w:eastAsia="Times New Roman"/>
          <w:color w:val="auto"/>
          <w:spacing w:val="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é a base dessa terapia cardiopulmonar.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 ECMO possui taxa de 30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40% de sobreviv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ência em pacientes que não apresentavam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prognósticos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favoráveis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sobrevivência,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exemplo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hepatopulmonar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grave,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3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contexto.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Essa condição envolve a simultaneidade de hipoxemia grave e doença hepática avançada, causando falência sistêmica que, por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vezes,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refratária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convencional,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exigindo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intervenção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5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recurso,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29</w:t>
      </w:r>
    </w:p>
    <w:p>
      <w:pPr>
        <w:spacing w:before="0" w:after="0" w:line="304"/>
        <w:ind w:right="117" w:left="620" w:firstLine="170"/>
        <w:jc w:val="both"/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selecionados,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abordou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pré-operatório.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Sabe-se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complexidade,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invasivo,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utilizado,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geralmente,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convencionais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terem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mostrado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ineficazes.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13"/>
          <w:position w:val="6"/>
          <w:sz w:val="1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forma,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necessita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ponderação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assídua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riscos,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protocolos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estruturados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específico.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Exemplo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disso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escrito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Barbas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6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6"/>
          <w:sz w:val="18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ECMO-VA</w:t>
      </w:r>
      <w:r>
        <w:rPr>
          <w:rFonts w:ascii="Times New Roman" w:hAnsi="Times New Roman" w:cs="Times New Roman" w:eastAsia="Times New Roman"/>
          <w:color w:val="auto"/>
          <w:spacing w:val="-7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empregada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estratégia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sobrevivência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hepático.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1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possuía</w:t>
      </w:r>
      <w:r>
        <w:rPr>
          <w:rFonts w:ascii="Times New Roman" w:hAnsi="Times New Roman" w:cs="Times New Roman" w:eastAsia="Times New Roman"/>
          <w:color w:val="auto"/>
          <w:spacing w:val="-1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portopulmonar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duas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tentativas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abortadas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instabilidade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hemodinâmica</w:t>
      </w:r>
      <w:r>
        <w:rPr>
          <w:rFonts w:ascii="Times New Roman" w:hAnsi="Times New Roman" w:cs="Times New Roman" w:eastAsia="Times New Roman"/>
          <w:color w:val="auto"/>
          <w:spacing w:val="-9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indução</w:t>
      </w:r>
      <w:r>
        <w:rPr>
          <w:rFonts w:ascii="Times New Roman" w:hAnsi="Times New Roman" w:cs="Times New Roman" w:eastAsia="Times New Roman"/>
          <w:color w:val="auto"/>
          <w:spacing w:val="-8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anestésica,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instalação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pré-operatória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necessária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melhora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6"/>
          <w:sz w:val="18"/>
          <w:shd w:fill="auto" w:val="clear"/>
        </w:rPr>
        <w:t xml:space="preserve">gradual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pulmonar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fim,</w:t>
      </w:r>
      <w:r>
        <w:rPr>
          <w:rFonts w:ascii="Times New Roman" w:hAnsi="Times New Roman" w:cs="Times New Roman" w:eastAsia="Times New Roman"/>
          <w:color w:val="auto"/>
          <w:spacing w:val="-11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6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8"/>
          <w:shd w:fill="auto" w:val="clear"/>
        </w:rPr>
        <w:t xml:space="preserve">cirurgia.</w:t>
      </w:r>
      <w:r>
        <w:rPr>
          <w:rFonts w:ascii="Times New Roman" w:hAnsi="Times New Roman" w:cs="Times New Roman" w:eastAsia="Times New Roman"/>
          <w:color w:val="auto"/>
          <w:spacing w:val="-2"/>
          <w:position w:val="6"/>
          <w:sz w:val="10"/>
          <w:shd w:fill="auto" w:val="clear"/>
        </w:rPr>
        <w:t xml:space="preserve">7</w:t>
      </w:r>
    </w:p>
    <w:p>
      <w:pPr>
        <w:spacing w:before="187" w:after="0" w:line="240"/>
        <w:ind w:right="0" w:left="6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CONCLUSÃO</w:t>
      </w:r>
    </w:p>
    <w:p>
      <w:pPr>
        <w:spacing w:before="103" w:after="0" w:line="304"/>
        <w:ind w:right="118" w:left="6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Conclui-se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manejo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diversos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cenários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pré-,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intra-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pós-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operatório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transplante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hepático.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entanto,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riscos,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comedido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cardiopulmonar,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visto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complicações,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sangramentos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sepse.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Faz-se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emprego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criar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protocolos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detalhados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eficaz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segura.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REFERÊNCIAS</w:t>
      </w:r>
    </w:p>
    <w:p>
      <w:pPr>
        <w:numPr>
          <w:ilvl w:val="0"/>
          <w:numId w:val="75"/>
        </w:numPr>
        <w:tabs>
          <w:tab w:val="left" w:pos="981" w:leader="none"/>
        </w:tabs>
        <w:spacing w:before="162" w:after="0" w:line="240"/>
        <w:ind w:right="118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Meirelles Júnior RF, Salvalaggio P, Rezende MB, Evangelista AS, Guardia BD, Matielo CEL,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Liver transplantation: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History,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outcomes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perspectives.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Einstein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Paulo.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2015;13(1):149-52.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706F6F"/>
            <w:spacing w:val="0"/>
            <w:position w:val="0"/>
            <w:sz w:val="18"/>
            <w:u w:val="single"/>
            <w:shd w:fill="auto" w:val="clear"/>
          </w:rPr>
          <w:t xml:space="preserve">https://doi.org/10.1590/S1679-45082015RW3164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4" w:after="0" w:line="240"/>
        <w:ind w:right="118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Lee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KW,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Cho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CW,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Lee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N,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Choi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GS,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Cho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YH,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Kim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JM,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Extracorporeal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membrane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oxygenation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support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refractory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septic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shock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liver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transplantation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recipients.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Ann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Surg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Treat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2017;93(3):152-8.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https://doi.org/10.4174/astr.2017.93.3.152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4" w:after="0" w:line="240"/>
        <w:ind w:right="118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Tramm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Ilic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Davies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AR,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Pellegrino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VA,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Romero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Hodgson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Extracorporeal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membrane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oxygenation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critically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ill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adults.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Cochrane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Database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Syst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Rev.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2015;1(1):CD010381.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https://doi.org/10.1002/14651858.cd010381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3" w:after="0" w:line="240"/>
        <w:ind w:right="118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Hogen R, Sedra AH, Motamed A, Emamaullee J. The evolving role of ECMO in liver transplantation. Curr Opin Organ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2021;26(3):333-8.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https://doi.org/10.1097/mot.0000000000000874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4" w:after="0" w:line="240"/>
        <w:ind w:right="117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Voulgarelis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S,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Hong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JC,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Zimmerman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MA,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Kim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J,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Scott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JP.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novel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escalation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veno-venous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bypass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veno-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venous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ECMO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during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orthotopic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liver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transplantation.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report.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Perfusion.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2021;36(8):861-3.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706F6F"/>
            <w:spacing w:val="0"/>
            <w:position w:val="0"/>
            <w:sz w:val="18"/>
            <w:u w:val="single"/>
            <w:shd w:fill="auto" w:val="clear"/>
          </w:rPr>
          <w:t xml:space="preserve">https://doi.</w:t>
        </w:r>
      </w:hyperlink>
      <w:r>
        <w:rPr>
          <w:rFonts w:ascii="Times New Roman" w:hAnsi="Times New Roman" w:cs="Times New Roman" w:eastAsia="Times New Roman"/>
          <w:color w:val="706F6F"/>
          <w:spacing w:val="1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706F6F"/>
            <w:spacing w:val="0"/>
            <w:position w:val="0"/>
            <w:sz w:val="18"/>
            <w:u w:val="single"/>
            <w:shd w:fill="auto" w:val="clear"/>
          </w:rPr>
          <w:t xml:space="preserve">org/10.1177/0267659120973592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4" w:after="0" w:line="240"/>
        <w:ind w:right="118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Seo DJ, Yoo JS, Kim JB, Jung SH, Choo SJ, Chung CH,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Venovenous extracorporeal membrane oxygenation for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postoperative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acute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respiratory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distress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syndrome.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Korean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Thorac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Cardiovasc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Surg.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2015;48(3):180-6.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706F6F"/>
            <w:spacing w:val="0"/>
            <w:position w:val="0"/>
            <w:sz w:val="18"/>
            <w:u w:val="single"/>
            <w:shd w:fill="auto" w:val="clear"/>
          </w:rPr>
          <w:t xml:space="preserve">https://doi.</w:t>
        </w:r>
      </w:hyperlink>
      <w:r>
        <w:rPr>
          <w:rFonts w:ascii="Times New Roman" w:hAnsi="Times New Roman" w:cs="Times New Roman" w:eastAsia="Times New Roman"/>
          <w:color w:val="706F6F"/>
          <w:spacing w:val="-42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706F6F"/>
            <w:spacing w:val="0"/>
            <w:position w:val="0"/>
            <w:sz w:val="18"/>
            <w:u w:val="single"/>
            <w:shd w:fill="auto" w:val="clear"/>
          </w:rPr>
          <w:t xml:space="preserve">org/10.5090/kjtcs.2015.48.3.180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4" w:after="0" w:line="240"/>
        <w:ind w:right="118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Barbas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AS,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Schroder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JN,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Borle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DP,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Suarez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Abraham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Manning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MW,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Planned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initiation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venoarterial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extracorporeal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membrane oxygenation prior to liver transplantation in a patient with severe portopulmonary hypertension. Liver Transpl.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2021;27(5):760-2.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https://doi.org/10.1002/lt.25871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4" w:after="0" w:line="240"/>
        <w:ind w:right="118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Page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MJ,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McKenzie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JE,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Bossuyt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PM,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Boutron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Hoffmann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TC,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Mulrow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CD,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PRISMA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statement: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updated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guideline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reporting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systematic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reviews.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BMJ.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2021;372:71.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https://doi.org/10.1136/bmj.n71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4" w:after="0" w:line="240"/>
        <w:ind w:right="118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Fontelles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MJ,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Simões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Farias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SH,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Fontelles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RGS.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Metodologia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científica: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diretrizes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protocolo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pesquisa.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Med.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[citado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2022].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706F6F"/>
            <w:spacing w:val="-1"/>
            <w:position w:val="0"/>
            <w:sz w:val="18"/>
            <w:u w:val="single"/>
            <w:shd w:fill="auto" w:val="clear"/>
          </w:rPr>
          <w:t xml:space="preserve">http://files.bvs.br/upload/S/0101-5907/2009/</w:t>
        </w:r>
      </w:hyperlink>
      <w:r>
        <w:rPr>
          <w:rFonts w:ascii="Times New Roman" w:hAnsi="Times New Roman" w:cs="Times New Roman" w:eastAsia="Times New Roman"/>
          <w:color w:val="706F6F"/>
          <w:spacing w:val="-42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706F6F"/>
            <w:spacing w:val="0"/>
            <w:position w:val="0"/>
            <w:sz w:val="18"/>
            <w:u w:val="single"/>
            <w:shd w:fill="auto" w:val="clear"/>
          </w:rPr>
          <w:t xml:space="preserve">v23n3/a1967.pdf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4" w:after="0" w:line="240"/>
        <w:ind w:right="117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Santos CMC, Pimenta CAM, Nobre MRC. The PICO strategy for the research question construction and evidence search.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Latino-Am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Enfermagem.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2007;15(3):508-11.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https://doi.org/10.1590/S0104-11692007000300023</w:t>
        </w:r>
      </w:hyperlink>
    </w:p>
    <w:p>
      <w:pPr>
        <w:numPr>
          <w:ilvl w:val="0"/>
          <w:numId w:val="75"/>
        </w:numPr>
        <w:tabs>
          <w:tab w:val="left" w:pos="981" w:leader="none"/>
        </w:tabs>
        <w:spacing w:before="114" w:after="0" w:line="240"/>
        <w:ind w:right="118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Gagnon AI, De Wolf A, Hudcova J, Axelrod DA. Perioperative management of patients with hepatopulmonary syndrome.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Curr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Transplant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Rep.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2018;5:282-8.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https://doi.org/10.1007/s40472-018-0208-7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3">
    <w:abstractNumId w:val="6"/>
  </w:num>
  <w:num w:numId="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7" Type="http://schemas.openxmlformats.org/officeDocument/2006/relationships/numbering" /><Relationship TargetMode="External" Target="https://doi.org/10.1177/0267659120973592" Id="docRId7" Type="http://schemas.openxmlformats.org/officeDocument/2006/relationships/hyperlink" /><Relationship TargetMode="External" Target="https://doi.org/10.5090/kjtcs.2015.48.3.180" Id="docRId10" Type="http://schemas.openxmlformats.org/officeDocument/2006/relationships/hyperlink" /><Relationship TargetMode="External" Target="http://files.bvs.br/upload/S/0101-5907/2009/v23n3/a1967.pdf" Id="docRId14" Type="http://schemas.openxmlformats.org/officeDocument/2006/relationships/hyperlink" /><Relationship Target="styles.xml" Id="docRId18" Type="http://schemas.openxmlformats.org/officeDocument/2006/relationships/styles" /><Relationship TargetMode="External" Target="https://www.zotero.org/google-docs/?5larF5" Id="docRId2" Type="http://schemas.openxmlformats.org/officeDocument/2006/relationships/hyperlink" /><Relationship TargetMode="External" Target="https://doi.org/10.1097/mot.0000000000000874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s://doi.org/10.1002/lt.25871" Id="docRId11" Type="http://schemas.openxmlformats.org/officeDocument/2006/relationships/hyperlink" /><Relationship TargetMode="External" Target="https://doi.org/10.1590/S0104-11692007000300023" Id="docRId15" Type="http://schemas.openxmlformats.org/officeDocument/2006/relationships/hyperlink" /><Relationship TargetMode="External" Target="https://doi.org/10.1002/14651858.cd010381" Id="docRId5" Type="http://schemas.openxmlformats.org/officeDocument/2006/relationships/hyperlink" /><Relationship TargetMode="External" Target="https://doi.org/10.5090/kjtcs.2015.48.3.180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doi.org/10.1136/bmj.n71" Id="docRId12" Type="http://schemas.openxmlformats.org/officeDocument/2006/relationships/hyperlink" /><Relationship TargetMode="External" Target="https://doi.org/10.1007/s40472-018-0208-7" Id="docRId16" Type="http://schemas.openxmlformats.org/officeDocument/2006/relationships/hyperlink" /><Relationship TargetMode="External" Target="https://doi.org/10.4174/astr.2017.93.3.152" Id="docRId4" Type="http://schemas.openxmlformats.org/officeDocument/2006/relationships/hyperlink" /><Relationship TargetMode="External" Target="https://doi.org/10.1177/0267659120973592" Id="docRId8" Type="http://schemas.openxmlformats.org/officeDocument/2006/relationships/hyperlink" /><Relationship TargetMode="External" Target="http://files.bvs.br/upload/S/0101-5907/2009/v23n3/a1967.pdf" Id="docRId13" Type="http://schemas.openxmlformats.org/officeDocument/2006/relationships/hyperlink" /><Relationship TargetMode="External" Target="https://doi.org/10.1590/S1679-45082015RW3164" Id="docRId3" Type="http://schemas.openxmlformats.org/officeDocument/2006/relationships/hyperlink" /></Relationships>
</file>