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D59A7" w14:textId="2C098AC5" w:rsidR="00C563CE" w:rsidRDefault="008627BA" w:rsidP="00CF2255">
      <w:pPr>
        <w:spacing w:after="156" w:line="259" w:lineRule="auto"/>
        <w:jc w:val="center"/>
      </w:pPr>
      <w:r>
        <w:t xml:space="preserve">UTILIZAÇÃO DE LARGE LALGUAGE MODELS EM ANÁLISE FUNDAMENTALISTA </w:t>
      </w:r>
    </w:p>
    <w:p w14:paraId="19AAEFF4" w14:textId="77777777" w:rsidR="00CF2255" w:rsidRDefault="00CF2255" w:rsidP="00CF2255">
      <w:pPr>
        <w:spacing w:after="156" w:line="259" w:lineRule="auto"/>
        <w:jc w:val="center"/>
      </w:pPr>
    </w:p>
    <w:p w14:paraId="01385F4A" w14:textId="2B02A53A" w:rsidR="00CF2255" w:rsidRDefault="00CF2255" w:rsidP="00CF2255">
      <w:pPr>
        <w:spacing w:line="270" w:lineRule="auto"/>
        <w:ind w:right="16" w:hanging="10"/>
        <w:jc w:val="center"/>
      </w:pPr>
      <w:r>
        <w:t>REGIS GUIMARÃES MIRANDA</w:t>
      </w:r>
      <w:r>
        <w:t xml:space="preserve"> e </w:t>
      </w:r>
      <w:r>
        <w:t>EDUARDO FONSECA MENDES</w:t>
      </w:r>
    </w:p>
    <w:p w14:paraId="67624881" w14:textId="6AAC4FFB" w:rsidR="00CF2255" w:rsidRDefault="00CF2255" w:rsidP="00CF2255">
      <w:pPr>
        <w:spacing w:line="270" w:lineRule="auto"/>
        <w:ind w:left="1875" w:right="1567" w:hanging="10"/>
        <w:jc w:val="center"/>
      </w:pPr>
    </w:p>
    <w:p w14:paraId="627FE111" w14:textId="5AF575F9" w:rsidR="00CF2255" w:rsidRDefault="00CF2255" w:rsidP="00CF2255">
      <w:pPr>
        <w:spacing w:line="270" w:lineRule="auto"/>
        <w:ind w:left="1875" w:right="1567" w:hanging="10"/>
        <w:jc w:val="center"/>
      </w:pPr>
      <w:r>
        <w:t xml:space="preserve">Fundação </w:t>
      </w:r>
      <w:proofErr w:type="spellStart"/>
      <w:r>
        <w:t>Getulio</w:t>
      </w:r>
      <w:proofErr w:type="spellEnd"/>
      <w:r>
        <w:t xml:space="preserve"> Vargas</w:t>
      </w:r>
    </w:p>
    <w:p w14:paraId="318D271D" w14:textId="00BC767D" w:rsidR="00CF2255" w:rsidRDefault="00CF2255" w:rsidP="00CF2255">
      <w:pPr>
        <w:spacing w:line="270" w:lineRule="auto"/>
        <w:ind w:left="1875" w:right="1567" w:hanging="10"/>
        <w:jc w:val="center"/>
      </w:pPr>
      <w:r>
        <w:t>Escola de Economia de São Paulo</w:t>
      </w:r>
    </w:p>
    <w:p w14:paraId="1D76836A" w14:textId="555CF37C" w:rsidR="00CF2255" w:rsidRDefault="00CF2255" w:rsidP="00CF2255">
      <w:pPr>
        <w:spacing w:after="55" w:line="259" w:lineRule="auto"/>
        <w:ind w:left="349"/>
        <w:jc w:val="center"/>
      </w:pPr>
    </w:p>
    <w:p w14:paraId="26CA3919" w14:textId="77777777" w:rsidR="00CF03CF" w:rsidRDefault="00000000" w:rsidP="00CF2255">
      <w:pPr>
        <w:pStyle w:val="Ttulo4"/>
        <w:jc w:val="left"/>
      </w:pPr>
      <w:r>
        <w:t xml:space="preserve">Resumo </w:t>
      </w:r>
    </w:p>
    <w:p w14:paraId="2D5257D9" w14:textId="3FB16012" w:rsidR="00CF2255" w:rsidRDefault="00CF2255" w:rsidP="00CF2255">
      <w:pPr>
        <w:spacing w:line="259" w:lineRule="auto"/>
      </w:pPr>
      <w:r>
        <w:t>Este estudo explora a aplicação de modelos de linguagem de grande porte (</w:t>
      </w:r>
      <w:proofErr w:type="spellStart"/>
      <w:r>
        <w:t>LLMs</w:t>
      </w:r>
      <w:proofErr w:type="spellEnd"/>
      <w:r>
        <w:t xml:space="preserve">) na análise fundamentalista e na previsão de desempenho financeiro de empresas, com o objetivo de avaliar sua capacidade de </w:t>
      </w:r>
      <w:r w:rsidR="00BD2DB2">
        <w:t>competir com</w:t>
      </w:r>
      <w:r>
        <w:t xml:space="preserve"> analistas financeiros humanos. Utilizando técnicas avançadas de prompt </w:t>
      </w:r>
      <w:proofErr w:type="spellStart"/>
      <w:r>
        <w:t>engineering</w:t>
      </w:r>
      <w:proofErr w:type="spellEnd"/>
      <w:r>
        <w:t>, como Chain-</w:t>
      </w:r>
      <w:proofErr w:type="spellStart"/>
      <w:r>
        <w:t>of</w:t>
      </w:r>
      <w:proofErr w:type="spellEnd"/>
      <w:r>
        <w:t>-</w:t>
      </w:r>
      <w:proofErr w:type="spellStart"/>
      <w:r>
        <w:t>Thoughts</w:t>
      </w:r>
      <w:proofErr w:type="spellEnd"/>
      <w:r>
        <w:t xml:space="preserve"> e Self-</w:t>
      </w:r>
      <w:proofErr w:type="spellStart"/>
      <w:r>
        <w:t>Consistency</w:t>
      </w:r>
      <w:proofErr w:type="spellEnd"/>
      <w:r>
        <w:t xml:space="preserve">, o modelo ChatGPT o3-mini-high foi empregado para interpretar relatórios financeiros trimestrais e prever o lucro líquido das empresas. Dados de 97 companhias do IBRX-100 foram analisados, comparando as previsões do modelo com as de analistas humanos por meio </w:t>
      </w:r>
      <w:r w:rsidR="00BD2DB2">
        <w:t>das métricas</w:t>
      </w:r>
      <w:r>
        <w:t xml:space="preserve"> F1-Score, AUC e Erro Absoluto Escalado.</w:t>
      </w:r>
    </w:p>
    <w:p w14:paraId="4B00F600" w14:textId="77777777" w:rsidR="00CF2255" w:rsidRDefault="00CF2255" w:rsidP="00CF2255">
      <w:pPr>
        <w:spacing w:line="259" w:lineRule="auto"/>
      </w:pPr>
    </w:p>
    <w:p w14:paraId="7EEA337D" w14:textId="1759F879" w:rsidR="00CF2255" w:rsidRDefault="00CF2255" w:rsidP="00CF2255">
      <w:pPr>
        <w:spacing w:line="259" w:lineRule="auto"/>
      </w:pPr>
      <w:r>
        <w:t xml:space="preserve">Os resultados foram aplicados à otimização de carteiras utilizando </w:t>
      </w:r>
      <w:r w:rsidR="00BD2DB2">
        <w:t xml:space="preserve">os métodos de </w:t>
      </w:r>
      <w:r>
        <w:t xml:space="preserve">Markowitz e índices Sharpe e </w:t>
      </w:r>
      <w:proofErr w:type="spellStart"/>
      <w:r>
        <w:t>Sortino</w:t>
      </w:r>
      <w:proofErr w:type="spellEnd"/>
      <w:r>
        <w:t xml:space="preserve">, comparando o desempenho com o benchmark BOVA11. A pesquisa demonstra o potencial dos </w:t>
      </w:r>
      <w:proofErr w:type="spellStart"/>
      <w:r>
        <w:t>LLMs</w:t>
      </w:r>
      <w:proofErr w:type="spellEnd"/>
      <w:r>
        <w:t xml:space="preserve"> para democratizar a análise financeira, reduzir custos operacionais e apoiar investidores individuais, mas reconhece limitações, como dificuldades em cálculos complexos e eventos atípicos.</w:t>
      </w:r>
    </w:p>
    <w:p w14:paraId="79C64C46" w14:textId="77777777" w:rsidR="00CF2255" w:rsidRDefault="00CF2255" w:rsidP="00CF2255">
      <w:pPr>
        <w:spacing w:line="259" w:lineRule="auto"/>
      </w:pPr>
    </w:p>
    <w:p w14:paraId="2A1F9C66" w14:textId="47692206" w:rsidR="00CF03CF" w:rsidRDefault="00CF2255" w:rsidP="00CF2255">
      <w:pPr>
        <w:spacing w:line="259" w:lineRule="auto"/>
      </w:pPr>
      <w:r>
        <w:t xml:space="preserve">O trabalho sugere que os </w:t>
      </w:r>
      <w:proofErr w:type="spellStart"/>
      <w:r>
        <w:t>LLMs</w:t>
      </w:r>
      <w:proofErr w:type="spellEnd"/>
      <w:r>
        <w:t xml:space="preserve"> podem complementar analistas humanos, oferecendo insights rápidos e precisos, mas destaca a necessidade de abordagens híbridas que combinem IA com expertise humana. Extensões futuras incluem integração com dados alternativos e validação em mercados internacionais, ampliando o impacto social e econômico da pesquisa.</w:t>
      </w:r>
    </w:p>
    <w:p w14:paraId="67F07E9B" w14:textId="77777777" w:rsidR="00CF2255" w:rsidRDefault="00CF2255">
      <w:pPr>
        <w:spacing w:line="259" w:lineRule="auto"/>
      </w:pPr>
    </w:p>
    <w:p w14:paraId="19BFAF20" w14:textId="2E34A57E" w:rsidR="00CF03CF" w:rsidRDefault="00000000" w:rsidP="00CF2255">
      <w:pPr>
        <w:spacing w:line="259" w:lineRule="auto"/>
        <w:ind w:left="139"/>
      </w:pPr>
      <w:r>
        <w:rPr>
          <w:b/>
        </w:rPr>
        <w:t>Palavras-chave</w:t>
      </w:r>
      <w:r>
        <w:t xml:space="preserve">: </w:t>
      </w:r>
      <w:r w:rsidR="00CF2255">
        <w:t>Modelos de Linguagem de Grande Porte (</w:t>
      </w:r>
      <w:proofErr w:type="spellStart"/>
      <w:r w:rsidR="00CF2255">
        <w:t>LLMs</w:t>
      </w:r>
      <w:proofErr w:type="spellEnd"/>
      <w:r w:rsidR="00CF2255">
        <w:t>)</w:t>
      </w:r>
      <w:r w:rsidR="00CF2255">
        <w:t xml:space="preserve">; </w:t>
      </w:r>
      <w:r w:rsidR="00CF2255">
        <w:t>Análise Fundamentalista</w:t>
      </w:r>
      <w:r w:rsidR="00CF2255">
        <w:t xml:space="preserve">; </w:t>
      </w:r>
      <w:r w:rsidR="00CF2255">
        <w:t xml:space="preserve">Prompt </w:t>
      </w:r>
      <w:proofErr w:type="spellStart"/>
      <w:r w:rsidR="00CF2255">
        <w:t>Engineering</w:t>
      </w:r>
      <w:proofErr w:type="spellEnd"/>
      <w:r w:rsidR="00CF2255">
        <w:t xml:space="preserve">; </w:t>
      </w:r>
      <w:r w:rsidR="00CF2255">
        <w:t>Previsão Financeira</w:t>
      </w:r>
      <w:r w:rsidR="00CF2255">
        <w:t xml:space="preserve">; </w:t>
      </w:r>
      <w:r w:rsidR="00CF2255">
        <w:t>Otimização de Carteiras</w:t>
      </w:r>
      <w:r w:rsidR="00CF2255">
        <w:t>.</w:t>
      </w:r>
      <w:r>
        <w:br w:type="page"/>
      </w:r>
    </w:p>
    <w:p w14:paraId="791AE1D4" w14:textId="79EB90D4" w:rsidR="00CF03CF" w:rsidRPr="00BD2DB2" w:rsidRDefault="00000000" w:rsidP="00BD2DB2">
      <w:pPr>
        <w:spacing w:after="711" w:line="259" w:lineRule="auto"/>
      </w:pPr>
      <w:r>
        <w:rPr>
          <w:rFonts w:ascii="Palatino Linotype" w:eastAsia="Palatino Linotype" w:hAnsi="Palatino Linotype" w:cs="Palatino Linotype"/>
          <w:sz w:val="20"/>
        </w:rPr>
        <w:lastRenderedPageBreak/>
        <w:t xml:space="preserve"> </w:t>
      </w:r>
      <w:bookmarkStart w:id="0" w:name="_Toc194592217"/>
      <w:r w:rsidRPr="00C563CE">
        <w:t>1 INTRODUÇÃO</w:t>
      </w:r>
      <w:bookmarkEnd w:id="0"/>
      <w:r w:rsidRPr="00C563CE">
        <w:t xml:space="preserve"> </w:t>
      </w:r>
    </w:p>
    <w:p w14:paraId="2A88BE3D" w14:textId="77777777" w:rsidR="00E04C04" w:rsidRDefault="00E04C04" w:rsidP="00E04C04">
      <w:pPr>
        <w:pStyle w:val="NormalWeb"/>
        <w:spacing w:before="0" w:beforeAutospacing="0" w:after="0" w:afterAutospacing="0" w:line="360" w:lineRule="auto"/>
        <w:ind w:firstLine="709"/>
        <w:jc w:val="both"/>
        <w:rPr>
          <w:color w:val="000000"/>
        </w:rPr>
      </w:pPr>
      <w:bookmarkStart w:id="1" w:name="_Hlk194840658"/>
      <w:r>
        <w:rPr>
          <w:color w:val="000000"/>
        </w:rPr>
        <w:t>A exploração da capacidade dos modelos de linguagem de grande porte (</w:t>
      </w:r>
      <w:proofErr w:type="spellStart"/>
      <w:r>
        <w:rPr>
          <w:color w:val="000000"/>
        </w:rPr>
        <w:t>LLMs</w:t>
      </w:r>
      <w:proofErr w:type="spellEnd"/>
      <w:r>
        <w:rPr>
          <w:color w:val="000000"/>
        </w:rPr>
        <w:t xml:space="preserve">) em executar atividades diversas constitui um tema amplamente debatido na academia, embora ainda existam lacunas a serem preenchidas. Diversos estudos têm sido conduzidos para aproveitar as excelentes habilidades desses modelos em emular conversas, compreender contextos e fornecer insights. Por exemplo, Bernard et al. (2024) e Jesus et al. (2024) analisaram, respectivamente, a aptidão desses modelos em atribuir nomenclaturas corretas a dados financeiros e em realizar análises de sentimento em notícias. Outros trabalhos buscam explorar os limites desses modelos; Wang e </w:t>
      </w:r>
      <w:proofErr w:type="spellStart"/>
      <w:r>
        <w:rPr>
          <w:color w:val="000000"/>
        </w:rPr>
        <w:t>Brorsson</w:t>
      </w:r>
      <w:proofErr w:type="spellEnd"/>
      <w:r>
        <w:rPr>
          <w:color w:val="000000"/>
        </w:rPr>
        <w:t xml:space="preserve"> (2025), por exemplo, concluíram que, embora o modelo empregado consiga efetuar operações matemáticas isoladas, ele ainda demonstra ineficiência ao realizar cálculos em sequência, mantendo o contexto analisado – estudo no qual foram avaliados os modelos </w:t>
      </w:r>
      <w:proofErr w:type="spellStart"/>
      <w:r>
        <w:rPr>
          <w:color w:val="000000"/>
        </w:rPr>
        <w:t>Llama</w:t>
      </w:r>
      <w:proofErr w:type="spellEnd"/>
      <w:r>
        <w:rPr>
          <w:color w:val="000000"/>
        </w:rPr>
        <w:t xml:space="preserve"> 3.1, </w:t>
      </w:r>
      <w:proofErr w:type="spellStart"/>
      <w:r>
        <w:rPr>
          <w:color w:val="000000"/>
        </w:rPr>
        <w:t>Llama</w:t>
      </w:r>
      <w:proofErr w:type="spellEnd"/>
      <w:r>
        <w:rPr>
          <w:color w:val="000000"/>
        </w:rPr>
        <w:t xml:space="preserve"> 3.2 e Mistral 7B.</w:t>
      </w:r>
    </w:p>
    <w:p w14:paraId="5AF6EAAC" w14:textId="77777777" w:rsidR="00E04C04" w:rsidRDefault="00E04C04" w:rsidP="00E04C04">
      <w:pPr>
        <w:pStyle w:val="NormalWeb"/>
        <w:spacing w:before="0" w:beforeAutospacing="0" w:after="0" w:afterAutospacing="0" w:line="360" w:lineRule="auto"/>
        <w:ind w:firstLine="709"/>
        <w:jc w:val="both"/>
        <w:rPr>
          <w:color w:val="000000"/>
        </w:rPr>
      </w:pPr>
      <w:r>
        <w:rPr>
          <w:color w:val="000000"/>
        </w:rPr>
        <w:t xml:space="preserve">Um aspecto comum nas pesquisas que utilizam </w:t>
      </w:r>
      <w:proofErr w:type="spellStart"/>
      <w:r>
        <w:rPr>
          <w:color w:val="000000"/>
        </w:rPr>
        <w:t>LLMs</w:t>
      </w:r>
      <w:proofErr w:type="spellEnd"/>
      <w:r>
        <w:rPr>
          <w:color w:val="000000"/>
        </w:rPr>
        <w:t xml:space="preserve"> é a adoção de diferentes técnicas de “</w:t>
      </w:r>
      <w:r w:rsidRPr="00E04C04">
        <w:rPr>
          <w:i/>
          <w:iCs/>
          <w:color w:val="000000"/>
        </w:rPr>
        <w:t xml:space="preserve">prompt </w:t>
      </w:r>
      <w:proofErr w:type="spellStart"/>
      <w:r w:rsidRPr="00E04C04">
        <w:rPr>
          <w:i/>
          <w:iCs/>
          <w:color w:val="000000"/>
        </w:rPr>
        <w:t>engineering</w:t>
      </w:r>
      <w:proofErr w:type="spellEnd"/>
      <w:r>
        <w:rPr>
          <w:color w:val="000000"/>
        </w:rPr>
        <w:t>”, destacando-se o “</w:t>
      </w:r>
      <w:r w:rsidRPr="00E04C04">
        <w:rPr>
          <w:i/>
          <w:iCs/>
          <w:color w:val="000000"/>
        </w:rPr>
        <w:t>Chain-</w:t>
      </w:r>
      <w:proofErr w:type="spellStart"/>
      <w:r w:rsidRPr="00E04C04">
        <w:rPr>
          <w:i/>
          <w:iCs/>
          <w:color w:val="000000"/>
        </w:rPr>
        <w:t>of</w:t>
      </w:r>
      <w:proofErr w:type="spellEnd"/>
      <w:r w:rsidRPr="00E04C04">
        <w:rPr>
          <w:i/>
          <w:iCs/>
          <w:color w:val="000000"/>
        </w:rPr>
        <w:t>-</w:t>
      </w:r>
      <w:proofErr w:type="spellStart"/>
      <w:r w:rsidRPr="00E04C04">
        <w:rPr>
          <w:i/>
          <w:iCs/>
          <w:color w:val="000000"/>
        </w:rPr>
        <w:t>Thoughts</w:t>
      </w:r>
      <w:proofErr w:type="spellEnd"/>
      <w:r>
        <w:rPr>
          <w:color w:val="000000"/>
        </w:rPr>
        <w:t>”, proposto originalmente por Wei et al. (2022). No presente estudo, empregou-se o método “</w:t>
      </w:r>
      <w:r w:rsidRPr="00E04C04">
        <w:rPr>
          <w:i/>
          <w:iCs/>
          <w:color w:val="000000"/>
        </w:rPr>
        <w:t>Self-</w:t>
      </w:r>
      <w:proofErr w:type="spellStart"/>
      <w:r w:rsidRPr="00E04C04">
        <w:rPr>
          <w:i/>
          <w:iCs/>
          <w:color w:val="000000"/>
        </w:rPr>
        <w:t>Consistency</w:t>
      </w:r>
      <w:proofErr w:type="spellEnd"/>
      <w:r>
        <w:rPr>
          <w:color w:val="000000"/>
        </w:rPr>
        <w:t>” (Wang et al., 2023) em conjunto com o “</w:t>
      </w:r>
      <w:r w:rsidRPr="00E04C04">
        <w:rPr>
          <w:i/>
          <w:iCs/>
          <w:color w:val="000000"/>
        </w:rPr>
        <w:t>Chain-</w:t>
      </w:r>
      <w:proofErr w:type="spellStart"/>
      <w:r w:rsidRPr="00E04C04">
        <w:rPr>
          <w:i/>
          <w:iCs/>
          <w:color w:val="000000"/>
        </w:rPr>
        <w:t>of</w:t>
      </w:r>
      <w:proofErr w:type="spellEnd"/>
      <w:r w:rsidRPr="00E04C04">
        <w:rPr>
          <w:i/>
          <w:iCs/>
          <w:color w:val="000000"/>
        </w:rPr>
        <w:t>-</w:t>
      </w:r>
      <w:proofErr w:type="spellStart"/>
      <w:r w:rsidRPr="00E04C04">
        <w:rPr>
          <w:i/>
          <w:iCs/>
          <w:color w:val="000000"/>
        </w:rPr>
        <w:t>Thoughts</w:t>
      </w:r>
      <w:proofErr w:type="spellEnd"/>
      <w:r>
        <w:rPr>
          <w:color w:val="000000"/>
        </w:rPr>
        <w:t>”, com o intuito de gerar múltiplas respostas e identificar a mais consistente, tendo em vista que foram observadas variações significativas nas respostas geradas para as mesmas instruções.</w:t>
      </w:r>
    </w:p>
    <w:p w14:paraId="4D95B162" w14:textId="77777777" w:rsidR="00E04C04" w:rsidRDefault="00E04C04" w:rsidP="00E04C04">
      <w:pPr>
        <w:pStyle w:val="NormalWeb"/>
        <w:spacing w:before="0" w:beforeAutospacing="0" w:after="0" w:afterAutospacing="0" w:line="360" w:lineRule="auto"/>
        <w:ind w:firstLine="709"/>
        <w:jc w:val="both"/>
        <w:rPr>
          <w:color w:val="000000"/>
        </w:rPr>
      </w:pPr>
      <w:r>
        <w:rPr>
          <w:color w:val="000000"/>
        </w:rPr>
        <w:t xml:space="preserve">Em consonância com o trabalho de Kim, </w:t>
      </w:r>
      <w:proofErr w:type="spellStart"/>
      <w:r>
        <w:rPr>
          <w:color w:val="000000"/>
        </w:rPr>
        <w:t>Muhn</w:t>
      </w:r>
      <w:proofErr w:type="spellEnd"/>
      <w:r>
        <w:rPr>
          <w:color w:val="000000"/>
        </w:rPr>
        <w:t xml:space="preserve"> e Nikolaev (2024), este estudo tem como objetivo investigar se o modelo ChatGPT o3-mini-high é capaz de prever o lucro líquido das empresas para o ano subsequente com desempenho comparável ao dos analistas financeiros humanos e se as ações com predição positiva apresentam vantagens em relação ao mercado (representado pelo BOVA11) na otimização de carteiras. Para essa comparação, utilizaram-se métricas como F1-Score e AUC (</w:t>
      </w:r>
      <w:r w:rsidRPr="00E04C04">
        <w:rPr>
          <w:i/>
          <w:iCs/>
          <w:color w:val="000000"/>
        </w:rPr>
        <w:t xml:space="preserve">Area </w:t>
      </w:r>
      <w:proofErr w:type="spellStart"/>
      <w:r w:rsidRPr="00E04C04">
        <w:rPr>
          <w:i/>
          <w:iCs/>
          <w:color w:val="000000"/>
        </w:rPr>
        <w:t>Under</w:t>
      </w:r>
      <w:proofErr w:type="spellEnd"/>
      <w:r w:rsidRPr="00E04C04">
        <w:rPr>
          <w:i/>
          <w:iCs/>
          <w:color w:val="000000"/>
        </w:rPr>
        <w:t xml:space="preserve"> </w:t>
      </w:r>
      <w:proofErr w:type="spellStart"/>
      <w:r w:rsidRPr="00E04C04">
        <w:rPr>
          <w:i/>
          <w:iCs/>
          <w:color w:val="000000"/>
        </w:rPr>
        <w:t>the</w:t>
      </w:r>
      <w:proofErr w:type="spellEnd"/>
      <w:r w:rsidRPr="00E04C04">
        <w:rPr>
          <w:i/>
          <w:iCs/>
          <w:color w:val="000000"/>
        </w:rPr>
        <w:t xml:space="preserve"> Curve</w:t>
      </w:r>
      <w:r>
        <w:rPr>
          <w:color w:val="000000"/>
        </w:rPr>
        <w:t>) – para avaliar aspectos binários das previsões (melhora ou piora do lucro líquido) – além do Erro Absoluto Escalado, que mensura a precisão real do modelo em relação aos analistas.</w:t>
      </w:r>
    </w:p>
    <w:p w14:paraId="02C2E1D5" w14:textId="60A95C3D" w:rsidR="00E04C04" w:rsidRDefault="00E04C04" w:rsidP="00E04C04">
      <w:pPr>
        <w:pStyle w:val="NormalWeb"/>
        <w:spacing w:before="0" w:beforeAutospacing="0" w:after="0" w:afterAutospacing="0" w:line="360" w:lineRule="auto"/>
        <w:ind w:firstLine="709"/>
        <w:jc w:val="both"/>
        <w:rPr>
          <w:color w:val="000000"/>
        </w:rPr>
      </w:pPr>
      <w:r>
        <w:rPr>
          <w:color w:val="000000"/>
        </w:rPr>
        <w:t xml:space="preserve">Foram coletados relatórios financeiros (ITR para informações trimestrais e DFP para informações anuais) de </w:t>
      </w:r>
      <w:r w:rsidR="00A96591">
        <w:rPr>
          <w:color w:val="000000"/>
        </w:rPr>
        <w:t>97</w:t>
      </w:r>
      <w:r>
        <w:rPr>
          <w:color w:val="000000"/>
        </w:rPr>
        <w:t xml:space="preserve"> empresas</w:t>
      </w:r>
      <w:r w:rsidR="00A96591">
        <w:rPr>
          <w:color w:val="000000"/>
        </w:rPr>
        <w:t xml:space="preserve"> que compuseram a carteira da IBRX-100 em maio de 2023 </w:t>
      </w:r>
      <w:r>
        <w:rPr>
          <w:color w:val="000000"/>
        </w:rPr>
        <w:t xml:space="preserve">no site da CVM. Para as previsões dos analistas financeiros, recorreu-se ao banco de dados “I/B/E/S </w:t>
      </w:r>
      <w:proofErr w:type="spellStart"/>
      <w:r>
        <w:rPr>
          <w:color w:val="000000"/>
        </w:rPr>
        <w:t>Detail</w:t>
      </w:r>
      <w:proofErr w:type="spellEnd"/>
      <w:r>
        <w:rPr>
          <w:color w:val="000000"/>
        </w:rPr>
        <w:t xml:space="preserve"> File”, que reúne tais relatórios e possibilita a avaliação do desempenho geral dos analistas no mercado americano. A coleta dos preços das ações foi realizada por meio da plataforma “EODHD”.</w:t>
      </w:r>
    </w:p>
    <w:p w14:paraId="095E6B12" w14:textId="50BF7694" w:rsidR="00E04C04" w:rsidRDefault="00E04C04" w:rsidP="00E04C04">
      <w:pPr>
        <w:pStyle w:val="NormalWeb"/>
        <w:spacing w:before="0" w:beforeAutospacing="0" w:after="0" w:afterAutospacing="0" w:line="360" w:lineRule="auto"/>
        <w:ind w:firstLine="709"/>
        <w:jc w:val="both"/>
        <w:rPr>
          <w:color w:val="000000"/>
        </w:rPr>
      </w:pPr>
      <w:r>
        <w:rPr>
          <w:color w:val="000000"/>
        </w:rPr>
        <w:lastRenderedPageBreak/>
        <w:t xml:space="preserve">A otimização da carteira foi conduzida utilizando diferentes abordagens: Markowitz (MV), </w:t>
      </w:r>
      <w:proofErr w:type="spellStart"/>
      <w:r>
        <w:rPr>
          <w:color w:val="000000"/>
        </w:rPr>
        <w:t>Equal-Weights</w:t>
      </w:r>
      <w:proofErr w:type="spellEnd"/>
      <w:r>
        <w:rPr>
          <w:color w:val="000000"/>
        </w:rPr>
        <w:t xml:space="preserve">, </w:t>
      </w:r>
      <w:proofErr w:type="spellStart"/>
      <w:r>
        <w:rPr>
          <w:color w:val="000000"/>
        </w:rPr>
        <w:t>Value-Weights</w:t>
      </w:r>
      <w:proofErr w:type="spellEnd"/>
      <w:r>
        <w:rPr>
          <w:color w:val="000000"/>
        </w:rPr>
        <w:t xml:space="preserve"> e otimizações fundamentadas nos índices Sharpe e </w:t>
      </w:r>
      <w:proofErr w:type="spellStart"/>
      <w:r>
        <w:rPr>
          <w:color w:val="000000"/>
        </w:rPr>
        <w:t>Sortino</w:t>
      </w:r>
      <w:proofErr w:type="spellEnd"/>
      <w:r>
        <w:rPr>
          <w:color w:val="000000"/>
        </w:rPr>
        <w:t>. A diversidade de estratégias adotadas objetivou identificar qual delas apresentava maior consistência de desempenho em comparação ao mercado (representado pelo BOVA11). Ressalta-se que, em razão das datas distintas de divulgação dos relatórios financeiros das empresas, uma ação só foi incorporada à carteira após a emissão do respectivo relatório, a fim de evitar resultados incompatíveis com a realidade.</w:t>
      </w:r>
    </w:p>
    <w:p w14:paraId="063E37FC" w14:textId="77777777" w:rsidR="00E04C04" w:rsidRDefault="00E04C04" w:rsidP="00E04C04">
      <w:pPr>
        <w:pStyle w:val="NormalWeb"/>
        <w:spacing w:before="0" w:beforeAutospacing="0" w:after="0" w:afterAutospacing="0" w:line="360" w:lineRule="auto"/>
        <w:ind w:firstLine="709"/>
        <w:jc w:val="both"/>
        <w:rPr>
          <w:color w:val="000000"/>
        </w:rPr>
      </w:pPr>
      <w:r>
        <w:rPr>
          <w:color w:val="000000"/>
        </w:rPr>
        <w:t xml:space="preserve">Este trabalho prossegue com a Revisão da Literatura, na qual são apresentados estudos que aplicam </w:t>
      </w:r>
      <w:proofErr w:type="spellStart"/>
      <w:r>
        <w:rPr>
          <w:color w:val="000000"/>
        </w:rPr>
        <w:t>LLMs</w:t>
      </w:r>
      <w:proofErr w:type="spellEnd"/>
      <w:r>
        <w:rPr>
          <w:color w:val="000000"/>
        </w:rPr>
        <w:t xml:space="preserve"> em diversas situações no campo das finanças, bem como as múltiplas técnicas de “</w:t>
      </w:r>
      <w:proofErr w:type="spellStart"/>
      <w:r w:rsidRPr="00E04C04">
        <w:rPr>
          <w:i/>
          <w:iCs/>
          <w:color w:val="000000"/>
        </w:rPr>
        <w:t>prompting</w:t>
      </w:r>
      <w:proofErr w:type="spellEnd"/>
      <w:r>
        <w:rPr>
          <w:color w:val="000000"/>
        </w:rPr>
        <w:t>” fundamentais para esses modelos. Na seção de Metodologia, detalham-se as técnicas empregadas para a obtenção e o tratamento dos dados, além dos métodos utilizados para avaliar o desempenho do experimento frente a benchmarks reconhecidos.</w:t>
      </w:r>
    </w:p>
    <w:p w14:paraId="1BF669A0" w14:textId="77777777" w:rsidR="00E04C04" w:rsidRDefault="00E04C04" w:rsidP="00E04C04">
      <w:pPr>
        <w:pStyle w:val="NormalWeb"/>
        <w:spacing w:before="0" w:beforeAutospacing="0" w:after="0" w:afterAutospacing="0" w:line="360" w:lineRule="auto"/>
        <w:ind w:firstLine="709"/>
        <w:jc w:val="both"/>
        <w:rPr>
          <w:color w:val="000000"/>
        </w:rPr>
      </w:pPr>
      <w:r>
        <w:rPr>
          <w:color w:val="000000"/>
        </w:rPr>
        <w:t>A seção de Resultados apresenta os achados do experimento, com a segmentação dos dados de modo a facilitar a compreensão dos detalhes e nuances observadas. Por fim, a Conclusão expõe as respostas relativas aos objetivos deste estudo, bem como possíveis direções para investigações futuras.</w:t>
      </w:r>
    </w:p>
    <w:p w14:paraId="050B35A0" w14:textId="77777777" w:rsidR="00E04C04" w:rsidRDefault="00E04C04">
      <w:pPr>
        <w:spacing w:line="259" w:lineRule="auto"/>
        <w:rPr>
          <w:rFonts w:ascii="Palatino Linotype" w:eastAsia="Palatino Linotype" w:hAnsi="Palatino Linotype" w:cs="Palatino Linotype"/>
          <w:sz w:val="22"/>
        </w:rPr>
      </w:pPr>
    </w:p>
    <w:p w14:paraId="164AAD9F" w14:textId="4CE91964" w:rsidR="00CF03CF" w:rsidRDefault="00000000" w:rsidP="00CF2255">
      <w:pPr>
        <w:spacing w:line="259" w:lineRule="auto"/>
      </w:pPr>
      <w:bookmarkStart w:id="2" w:name="_Toc194592218"/>
      <w:r>
        <w:t>2 REVISÃO DA LITERATURA</w:t>
      </w:r>
      <w:bookmarkEnd w:id="2"/>
      <w:r>
        <w:t xml:space="preserve"> </w:t>
      </w:r>
    </w:p>
    <w:p w14:paraId="49F36ACD" w14:textId="77777777" w:rsidR="00CF03CF" w:rsidRDefault="00000000">
      <w:pPr>
        <w:spacing w:after="136" w:line="259" w:lineRule="auto"/>
      </w:pPr>
      <w:r>
        <w:t xml:space="preserve"> </w:t>
      </w:r>
    </w:p>
    <w:p w14:paraId="1A55239A" w14:textId="77777777" w:rsidR="00CF03CF" w:rsidRDefault="00000000">
      <w:pPr>
        <w:pStyle w:val="Ttulo2"/>
        <w:spacing w:after="55" w:line="259" w:lineRule="auto"/>
        <w:ind w:left="-15" w:firstLine="0"/>
      </w:pPr>
      <w:bookmarkStart w:id="3" w:name="_Toc194592219"/>
      <w:r>
        <w:t>2.1 Introdução à Revisão de Literatura</w:t>
      </w:r>
      <w:bookmarkEnd w:id="3"/>
      <w:r>
        <w:t xml:space="preserve"> </w:t>
      </w:r>
    </w:p>
    <w:p w14:paraId="22BD618B" w14:textId="05ADFE60" w:rsidR="00F10831" w:rsidRDefault="00F10831" w:rsidP="00BD2DB2">
      <w:pPr>
        <w:spacing w:line="259" w:lineRule="auto"/>
      </w:pPr>
    </w:p>
    <w:p w14:paraId="1DA6F899" w14:textId="77777777" w:rsidR="007B5286" w:rsidRDefault="007B5286" w:rsidP="007B5286">
      <w:pPr>
        <w:pStyle w:val="NormalWeb"/>
        <w:spacing w:before="0" w:beforeAutospacing="0" w:after="0" w:afterAutospacing="0" w:line="360" w:lineRule="auto"/>
        <w:ind w:firstLine="709"/>
        <w:jc w:val="both"/>
        <w:rPr>
          <w:color w:val="000000"/>
        </w:rPr>
      </w:pPr>
      <w:r>
        <w:rPr>
          <w:color w:val="000000"/>
        </w:rPr>
        <w:t xml:space="preserve">Apesar da utilização de técnicas de mineração de texto em finanças não ser algo novo, o trabalho de Chen, Kelly e Xiu (2022) foi pioneiro pela utilização de Large </w:t>
      </w:r>
      <w:proofErr w:type="spellStart"/>
      <w:r>
        <w:rPr>
          <w:color w:val="000000"/>
        </w:rPr>
        <w:t>Language</w:t>
      </w:r>
      <w:proofErr w:type="spellEnd"/>
      <w:r>
        <w:rPr>
          <w:color w:val="000000"/>
        </w:rPr>
        <w:t xml:space="preserve"> Models para extrair contextos de textos de notícias e transformá-los em sinais preditivos para o retorno das ações. </w:t>
      </w:r>
      <w:proofErr w:type="spellStart"/>
      <w:r>
        <w:rPr>
          <w:color w:val="000000"/>
        </w:rPr>
        <w:t>Nizcszota</w:t>
      </w:r>
      <w:proofErr w:type="spellEnd"/>
      <w:r>
        <w:rPr>
          <w:color w:val="000000"/>
        </w:rPr>
        <w:t xml:space="preserve"> e Abbas (2023), por outro lado, foram pioneiros ao demonstrar o grau de literacia financeira de modelos </w:t>
      </w:r>
      <w:proofErr w:type="spellStart"/>
      <w:r>
        <w:rPr>
          <w:color w:val="000000"/>
        </w:rPr>
        <w:t>LLMs</w:t>
      </w:r>
      <w:proofErr w:type="spellEnd"/>
      <w:r>
        <w:rPr>
          <w:color w:val="000000"/>
        </w:rPr>
        <w:t xml:space="preserve">, encontrando resultados de 66% e 65% para os modelos </w:t>
      </w:r>
      <w:proofErr w:type="spellStart"/>
      <w:r>
        <w:rPr>
          <w:color w:val="000000"/>
        </w:rPr>
        <w:t>Davinci</w:t>
      </w:r>
      <w:proofErr w:type="spellEnd"/>
      <w:r>
        <w:rPr>
          <w:color w:val="000000"/>
        </w:rPr>
        <w:t xml:space="preserve"> e GPT-3.5, respectivamente. Neste estudo, é possível verificar a elevada influência do artigo de Kim, </w:t>
      </w:r>
      <w:proofErr w:type="spellStart"/>
      <w:r>
        <w:rPr>
          <w:color w:val="000000"/>
        </w:rPr>
        <w:t>Muhn</w:t>
      </w:r>
      <w:proofErr w:type="spellEnd"/>
      <w:r>
        <w:rPr>
          <w:color w:val="000000"/>
        </w:rPr>
        <w:t xml:space="preserve"> e Nikolaev (2024) e como os autores abordaram a tratativa de realizar previsões do lucro líquido da empresa com base em dados financeiros emitidos anualmente por elas.</w:t>
      </w:r>
    </w:p>
    <w:p w14:paraId="299BC9B2" w14:textId="77777777" w:rsidR="007B5286" w:rsidRDefault="007B5286" w:rsidP="007B5286">
      <w:pPr>
        <w:pStyle w:val="NormalWeb"/>
        <w:spacing w:before="0" w:beforeAutospacing="0" w:after="0" w:afterAutospacing="0" w:line="360" w:lineRule="auto"/>
        <w:ind w:firstLine="709"/>
        <w:jc w:val="both"/>
        <w:rPr>
          <w:color w:val="000000"/>
        </w:rPr>
      </w:pPr>
      <w:r>
        <w:rPr>
          <w:color w:val="000000"/>
        </w:rPr>
        <w:t>Algo que muitos dos trabalhos recentes da área vêm demonstrando é a preocupação com a aplicação de técnicas diferentes de “</w:t>
      </w:r>
      <w:proofErr w:type="spellStart"/>
      <w:r>
        <w:rPr>
          <w:color w:val="000000"/>
        </w:rPr>
        <w:t>prompting</w:t>
      </w:r>
      <w:proofErr w:type="spellEnd"/>
      <w:r>
        <w:rPr>
          <w:color w:val="000000"/>
        </w:rPr>
        <w:t>” para ajudar a entender a performance e captar nuances. Estas técnicas são variadas; a de maior destaque tem o nome de “Chain-</w:t>
      </w:r>
      <w:proofErr w:type="spellStart"/>
      <w:r>
        <w:rPr>
          <w:color w:val="000000"/>
        </w:rPr>
        <w:t>of</w:t>
      </w:r>
      <w:proofErr w:type="spellEnd"/>
      <w:r>
        <w:rPr>
          <w:color w:val="000000"/>
        </w:rPr>
        <w:t>-</w:t>
      </w:r>
      <w:proofErr w:type="spellStart"/>
      <w:r>
        <w:rPr>
          <w:color w:val="000000"/>
        </w:rPr>
        <w:t>Thoughts</w:t>
      </w:r>
      <w:proofErr w:type="spellEnd"/>
      <w:r>
        <w:rPr>
          <w:color w:val="000000"/>
        </w:rPr>
        <w:t xml:space="preserve">” </w:t>
      </w:r>
      <w:r>
        <w:rPr>
          <w:color w:val="000000"/>
        </w:rPr>
        <w:lastRenderedPageBreak/>
        <w:t>(</w:t>
      </w:r>
      <w:proofErr w:type="spellStart"/>
      <w:r>
        <w:rPr>
          <w:color w:val="000000"/>
        </w:rPr>
        <w:t>CoT</w:t>
      </w:r>
      <w:proofErr w:type="spellEnd"/>
      <w:r>
        <w:rPr>
          <w:color w:val="000000"/>
        </w:rPr>
        <w:t>), apresentada originalmente por Wei et al. (2022), e “Self-</w:t>
      </w:r>
      <w:proofErr w:type="spellStart"/>
      <w:r>
        <w:rPr>
          <w:color w:val="000000"/>
        </w:rPr>
        <w:t>Consistency</w:t>
      </w:r>
      <w:proofErr w:type="spellEnd"/>
      <w:r>
        <w:rPr>
          <w:color w:val="000000"/>
        </w:rPr>
        <w:t>” de Wang et al. (2023).</w:t>
      </w:r>
    </w:p>
    <w:p w14:paraId="58956969" w14:textId="77777777" w:rsidR="007B5286" w:rsidRDefault="007B5286" w:rsidP="007B5286">
      <w:pPr>
        <w:pStyle w:val="NormalWeb"/>
        <w:spacing w:before="0" w:beforeAutospacing="0" w:after="0" w:afterAutospacing="0" w:line="360" w:lineRule="auto"/>
        <w:ind w:firstLine="709"/>
        <w:jc w:val="both"/>
        <w:rPr>
          <w:color w:val="000000"/>
        </w:rPr>
      </w:pPr>
      <w:r>
        <w:rPr>
          <w:color w:val="000000"/>
        </w:rPr>
        <w:t xml:space="preserve">Adicionalmente, estudos recentes têm ampliado a discussão sobre a validação dos resultados dos </w:t>
      </w:r>
      <w:proofErr w:type="spellStart"/>
      <w:r>
        <w:rPr>
          <w:color w:val="000000"/>
        </w:rPr>
        <w:t>LLMs</w:t>
      </w:r>
      <w:proofErr w:type="spellEnd"/>
      <w:r>
        <w:rPr>
          <w:color w:val="000000"/>
        </w:rPr>
        <w:t xml:space="preserve"> em comparação com métodos tradicionais e sobre a importância da supervisão humana na análise dos outputs gerados, reforçando a necessidade de uma abordagem híbrida que combine inteligência artificial e expertise humana.</w:t>
      </w:r>
    </w:p>
    <w:p w14:paraId="76F9C060" w14:textId="77777777" w:rsidR="007B5286" w:rsidRDefault="007B5286" w:rsidP="007B5286">
      <w:pPr>
        <w:pStyle w:val="NormalWeb"/>
        <w:spacing w:before="0" w:beforeAutospacing="0" w:after="0" w:afterAutospacing="0" w:line="360" w:lineRule="auto"/>
        <w:ind w:firstLine="709"/>
        <w:jc w:val="both"/>
        <w:rPr>
          <w:color w:val="000000"/>
        </w:rPr>
      </w:pPr>
      <w:r>
        <w:rPr>
          <w:color w:val="000000"/>
        </w:rPr>
        <w:t>Esta revisão de literatura prosseguirá com a apresentação das técnicas modernas de “</w:t>
      </w:r>
      <w:proofErr w:type="spellStart"/>
      <w:r>
        <w:rPr>
          <w:color w:val="000000"/>
        </w:rPr>
        <w:t>prompting</w:t>
      </w:r>
      <w:proofErr w:type="spellEnd"/>
      <w:r>
        <w:rPr>
          <w:color w:val="000000"/>
        </w:rPr>
        <w:t xml:space="preserve">” para, em seguida, explorar trabalhos em finanças que utilizam os modelos </w:t>
      </w:r>
      <w:proofErr w:type="spellStart"/>
      <w:r>
        <w:rPr>
          <w:color w:val="000000"/>
        </w:rPr>
        <w:t>LLMs</w:t>
      </w:r>
      <w:proofErr w:type="spellEnd"/>
      <w:r>
        <w:rPr>
          <w:color w:val="000000"/>
        </w:rPr>
        <w:t xml:space="preserve"> em situações específicas.</w:t>
      </w:r>
    </w:p>
    <w:p w14:paraId="520BA498" w14:textId="77777777" w:rsidR="00DD181D" w:rsidRDefault="00DD181D" w:rsidP="007E7195">
      <w:pPr>
        <w:spacing w:after="273" w:line="360" w:lineRule="auto"/>
      </w:pPr>
    </w:p>
    <w:p w14:paraId="73D379B2" w14:textId="61F31AD8" w:rsidR="00CF03CF" w:rsidRDefault="00000000" w:rsidP="007E7195">
      <w:pPr>
        <w:pStyle w:val="Ttulo2"/>
        <w:spacing w:after="55" w:line="259" w:lineRule="auto"/>
        <w:ind w:left="-15" w:firstLine="0"/>
      </w:pPr>
      <w:bookmarkStart w:id="4" w:name="_Toc194592220"/>
      <w:r>
        <w:t xml:space="preserve">2.2 </w:t>
      </w:r>
      <w:r w:rsidR="00DD181D">
        <w:t>Técnicas de “</w:t>
      </w:r>
      <w:proofErr w:type="spellStart"/>
      <w:r w:rsidR="00DD181D">
        <w:t>prompting</w:t>
      </w:r>
      <w:proofErr w:type="spellEnd"/>
      <w:r w:rsidR="00DD181D">
        <w:t>”</w:t>
      </w:r>
      <w:bookmarkEnd w:id="4"/>
      <w:r>
        <w:t xml:space="preserve"> </w:t>
      </w:r>
    </w:p>
    <w:p w14:paraId="484B1FA9" w14:textId="5629449E" w:rsidR="00CF03CF" w:rsidRDefault="00CF03CF" w:rsidP="007E7195">
      <w:pPr>
        <w:spacing w:line="360" w:lineRule="auto"/>
        <w:ind w:firstLine="709"/>
      </w:pPr>
    </w:p>
    <w:p w14:paraId="7182A466" w14:textId="77777777" w:rsidR="007B5286" w:rsidRPr="007B5286" w:rsidRDefault="007B5286" w:rsidP="007B5286">
      <w:pPr>
        <w:spacing w:line="360" w:lineRule="auto"/>
        <w:ind w:firstLine="709"/>
        <w:rPr>
          <w:lang w:val="en-US"/>
        </w:rPr>
      </w:pPr>
      <w:r w:rsidRPr="007B5286">
        <w:t xml:space="preserve">Técnicas específicas para enviar instruções a modelos </w:t>
      </w:r>
      <w:proofErr w:type="spellStart"/>
      <w:r w:rsidRPr="007B5286">
        <w:t>LLMs</w:t>
      </w:r>
      <w:proofErr w:type="spellEnd"/>
      <w:r w:rsidRPr="007B5286">
        <w:t xml:space="preserve"> começaram a ser exploradas e registradas na literatura com Brown et al. (2020), que demonstraram que modelos com grande quantidade de parâmetros – por exemplo, 175 bilhões – tendem a apresentar desempenho aprimorado quando expostos a alguns exemplos de entradas e saídas sobre temas similares, técnica conhecida como “</w:t>
      </w:r>
      <w:proofErr w:type="spellStart"/>
      <w:r w:rsidRPr="007B5286">
        <w:t>few</w:t>
      </w:r>
      <w:proofErr w:type="spellEnd"/>
      <w:r w:rsidRPr="007B5286">
        <w:t xml:space="preserve">-shots </w:t>
      </w:r>
      <w:proofErr w:type="spellStart"/>
      <w:r w:rsidRPr="007B5286">
        <w:t>prompting</w:t>
      </w:r>
      <w:proofErr w:type="spellEnd"/>
      <w:r w:rsidRPr="007B5286">
        <w:t xml:space="preserve">”. Posteriormente, Wei et al. (2022) forneceram uma abordagem alternativa, instruindo o modelo por meio de etapas de raciocínios intermediários para resolver a questão central da instrução. </w:t>
      </w:r>
      <w:r w:rsidRPr="007B5286">
        <w:rPr>
          <w:lang w:val="en-US"/>
        </w:rPr>
        <w:t xml:space="preserve">Conforme </w:t>
      </w:r>
      <w:proofErr w:type="spellStart"/>
      <w:r w:rsidRPr="007B5286">
        <w:rPr>
          <w:lang w:val="en-US"/>
        </w:rPr>
        <w:t>definido</w:t>
      </w:r>
      <w:proofErr w:type="spellEnd"/>
      <w:r w:rsidRPr="007B5286">
        <w:rPr>
          <w:lang w:val="en-US"/>
        </w:rPr>
        <w:t xml:space="preserve"> </w:t>
      </w:r>
      <w:proofErr w:type="spellStart"/>
      <w:r w:rsidRPr="007B5286">
        <w:rPr>
          <w:lang w:val="en-US"/>
        </w:rPr>
        <w:t>pelos</w:t>
      </w:r>
      <w:proofErr w:type="spellEnd"/>
      <w:r w:rsidRPr="007B5286">
        <w:rPr>
          <w:lang w:val="en-US"/>
        </w:rPr>
        <w:t xml:space="preserve"> </w:t>
      </w:r>
      <w:proofErr w:type="spellStart"/>
      <w:r w:rsidRPr="007B5286">
        <w:rPr>
          <w:lang w:val="en-US"/>
        </w:rPr>
        <w:t>autores</w:t>
      </w:r>
      <w:proofErr w:type="spellEnd"/>
      <w:r w:rsidRPr="007B5286">
        <w:rPr>
          <w:lang w:val="en-US"/>
        </w:rPr>
        <w:t xml:space="preserve">: </w:t>
      </w:r>
    </w:p>
    <w:p w14:paraId="3DD287C8" w14:textId="2004C191" w:rsidR="005C67FF" w:rsidRPr="00111433" w:rsidRDefault="005C67FF" w:rsidP="000A4F05">
      <w:pPr>
        <w:spacing w:beforeAutospacing="1" w:afterAutospacing="1"/>
        <w:ind w:left="1416"/>
        <w:rPr>
          <w:lang w:val="en-US"/>
        </w:rPr>
      </w:pPr>
      <w:r w:rsidRPr="005C67FF">
        <w:rPr>
          <w:sz w:val="20"/>
          <w:szCs w:val="20"/>
          <w:lang w:val="en-US"/>
        </w:rPr>
        <w:t>“A chain of thought is a series of intermediate natural language reasoning steps that lead to the final output, and we refer to this approach as chain-of-thought prompting”</w:t>
      </w:r>
      <w:r w:rsidRPr="00111433">
        <w:rPr>
          <w:lang w:val="en-US"/>
        </w:rPr>
        <w:t xml:space="preserve"> </w:t>
      </w:r>
      <w:r w:rsidRPr="005C67FF">
        <w:rPr>
          <w:sz w:val="20"/>
          <w:szCs w:val="20"/>
          <w:lang w:val="en-US"/>
        </w:rPr>
        <w:t>(WEI et al., 2022, p.2).</w:t>
      </w:r>
    </w:p>
    <w:p w14:paraId="3B1C0AAE" w14:textId="77777777" w:rsidR="005C67FF" w:rsidRPr="005C67FF" w:rsidRDefault="005C67FF" w:rsidP="007B5286">
      <w:pPr>
        <w:spacing w:line="360" w:lineRule="auto"/>
        <w:ind w:firstLine="709"/>
        <w:rPr>
          <w:lang w:val="en-US"/>
        </w:rPr>
      </w:pPr>
    </w:p>
    <w:p w14:paraId="7F5965D0" w14:textId="571D69D2" w:rsidR="007B5286" w:rsidRPr="007B5286" w:rsidRDefault="007B5286" w:rsidP="007B5286">
      <w:pPr>
        <w:spacing w:line="360" w:lineRule="auto"/>
        <w:ind w:firstLine="709"/>
      </w:pPr>
      <w:r w:rsidRPr="007B5286">
        <w:rPr>
          <w:rFonts w:ascii="-webkit-standard" w:hAnsi="-webkit-standard"/>
        </w:rPr>
        <w:t>A abordagem de Wei et al. (2022) não visava substituir o método “</w:t>
      </w:r>
      <w:proofErr w:type="spellStart"/>
      <w:r w:rsidRPr="007B5286">
        <w:rPr>
          <w:rFonts w:ascii="-webkit-standard" w:hAnsi="-webkit-standard"/>
        </w:rPr>
        <w:t>few</w:t>
      </w:r>
      <w:proofErr w:type="spellEnd"/>
      <w:r w:rsidRPr="007B5286">
        <w:rPr>
          <w:rFonts w:ascii="-webkit-standard" w:hAnsi="-webkit-standard"/>
        </w:rPr>
        <w:t>-shots” de Brown et al. (2020), mas complementá-lo. De acordo com Wei et al. (2022, p.3), algumas características fundamentais do método incluem:</w:t>
      </w:r>
    </w:p>
    <w:p w14:paraId="70B6A5B2" w14:textId="77777777" w:rsidR="005C67FF" w:rsidRPr="00111433" w:rsidRDefault="005C67FF" w:rsidP="005C67FF">
      <w:pPr>
        <w:numPr>
          <w:ilvl w:val="0"/>
          <w:numId w:val="4"/>
        </w:numPr>
        <w:spacing w:before="100" w:beforeAutospacing="1" w:after="100" w:afterAutospacing="1" w:line="360" w:lineRule="auto"/>
        <w:ind w:left="0" w:firstLine="709"/>
      </w:pPr>
      <w:r w:rsidRPr="00111433">
        <w:t>Permitir que os modelos decompõem os problemas em múltiplas etapas;</w:t>
      </w:r>
    </w:p>
    <w:p w14:paraId="29FF7E9F" w14:textId="77777777" w:rsidR="005C67FF" w:rsidRPr="00111433" w:rsidRDefault="005C67FF" w:rsidP="005C67FF">
      <w:pPr>
        <w:numPr>
          <w:ilvl w:val="0"/>
          <w:numId w:val="4"/>
        </w:numPr>
        <w:spacing w:before="100" w:beforeAutospacing="1" w:after="100" w:afterAutospacing="1" w:line="360" w:lineRule="auto"/>
        <w:ind w:left="0" w:firstLine="709"/>
      </w:pPr>
      <w:r w:rsidRPr="00111433">
        <w:t>Possibilitar a verificação do raciocínio empregado pelo LLM, permitindo detectar possíveis enganos;</w:t>
      </w:r>
    </w:p>
    <w:p w14:paraId="49A97566" w14:textId="77777777" w:rsidR="005C67FF" w:rsidRPr="00111433" w:rsidRDefault="005C67FF" w:rsidP="005C67FF">
      <w:pPr>
        <w:numPr>
          <w:ilvl w:val="0"/>
          <w:numId w:val="4"/>
        </w:numPr>
        <w:spacing w:before="100" w:beforeAutospacing="1" w:after="100" w:afterAutospacing="1" w:line="360" w:lineRule="auto"/>
        <w:ind w:left="0" w:firstLine="709"/>
      </w:pPr>
      <w:r w:rsidRPr="00111433">
        <w:t>Ampliar a gama de tarefas possíveis, englobando desde problemas matemáticos até questões de senso comum e manipulações simbólicas;</w:t>
      </w:r>
    </w:p>
    <w:p w14:paraId="0509A984" w14:textId="77777777" w:rsidR="005C67FF" w:rsidRPr="00111433" w:rsidRDefault="005C67FF" w:rsidP="005C67FF">
      <w:pPr>
        <w:numPr>
          <w:ilvl w:val="0"/>
          <w:numId w:val="4"/>
        </w:numPr>
        <w:spacing w:before="100" w:beforeAutospacing="1" w:after="100" w:afterAutospacing="1" w:line="360" w:lineRule="auto"/>
        <w:ind w:left="0" w:firstLine="709"/>
      </w:pPr>
      <w:r w:rsidRPr="00111433">
        <w:lastRenderedPageBreak/>
        <w:t>Integrar-se facilmente a métodos </w:t>
      </w:r>
      <w:proofErr w:type="spellStart"/>
      <w:r w:rsidRPr="00111433">
        <w:rPr>
          <w:i/>
          <w:iCs/>
        </w:rPr>
        <w:t>few</w:t>
      </w:r>
      <w:proofErr w:type="spellEnd"/>
      <w:r w:rsidRPr="00111433">
        <w:rPr>
          <w:i/>
          <w:iCs/>
        </w:rPr>
        <w:t>-shots</w:t>
      </w:r>
      <w:r w:rsidRPr="00111433">
        <w:t> já existentes.</w:t>
      </w:r>
    </w:p>
    <w:p w14:paraId="0A86D924" w14:textId="74A8E454" w:rsidR="007E7195" w:rsidRDefault="005C67FF" w:rsidP="005C67FF">
      <w:pPr>
        <w:spacing w:line="360" w:lineRule="auto"/>
        <w:ind w:firstLine="709"/>
      </w:pPr>
      <w:proofErr w:type="spellStart"/>
      <w:r w:rsidRPr="00111433">
        <w:t>Kojima</w:t>
      </w:r>
      <w:proofErr w:type="spellEnd"/>
      <w:r w:rsidRPr="00111433">
        <w:t xml:space="preserve"> et al. (2023)</w:t>
      </w:r>
      <w:r>
        <w:t>, percebeu que o método “</w:t>
      </w:r>
      <w:r w:rsidRPr="00B44A9A">
        <w:rPr>
          <w:i/>
          <w:iCs/>
        </w:rPr>
        <w:t>Chain-</w:t>
      </w:r>
      <w:proofErr w:type="spellStart"/>
      <w:r w:rsidRPr="00B44A9A">
        <w:rPr>
          <w:i/>
          <w:iCs/>
        </w:rPr>
        <w:t>of</w:t>
      </w:r>
      <w:proofErr w:type="spellEnd"/>
      <w:r w:rsidRPr="00B44A9A">
        <w:rPr>
          <w:i/>
          <w:iCs/>
        </w:rPr>
        <w:t>-</w:t>
      </w:r>
      <w:proofErr w:type="spellStart"/>
      <w:r w:rsidRPr="00B44A9A">
        <w:rPr>
          <w:i/>
          <w:iCs/>
        </w:rPr>
        <w:t>Thoughts</w:t>
      </w:r>
      <w:proofErr w:type="spellEnd"/>
      <w:r>
        <w:t>” poderia ser simplificado e ter seu uso ampliado, mesmo em casos de não haver exemplos ou instruções claras para seguir. Seu método ficou conhecido como “</w:t>
      </w:r>
      <w:r w:rsidRPr="00B44A9A">
        <w:rPr>
          <w:i/>
          <w:iCs/>
        </w:rPr>
        <w:t>Zero-Shot Chain-</w:t>
      </w:r>
      <w:proofErr w:type="spellStart"/>
      <w:r w:rsidRPr="00B44A9A">
        <w:rPr>
          <w:i/>
          <w:iCs/>
        </w:rPr>
        <w:t>of</w:t>
      </w:r>
      <w:proofErr w:type="spellEnd"/>
      <w:r w:rsidRPr="00B44A9A">
        <w:rPr>
          <w:i/>
          <w:iCs/>
        </w:rPr>
        <w:t>-</w:t>
      </w:r>
      <w:proofErr w:type="spellStart"/>
      <w:r w:rsidRPr="00B44A9A">
        <w:rPr>
          <w:i/>
          <w:iCs/>
        </w:rPr>
        <w:t>Thoughts</w:t>
      </w:r>
      <w:proofErr w:type="spellEnd"/>
      <w:r>
        <w:t>” e sua contribuição foi demonstrar que uma etapa simples como incluir “</w:t>
      </w:r>
      <w:r w:rsidR="008A7AAE">
        <w:t>pense em etapa por etapa</w:t>
      </w:r>
      <w:r>
        <w:t>”</w:t>
      </w:r>
      <w:r w:rsidR="008A7AAE">
        <w:t xml:space="preserve"> ao final da instrução poderia favorecer o aumento da eficácia do modelo em métricas utilizadas no setor, por exemplo, </w:t>
      </w:r>
      <w:r w:rsidR="008A7AAE" w:rsidRPr="00111433">
        <w:t>o acerto no teste “</w:t>
      </w:r>
      <w:proofErr w:type="spellStart"/>
      <w:r w:rsidR="008A7AAE" w:rsidRPr="00111433">
        <w:t>MultiArith</w:t>
      </w:r>
      <w:proofErr w:type="spellEnd"/>
      <w:r w:rsidR="008A7AAE" w:rsidRPr="00111433">
        <w:t xml:space="preserve">” sobe de 17,7% para 78,7%, ao passo que no teste GSM8K </w:t>
      </w:r>
      <w:r w:rsidR="00763F1C">
        <w:t>o avanço foi</w:t>
      </w:r>
      <w:r w:rsidR="008A7AAE" w:rsidRPr="00111433">
        <w:t xml:space="preserve"> de 10,4% para 40,7%</w:t>
      </w:r>
      <w:r w:rsidR="008A7AAE">
        <w:t>.</w:t>
      </w:r>
    </w:p>
    <w:p w14:paraId="25AC09F8" w14:textId="77777777" w:rsidR="007B5286" w:rsidRPr="007B5286" w:rsidRDefault="007B5286" w:rsidP="00B44A9A">
      <w:pPr>
        <w:spacing w:line="360" w:lineRule="auto"/>
        <w:ind w:firstLine="709"/>
      </w:pPr>
      <w:r w:rsidRPr="007B5286">
        <w:t>Uma questão central para os usuários desses modelos em atividades de análise é que, em situações envolvendo o envio de instruções com um número elevado de tokens, pode ocorrer a geração de respostas divergentes para a mesma pergunta, mesmo com o parâmetro de aleatoriedade (“</w:t>
      </w:r>
      <w:proofErr w:type="spellStart"/>
      <w:r w:rsidRPr="007B5286">
        <w:t>Temperature</w:t>
      </w:r>
      <w:proofErr w:type="spellEnd"/>
      <w:r w:rsidRPr="007B5286">
        <w:t>”) ajustado para 0. Para contornar esse problema, Wang et al. (2023) propuseram o método “Self-</w:t>
      </w:r>
      <w:proofErr w:type="spellStart"/>
      <w:r w:rsidRPr="007B5286">
        <w:t>Consistency</w:t>
      </w:r>
      <w:proofErr w:type="spellEnd"/>
      <w:r w:rsidRPr="007B5286">
        <w:t>” como alternativa ao Chain-</w:t>
      </w:r>
      <w:proofErr w:type="spellStart"/>
      <w:r w:rsidRPr="007B5286">
        <w:t>of</w:t>
      </w:r>
      <w:proofErr w:type="spellEnd"/>
      <w:r w:rsidRPr="007B5286">
        <w:t>-</w:t>
      </w:r>
      <w:proofErr w:type="spellStart"/>
      <w:r w:rsidRPr="007B5286">
        <w:t>Thought</w:t>
      </w:r>
      <w:proofErr w:type="spellEnd"/>
      <w:r w:rsidRPr="007B5286">
        <w:t xml:space="preserve">, no qual o modelo gera diversas respostas para </w:t>
      </w:r>
      <w:proofErr w:type="gramStart"/>
      <w:r w:rsidRPr="007B5286">
        <w:t>o mesmo</w:t>
      </w:r>
      <w:proofErr w:type="gramEnd"/>
      <w:r w:rsidRPr="007B5286">
        <w:t xml:space="preserve"> prompt e adota como resposta final aquela que se repete com maior frequência. Em testes realizados com UL2-20B, GPT3-175B, LaMDA-137B e PaLM-540B, o método Self-</w:t>
      </w:r>
      <w:proofErr w:type="spellStart"/>
      <w:r w:rsidRPr="007B5286">
        <w:t>Consistency</w:t>
      </w:r>
      <w:proofErr w:type="spellEnd"/>
      <w:r w:rsidRPr="007B5286">
        <w:t xml:space="preserve"> superou o </w:t>
      </w:r>
      <w:proofErr w:type="spellStart"/>
      <w:r w:rsidRPr="007B5286">
        <w:t>CoT</w:t>
      </w:r>
      <w:proofErr w:type="spellEnd"/>
      <w:r w:rsidRPr="007B5286">
        <w:t xml:space="preserve"> em tarefas de raciocínio aritmético e de senso comum, mesmo em cenários onde o </w:t>
      </w:r>
      <w:proofErr w:type="spellStart"/>
      <w:r w:rsidRPr="007B5286">
        <w:t>CoT</w:t>
      </w:r>
      <w:proofErr w:type="spellEnd"/>
      <w:r w:rsidRPr="007B5286">
        <w:t xml:space="preserve"> não apresentava melhorias consistentes.</w:t>
      </w:r>
    </w:p>
    <w:p w14:paraId="3FC2C07A" w14:textId="0FD97D63" w:rsidR="00B44A9A" w:rsidRDefault="00B44A9A" w:rsidP="00B44A9A">
      <w:pPr>
        <w:spacing w:line="360" w:lineRule="auto"/>
        <w:ind w:firstLine="709"/>
      </w:pPr>
      <w:r w:rsidRPr="00B44A9A">
        <w:t xml:space="preserve">Já Yao et al. </w:t>
      </w:r>
      <w:r w:rsidRPr="00111433">
        <w:t>(2023) introduziram a abordagem “</w:t>
      </w:r>
      <w:proofErr w:type="spellStart"/>
      <w:r w:rsidRPr="00111433">
        <w:t>Tree</w:t>
      </w:r>
      <w:proofErr w:type="spellEnd"/>
      <w:r w:rsidRPr="00111433">
        <w:t xml:space="preserve"> </w:t>
      </w:r>
      <w:proofErr w:type="spellStart"/>
      <w:r w:rsidRPr="00111433">
        <w:t>of</w:t>
      </w:r>
      <w:proofErr w:type="spellEnd"/>
      <w:r w:rsidRPr="00111433">
        <w:t xml:space="preserve"> </w:t>
      </w:r>
      <w:proofErr w:type="spellStart"/>
      <w:r w:rsidRPr="00111433">
        <w:t>Thoughts</w:t>
      </w:r>
      <w:proofErr w:type="spellEnd"/>
      <w:r w:rsidRPr="00111433">
        <w:t>” (</w:t>
      </w:r>
      <w:proofErr w:type="spellStart"/>
      <w:r w:rsidRPr="00111433">
        <w:t>ToT</w:t>
      </w:r>
      <w:proofErr w:type="spellEnd"/>
      <w:r w:rsidRPr="00111433">
        <w:t>), distinta do </w:t>
      </w:r>
      <w:r w:rsidRPr="00111433">
        <w:rPr>
          <w:i/>
          <w:iCs/>
        </w:rPr>
        <w:t>Self-</w:t>
      </w:r>
      <w:proofErr w:type="spellStart"/>
      <w:r w:rsidRPr="00111433">
        <w:rPr>
          <w:i/>
          <w:iCs/>
        </w:rPr>
        <w:t>Consistency</w:t>
      </w:r>
      <w:proofErr w:type="spellEnd"/>
      <w:r w:rsidRPr="00111433">
        <w:t> de Wang (2023) quanto ao modo de organização do raciocínio. Em vez de gerar múltiplas respostas e escolher a mais frequente, estimula-se a criação de uma “árvore de raciocínio”. No </w:t>
      </w:r>
      <w:r w:rsidRPr="00111433">
        <w:rPr>
          <w:i/>
          <w:iCs/>
        </w:rPr>
        <w:t>prompt</w:t>
      </w:r>
      <w:r w:rsidRPr="00111433">
        <w:t>, enfatiza-se a separação dos nós, incentivando o LLM a elaborar hipóteses passo a passo, totalmente orientadas pela natureza da tarefa em questão. Somente ao término desse processo obtém-se a conclusão. Essa estratégia requer, em alguns casos, ajustes no parâmetro </w:t>
      </w:r>
      <w:proofErr w:type="spellStart"/>
      <w:r w:rsidRPr="00111433">
        <w:rPr>
          <w:i/>
          <w:iCs/>
        </w:rPr>
        <w:t>Temperature</w:t>
      </w:r>
      <w:proofErr w:type="spellEnd"/>
      <w:r w:rsidRPr="00111433">
        <w:t> do modelo, pois esse controle influencia o grau de liberdade criativa na geração de hipóteses.</w:t>
      </w:r>
    </w:p>
    <w:p w14:paraId="615AC7BC" w14:textId="6AA57235" w:rsidR="00B44A9A" w:rsidRPr="00B44A9A" w:rsidRDefault="00B44A9A" w:rsidP="00B44A9A">
      <w:pPr>
        <w:spacing w:line="360" w:lineRule="auto"/>
        <w:ind w:firstLine="709"/>
      </w:pPr>
      <w:r w:rsidRPr="00111433">
        <w:t xml:space="preserve">Como </w:t>
      </w:r>
      <w:r w:rsidR="007B5286">
        <w:t>variação adicional</w:t>
      </w:r>
      <w:r w:rsidRPr="00111433">
        <w:t xml:space="preserve"> do raciocínio passo a passo, Wang (2023, p.2) descreve o “</w:t>
      </w:r>
      <w:proofErr w:type="spellStart"/>
      <w:r w:rsidRPr="006F72F8">
        <w:rPr>
          <w:i/>
          <w:iCs/>
        </w:rPr>
        <w:t>Plan</w:t>
      </w:r>
      <w:proofErr w:type="spellEnd"/>
      <w:r w:rsidRPr="006F72F8">
        <w:rPr>
          <w:i/>
          <w:iCs/>
        </w:rPr>
        <w:t>-</w:t>
      </w:r>
      <w:proofErr w:type="spellStart"/>
      <w:r w:rsidRPr="006F72F8">
        <w:rPr>
          <w:i/>
          <w:iCs/>
        </w:rPr>
        <w:t>and</w:t>
      </w:r>
      <w:proofErr w:type="spellEnd"/>
      <w:r w:rsidRPr="006F72F8">
        <w:rPr>
          <w:i/>
          <w:iCs/>
        </w:rPr>
        <w:t>-Solve</w:t>
      </w:r>
      <w:r w:rsidRPr="00111433">
        <w:t>”, também chamado de “</w:t>
      </w:r>
      <w:r w:rsidR="006F72F8" w:rsidRPr="006F72F8">
        <w:rPr>
          <w:i/>
          <w:iCs/>
        </w:rPr>
        <w:t>A</w:t>
      </w:r>
      <w:r w:rsidRPr="006F72F8">
        <w:rPr>
          <w:i/>
          <w:iCs/>
        </w:rPr>
        <w:t xml:space="preserve"> new </w:t>
      </w:r>
      <w:r w:rsidR="006F72F8" w:rsidRPr="006F72F8">
        <w:rPr>
          <w:i/>
          <w:iCs/>
        </w:rPr>
        <w:t>Z</w:t>
      </w:r>
      <w:r w:rsidRPr="006F72F8">
        <w:rPr>
          <w:i/>
          <w:iCs/>
        </w:rPr>
        <w:t>ero-</w:t>
      </w:r>
      <w:r w:rsidR="006F72F8" w:rsidRPr="006F72F8">
        <w:rPr>
          <w:i/>
          <w:iCs/>
        </w:rPr>
        <w:t>S</w:t>
      </w:r>
      <w:r w:rsidRPr="006F72F8">
        <w:rPr>
          <w:i/>
          <w:iCs/>
        </w:rPr>
        <w:t xml:space="preserve">hot </w:t>
      </w:r>
      <w:proofErr w:type="spellStart"/>
      <w:r w:rsidRPr="006F72F8">
        <w:rPr>
          <w:i/>
          <w:iCs/>
        </w:rPr>
        <w:t>CoT</w:t>
      </w:r>
      <w:proofErr w:type="spellEnd"/>
      <w:r w:rsidRPr="00111433">
        <w:t>”. Es</w:t>
      </w:r>
      <w:r w:rsidR="006F72F8">
        <w:t>t</w:t>
      </w:r>
      <w:r w:rsidRPr="00111433">
        <w:t xml:space="preserve">e método demanda que o modelo primeiro gere um plano para, posteriormente, executar a tarefa, incluindo o raciocínio intermediário. </w:t>
      </w:r>
      <w:r w:rsidRPr="00B44A9A">
        <w:t>Essa abordagem é expressa em seu trabalho conforme é mencionado:</w:t>
      </w:r>
    </w:p>
    <w:p w14:paraId="72AD6D4F" w14:textId="1AD3937F" w:rsidR="00B44A9A" w:rsidRPr="00B44A9A" w:rsidRDefault="00B44A9A" w:rsidP="00B44A9A">
      <w:pPr>
        <w:spacing w:line="360" w:lineRule="auto"/>
        <w:ind w:left="1416"/>
        <w:rPr>
          <w:sz w:val="20"/>
          <w:szCs w:val="20"/>
          <w:lang w:val="en-US"/>
        </w:rPr>
      </w:pPr>
      <w:r w:rsidRPr="00B44A9A">
        <w:rPr>
          <w:sz w:val="20"/>
          <w:szCs w:val="20"/>
          <w:lang w:val="en-US"/>
        </w:rPr>
        <w:t>“Capable of generating a higher-quality reasoning process than Zero-shot-</w:t>
      </w:r>
      <w:proofErr w:type="spellStart"/>
      <w:r w:rsidRPr="00B44A9A">
        <w:rPr>
          <w:sz w:val="20"/>
          <w:szCs w:val="20"/>
          <w:lang w:val="en-US"/>
        </w:rPr>
        <w:t>CoT</w:t>
      </w:r>
      <w:proofErr w:type="spellEnd"/>
      <w:r w:rsidRPr="00B44A9A">
        <w:rPr>
          <w:sz w:val="20"/>
          <w:szCs w:val="20"/>
          <w:lang w:val="en-US"/>
        </w:rPr>
        <w:t xml:space="preserve"> prompting, as the PS prompts provide more detailed instructions guiding the LLMs to perform correct reasoning tasks.” (Wang, 2023, p.2):</w:t>
      </w:r>
    </w:p>
    <w:p w14:paraId="64D6E2D0" w14:textId="77777777" w:rsidR="00B44A9A" w:rsidRDefault="00B44A9A" w:rsidP="00B44A9A">
      <w:pPr>
        <w:spacing w:line="360" w:lineRule="auto"/>
        <w:ind w:firstLine="709"/>
        <w:rPr>
          <w:lang w:val="en-US"/>
        </w:rPr>
      </w:pPr>
    </w:p>
    <w:p w14:paraId="76AE6011" w14:textId="06A2A389" w:rsidR="007E7195" w:rsidRDefault="00B44A9A" w:rsidP="008D5152">
      <w:pPr>
        <w:spacing w:line="360" w:lineRule="auto"/>
        <w:ind w:firstLine="709"/>
      </w:pPr>
      <w:r w:rsidRPr="00111433">
        <w:rPr>
          <w:lang w:val="en-US"/>
        </w:rPr>
        <w:t>No </w:t>
      </w:r>
      <w:r>
        <w:rPr>
          <w:lang w:val="en-US"/>
        </w:rPr>
        <w:t>“</w:t>
      </w:r>
      <w:r w:rsidRPr="00111433">
        <w:rPr>
          <w:i/>
          <w:iCs/>
          <w:lang w:val="en-US"/>
        </w:rPr>
        <w:t>Zero-shot PS</w:t>
      </w:r>
      <w:r>
        <w:rPr>
          <w:i/>
          <w:iCs/>
          <w:lang w:val="en-US"/>
        </w:rPr>
        <w:t>”</w:t>
      </w:r>
      <w:r w:rsidRPr="00111433">
        <w:rPr>
          <w:lang w:val="en-US"/>
        </w:rPr>
        <w:t xml:space="preserve">, </w:t>
      </w:r>
      <w:proofErr w:type="gramStart"/>
      <w:r w:rsidRPr="00111433">
        <w:rPr>
          <w:lang w:val="en-US"/>
        </w:rPr>
        <w:t>a</w:t>
      </w:r>
      <w:proofErr w:type="gramEnd"/>
      <w:r w:rsidRPr="00111433">
        <w:rPr>
          <w:lang w:val="en-US"/>
        </w:rPr>
        <w:t xml:space="preserve"> </w:t>
      </w:r>
      <w:proofErr w:type="spellStart"/>
      <w:r w:rsidRPr="00111433">
        <w:rPr>
          <w:lang w:val="en-US"/>
        </w:rPr>
        <w:t>instrução</w:t>
      </w:r>
      <w:proofErr w:type="spellEnd"/>
      <w:r w:rsidRPr="00111433">
        <w:rPr>
          <w:lang w:val="en-US"/>
        </w:rPr>
        <w:t xml:space="preserve"> </w:t>
      </w:r>
      <w:proofErr w:type="spellStart"/>
      <w:r w:rsidRPr="00111433">
        <w:rPr>
          <w:lang w:val="en-US"/>
        </w:rPr>
        <w:t>vai</w:t>
      </w:r>
      <w:proofErr w:type="spellEnd"/>
      <w:r w:rsidRPr="00111433">
        <w:rPr>
          <w:lang w:val="en-US"/>
        </w:rPr>
        <w:t xml:space="preserve"> </w:t>
      </w:r>
      <w:proofErr w:type="spellStart"/>
      <w:r w:rsidRPr="00111433">
        <w:rPr>
          <w:lang w:val="en-US"/>
        </w:rPr>
        <w:t>além</w:t>
      </w:r>
      <w:proofErr w:type="spellEnd"/>
      <w:r w:rsidRPr="00111433">
        <w:rPr>
          <w:lang w:val="en-US"/>
        </w:rPr>
        <w:t xml:space="preserve"> do “</w:t>
      </w:r>
      <w:r w:rsidRPr="00B44A9A">
        <w:rPr>
          <w:i/>
          <w:iCs/>
          <w:lang w:val="en-US"/>
        </w:rPr>
        <w:t>let’s think step by step</w:t>
      </w:r>
      <w:r w:rsidRPr="00111433">
        <w:rPr>
          <w:lang w:val="en-US"/>
        </w:rPr>
        <w:t xml:space="preserve">”, </w:t>
      </w:r>
      <w:proofErr w:type="spellStart"/>
      <w:r w:rsidRPr="00111433">
        <w:rPr>
          <w:lang w:val="en-US"/>
        </w:rPr>
        <w:t>podendo</w:t>
      </w:r>
      <w:proofErr w:type="spellEnd"/>
      <w:r w:rsidRPr="00111433">
        <w:rPr>
          <w:lang w:val="en-US"/>
        </w:rPr>
        <w:t xml:space="preserve"> ser algo </w:t>
      </w:r>
      <w:proofErr w:type="spellStart"/>
      <w:r w:rsidRPr="00111433">
        <w:rPr>
          <w:lang w:val="en-US"/>
        </w:rPr>
        <w:t>como</w:t>
      </w:r>
      <w:proofErr w:type="spellEnd"/>
      <w:r w:rsidRPr="00111433">
        <w:rPr>
          <w:lang w:val="en-US"/>
        </w:rPr>
        <w:t xml:space="preserve"> </w:t>
      </w:r>
      <w:proofErr w:type="spellStart"/>
      <w:r>
        <w:rPr>
          <w:lang w:val="en-US"/>
        </w:rPr>
        <w:t>em</w:t>
      </w:r>
      <w:proofErr w:type="spellEnd"/>
      <w:r>
        <w:rPr>
          <w:lang w:val="en-US"/>
        </w:rPr>
        <w:t xml:space="preserve"> </w:t>
      </w:r>
      <w:r w:rsidRPr="00111433">
        <w:rPr>
          <w:lang w:val="en-US"/>
        </w:rPr>
        <w:t xml:space="preserve">WANG </w:t>
      </w:r>
      <w:r>
        <w:rPr>
          <w:lang w:val="en-US"/>
        </w:rPr>
        <w:t>(</w:t>
      </w:r>
      <w:r w:rsidRPr="00111433">
        <w:rPr>
          <w:lang w:val="en-US"/>
        </w:rPr>
        <w:t>2023, p.3</w:t>
      </w:r>
      <w:r>
        <w:rPr>
          <w:lang w:val="en-US"/>
        </w:rPr>
        <w:t>)</w:t>
      </w:r>
      <w:r w:rsidRPr="00111433">
        <w:rPr>
          <w:lang w:val="en-US"/>
        </w:rPr>
        <w:t xml:space="preserve"> “Let’s first understand the problem and devise a plan to solve the problem. </w:t>
      </w:r>
      <w:r w:rsidRPr="00B163E5">
        <w:rPr>
          <w:lang w:val="en-US"/>
        </w:rPr>
        <w:t xml:space="preserve">Then, let’s carry out the plan and solve the problem step by step”. </w:t>
      </w:r>
      <w:r w:rsidRPr="00111433">
        <w:t>De</w:t>
      </w:r>
      <w:r w:rsidR="00B163E5">
        <w:t>st</w:t>
      </w:r>
      <w:r w:rsidRPr="00111433">
        <w:t>a forma, registraram-se ganhos de até 5% no desempenho em relação ao </w:t>
      </w:r>
      <w:r w:rsidR="00015063">
        <w:t>“</w:t>
      </w:r>
      <w:r w:rsidRPr="00111433">
        <w:rPr>
          <w:i/>
          <w:iCs/>
        </w:rPr>
        <w:t xml:space="preserve">Zero-Shot </w:t>
      </w:r>
      <w:proofErr w:type="spellStart"/>
      <w:r w:rsidRPr="00111433">
        <w:rPr>
          <w:i/>
          <w:iCs/>
        </w:rPr>
        <w:t>CoT</w:t>
      </w:r>
      <w:proofErr w:type="spellEnd"/>
      <w:r w:rsidR="00015063">
        <w:rPr>
          <w:i/>
          <w:iCs/>
        </w:rPr>
        <w:t>”</w:t>
      </w:r>
      <w:r w:rsidRPr="00111433">
        <w:t>, que se ampliam quando se combina o método ao “</w:t>
      </w:r>
      <w:r w:rsidRPr="00B44A9A">
        <w:rPr>
          <w:i/>
          <w:iCs/>
        </w:rPr>
        <w:t>Self-</w:t>
      </w:r>
      <w:proofErr w:type="spellStart"/>
      <w:r w:rsidRPr="00B44A9A">
        <w:rPr>
          <w:i/>
          <w:iCs/>
        </w:rPr>
        <w:t>Consistency</w:t>
      </w:r>
      <w:proofErr w:type="spellEnd"/>
      <w:r w:rsidRPr="00111433">
        <w:t>”.</w:t>
      </w:r>
      <w:r w:rsidR="0090107A">
        <w:t xml:space="preserve"> </w:t>
      </w:r>
    </w:p>
    <w:p w14:paraId="47F9C352" w14:textId="77777777" w:rsidR="008D5152" w:rsidRPr="005C67FF" w:rsidRDefault="008D5152" w:rsidP="008D5152">
      <w:pPr>
        <w:spacing w:line="360" w:lineRule="auto"/>
        <w:ind w:firstLine="709"/>
      </w:pPr>
    </w:p>
    <w:p w14:paraId="7DD3B034" w14:textId="017C1B1D" w:rsidR="00CF03CF" w:rsidRDefault="00000000" w:rsidP="008D5152">
      <w:pPr>
        <w:pStyle w:val="Ttulo2"/>
        <w:spacing w:after="36" w:line="259" w:lineRule="auto"/>
        <w:ind w:left="-15" w:firstLine="0"/>
      </w:pPr>
      <w:bookmarkStart w:id="5" w:name="_Toc194592221"/>
      <w:r>
        <w:t xml:space="preserve">2.3 </w:t>
      </w:r>
      <w:r w:rsidR="006F72F8">
        <w:t>Uso de LLM em Finanças</w:t>
      </w:r>
      <w:bookmarkEnd w:id="5"/>
      <w:r>
        <w:t xml:space="preserve"> </w:t>
      </w:r>
    </w:p>
    <w:p w14:paraId="78726F81" w14:textId="77777777" w:rsidR="00294BDD" w:rsidRDefault="00294BDD" w:rsidP="00015063">
      <w:pPr>
        <w:spacing w:line="360" w:lineRule="auto"/>
        <w:ind w:firstLine="709"/>
      </w:pPr>
    </w:p>
    <w:p w14:paraId="4CA90717" w14:textId="77777777" w:rsidR="007B5286" w:rsidRDefault="007B5286" w:rsidP="007B5286">
      <w:pPr>
        <w:pStyle w:val="NormalWeb"/>
        <w:spacing w:before="0" w:beforeAutospacing="0" w:after="0" w:afterAutospacing="0" w:line="360" w:lineRule="auto"/>
        <w:ind w:firstLine="709"/>
        <w:jc w:val="both"/>
        <w:rPr>
          <w:color w:val="000000"/>
        </w:rPr>
      </w:pPr>
      <w:r>
        <w:rPr>
          <w:color w:val="000000"/>
        </w:rPr>
        <w:t xml:space="preserve">De um modo geral, a literatura ainda carece de estudos mais aprofundados sobre o potencial prático dos </w:t>
      </w:r>
      <w:proofErr w:type="spellStart"/>
      <w:r>
        <w:rPr>
          <w:color w:val="000000"/>
        </w:rPr>
        <w:t>LLMs</w:t>
      </w:r>
      <w:proofErr w:type="spellEnd"/>
      <w:r>
        <w:rPr>
          <w:color w:val="000000"/>
        </w:rPr>
        <w:t xml:space="preserve"> em tarefas de trading. </w:t>
      </w:r>
      <w:proofErr w:type="spellStart"/>
      <w:r>
        <w:rPr>
          <w:color w:val="000000"/>
        </w:rPr>
        <w:t>Dakalbab</w:t>
      </w:r>
      <w:proofErr w:type="spellEnd"/>
      <w:r>
        <w:rPr>
          <w:color w:val="000000"/>
        </w:rPr>
        <w:t xml:space="preserve"> et al. (2024) realizaram uma Revisão Sistemática da Literatura (RSL), conforme o modelo de </w:t>
      </w:r>
      <w:proofErr w:type="spellStart"/>
      <w:r>
        <w:rPr>
          <w:color w:val="000000"/>
        </w:rPr>
        <w:t>Kitchenham</w:t>
      </w:r>
      <w:proofErr w:type="spellEnd"/>
      <w:r>
        <w:rPr>
          <w:color w:val="000000"/>
        </w:rPr>
        <w:t xml:space="preserve"> e Charters (2007), identificando 143 artigos entre 2015 e 2023. No mapeamento, verificou-se que 71% dos estudos focavam em análise técnica, e que o </w:t>
      </w:r>
      <w:proofErr w:type="spellStart"/>
      <w:r>
        <w:rPr>
          <w:color w:val="000000"/>
        </w:rPr>
        <w:t>deep</w:t>
      </w:r>
      <w:proofErr w:type="spellEnd"/>
      <w:r>
        <w:rPr>
          <w:color w:val="000000"/>
        </w:rPr>
        <w:t xml:space="preserve"> learning era a abordagem de aprendizado de máquina mais frequente (21%). Entretanto, não se explorou, de maneira sistemática, a aplicação de </w:t>
      </w:r>
      <w:proofErr w:type="spellStart"/>
      <w:r>
        <w:rPr>
          <w:color w:val="000000"/>
        </w:rPr>
        <w:t>LLMs</w:t>
      </w:r>
      <w:proofErr w:type="spellEnd"/>
      <w:r>
        <w:rPr>
          <w:color w:val="000000"/>
        </w:rPr>
        <w:t xml:space="preserve"> como o ChatGPT para aprimorar quaisquer técnicas de trading já existentes.</w:t>
      </w:r>
    </w:p>
    <w:p w14:paraId="0B81D5A0" w14:textId="77777777" w:rsidR="007B5286" w:rsidRDefault="007B5286" w:rsidP="007B5286">
      <w:pPr>
        <w:pStyle w:val="NormalWeb"/>
        <w:spacing w:before="0" w:beforeAutospacing="0" w:after="0" w:afterAutospacing="0" w:line="360" w:lineRule="auto"/>
        <w:ind w:firstLine="709"/>
        <w:jc w:val="both"/>
        <w:rPr>
          <w:color w:val="000000"/>
        </w:rPr>
      </w:pPr>
      <w:r>
        <w:rPr>
          <w:color w:val="000000"/>
        </w:rPr>
        <w:t xml:space="preserve">Estudos envolvendo a utilização de “Large </w:t>
      </w:r>
      <w:proofErr w:type="spellStart"/>
      <w:r>
        <w:rPr>
          <w:color w:val="000000"/>
        </w:rPr>
        <w:t>Language</w:t>
      </w:r>
      <w:proofErr w:type="spellEnd"/>
      <w:r>
        <w:rPr>
          <w:color w:val="000000"/>
        </w:rPr>
        <w:t xml:space="preserve"> Model” em finanças continuam raros, mas já há uma diversidade crescente de investigações a partir de 2023. Por exemplo, o trabalho de Jesus et al. (2024) utilizou </w:t>
      </w:r>
      <w:proofErr w:type="spellStart"/>
      <w:r>
        <w:rPr>
          <w:color w:val="000000"/>
        </w:rPr>
        <w:t>LLMs</w:t>
      </w:r>
      <w:proofErr w:type="spellEnd"/>
      <w:r>
        <w:rPr>
          <w:color w:val="000000"/>
        </w:rPr>
        <w:t xml:space="preserve"> para atribuir percepção de sentimentos a notícias publicadas por veículos jornalísticos profissionais brasileiros, com o intuito de verificar se tais sinais poderiam ser empregados como preditores de retornos do Ibovespa.</w:t>
      </w:r>
    </w:p>
    <w:p w14:paraId="0EED0D8E" w14:textId="77777777" w:rsidR="007B5286" w:rsidRDefault="007B5286" w:rsidP="007B5286">
      <w:pPr>
        <w:pStyle w:val="NormalWeb"/>
        <w:spacing w:before="0" w:beforeAutospacing="0" w:after="0" w:afterAutospacing="0" w:line="360" w:lineRule="auto"/>
        <w:ind w:firstLine="709"/>
        <w:jc w:val="both"/>
        <w:rPr>
          <w:color w:val="000000"/>
        </w:rPr>
      </w:pPr>
      <w:r>
        <w:rPr>
          <w:color w:val="000000"/>
        </w:rPr>
        <w:t xml:space="preserve">O estudo de Bernard et al. (2024) utilizou a estratégia de analisar a forma como os </w:t>
      </w:r>
      <w:proofErr w:type="spellStart"/>
      <w:r>
        <w:rPr>
          <w:color w:val="000000"/>
        </w:rPr>
        <w:t>LLMs</w:t>
      </w:r>
      <w:proofErr w:type="spellEnd"/>
      <w:r>
        <w:rPr>
          <w:color w:val="000000"/>
        </w:rPr>
        <w:t xml:space="preserve"> escolhem o próximo token com base no anterior para verificar a complexidade de processar informações de relatórios financeiros. De modo a simplificar, se ao analisar um relatório financeiro fosse atribuída baixa confiança na designação de uma nomenclatura financeira – por exemplo, “contas a receber”, considerada de alta confiança e baixa complexidade –, isso indicaria a existência de informações extraordinárias para as quais o modelo teve pouco treinamento, refletindo um atraso na formação do preço após a divulgação do relatório. Bernard et al. (2024) utilizaram relatórios em formato XBRL, evidenciando que o grau de confiança do modelo na atribuição da nomenclatura correta (“TAG”) fornece pistas sobre a complexidade e o tempo de processamento das informações.</w:t>
      </w:r>
    </w:p>
    <w:p w14:paraId="372DBD6E" w14:textId="77777777" w:rsidR="007B5286" w:rsidRDefault="007B5286" w:rsidP="007B5286">
      <w:pPr>
        <w:pStyle w:val="NormalWeb"/>
        <w:spacing w:before="0" w:beforeAutospacing="0" w:after="0" w:afterAutospacing="0" w:line="360" w:lineRule="auto"/>
        <w:ind w:firstLine="709"/>
        <w:jc w:val="both"/>
        <w:rPr>
          <w:color w:val="000000"/>
        </w:rPr>
      </w:pPr>
      <w:r>
        <w:rPr>
          <w:color w:val="000000"/>
        </w:rPr>
        <w:t xml:space="preserve">Além disso, para a otimização de carteiras, foram implementadas diversas tratativas para verificar se os </w:t>
      </w:r>
      <w:proofErr w:type="spellStart"/>
      <w:r>
        <w:rPr>
          <w:color w:val="000000"/>
        </w:rPr>
        <w:t>LLMs</w:t>
      </w:r>
      <w:proofErr w:type="spellEnd"/>
      <w:r>
        <w:rPr>
          <w:color w:val="000000"/>
        </w:rPr>
        <w:t xml:space="preserve"> seriam capazes de atribuir pesos que maximizassem o retorno com menor volatilidade, conforme abordado por </w:t>
      </w:r>
      <w:proofErr w:type="spellStart"/>
      <w:r>
        <w:rPr>
          <w:color w:val="000000"/>
        </w:rPr>
        <w:t>Romanko</w:t>
      </w:r>
      <w:proofErr w:type="spellEnd"/>
      <w:r>
        <w:rPr>
          <w:color w:val="000000"/>
        </w:rPr>
        <w:t xml:space="preserve">, </w:t>
      </w:r>
      <w:proofErr w:type="spellStart"/>
      <w:r>
        <w:rPr>
          <w:color w:val="000000"/>
        </w:rPr>
        <w:t>Narayan</w:t>
      </w:r>
      <w:proofErr w:type="spellEnd"/>
      <w:r>
        <w:rPr>
          <w:color w:val="000000"/>
        </w:rPr>
        <w:t xml:space="preserve"> e Kwon (2023) – que investigaram a </w:t>
      </w:r>
      <w:r>
        <w:rPr>
          <w:color w:val="000000"/>
        </w:rPr>
        <w:lastRenderedPageBreak/>
        <w:t xml:space="preserve">atribuição direta de pesos – e por Kong et al. (2024) e </w:t>
      </w:r>
      <w:proofErr w:type="spellStart"/>
      <w:r>
        <w:rPr>
          <w:color w:val="000000"/>
        </w:rPr>
        <w:t>Ko</w:t>
      </w:r>
      <w:proofErr w:type="spellEnd"/>
      <w:r>
        <w:rPr>
          <w:color w:val="000000"/>
        </w:rPr>
        <w:t xml:space="preserve"> e Lee (2024), que analisaram a escolha de ações para compor carteiras. Os resultados indicaram que, embora os </w:t>
      </w:r>
      <w:proofErr w:type="spellStart"/>
      <w:r>
        <w:rPr>
          <w:color w:val="000000"/>
        </w:rPr>
        <w:t>LLMs</w:t>
      </w:r>
      <w:proofErr w:type="spellEnd"/>
      <w:r>
        <w:rPr>
          <w:color w:val="000000"/>
        </w:rPr>
        <w:t xml:space="preserve"> ainda não consigam atribuir pesos com a mesma precisão de modelos tradicionais, eles demonstram elementos positivos na seleção dos ativos, com Kong et al. (2024) apontando variações na propensão ao risco entre diferentes </w:t>
      </w:r>
      <w:proofErr w:type="spellStart"/>
      <w:r>
        <w:rPr>
          <w:color w:val="000000"/>
        </w:rPr>
        <w:t>LLMs</w:t>
      </w:r>
      <w:proofErr w:type="spellEnd"/>
      <w:r>
        <w:rPr>
          <w:color w:val="000000"/>
        </w:rPr>
        <w:t>.</w:t>
      </w:r>
    </w:p>
    <w:p w14:paraId="70C8EB51" w14:textId="77777777" w:rsidR="007B5286" w:rsidRDefault="007B5286" w:rsidP="007B5286">
      <w:pPr>
        <w:pStyle w:val="NormalWeb"/>
        <w:spacing w:before="0" w:beforeAutospacing="0" w:after="0" w:afterAutospacing="0" w:line="360" w:lineRule="auto"/>
        <w:ind w:firstLine="709"/>
        <w:jc w:val="both"/>
        <w:rPr>
          <w:color w:val="000000"/>
        </w:rPr>
      </w:pPr>
      <w:r>
        <w:rPr>
          <w:color w:val="000000"/>
        </w:rPr>
        <w:t xml:space="preserve">Adicionalmente, estudos recentes buscaram validar os resultados dos </w:t>
      </w:r>
      <w:proofErr w:type="spellStart"/>
      <w:r>
        <w:rPr>
          <w:color w:val="000000"/>
        </w:rPr>
        <w:t>LLMs</w:t>
      </w:r>
      <w:proofErr w:type="spellEnd"/>
      <w:r>
        <w:rPr>
          <w:color w:val="000000"/>
        </w:rPr>
        <w:t xml:space="preserve"> por meio de comparações com métodos tradicionais. Chou et al. (2025) verificaram que o ChatGPT 4o, da OpenAI, gera códigos com resultados próximos aos obtidos por softwares estatísticos como o </w:t>
      </w:r>
      <w:proofErr w:type="spellStart"/>
      <w:r>
        <w:rPr>
          <w:color w:val="000000"/>
        </w:rPr>
        <w:t>Stata</w:t>
      </w:r>
      <w:proofErr w:type="spellEnd"/>
      <w:r>
        <w:rPr>
          <w:color w:val="000000"/>
        </w:rPr>
        <w:t>, embora seja necessário ajustar e supervisionar manualmente a identificação correta das colunas dos dados para minimizar discrepâncias.</w:t>
      </w:r>
    </w:p>
    <w:p w14:paraId="66F871C4" w14:textId="77777777" w:rsidR="007B5286" w:rsidRDefault="007B5286" w:rsidP="007B5286">
      <w:pPr>
        <w:pStyle w:val="NormalWeb"/>
        <w:spacing w:before="0" w:beforeAutospacing="0" w:after="0" w:afterAutospacing="0" w:line="360" w:lineRule="auto"/>
        <w:ind w:firstLine="709"/>
        <w:jc w:val="both"/>
        <w:rPr>
          <w:color w:val="000000"/>
        </w:rPr>
      </w:pPr>
      <w:r>
        <w:rPr>
          <w:color w:val="000000"/>
        </w:rPr>
        <w:t xml:space="preserve">Segundo Wang e </w:t>
      </w:r>
      <w:proofErr w:type="spellStart"/>
      <w:r>
        <w:rPr>
          <w:color w:val="000000"/>
        </w:rPr>
        <w:t>Brorsson</w:t>
      </w:r>
      <w:proofErr w:type="spellEnd"/>
      <w:r>
        <w:rPr>
          <w:color w:val="000000"/>
        </w:rPr>
        <w:t xml:space="preserve"> (2025), embora os </w:t>
      </w:r>
      <w:proofErr w:type="spellStart"/>
      <w:r>
        <w:rPr>
          <w:color w:val="000000"/>
        </w:rPr>
        <w:t>LLMs</w:t>
      </w:r>
      <w:proofErr w:type="spellEnd"/>
      <w:r>
        <w:rPr>
          <w:color w:val="000000"/>
        </w:rPr>
        <w:t xml:space="preserve"> consigam realizar cálculos, eles ainda apresentam falhas em processos que envolvem múltiplas etapas, como na análise DuPont, no cálculo do Altman Z-score e na projeção de vendas e EBITDA para o próximo ano fiscal, evidenciando limitações na precisão em tarefas complexas.</w:t>
      </w:r>
    </w:p>
    <w:p w14:paraId="64316968" w14:textId="77777777" w:rsidR="007B5286" w:rsidRDefault="007B5286" w:rsidP="007B5286">
      <w:pPr>
        <w:pStyle w:val="NormalWeb"/>
        <w:spacing w:before="0" w:beforeAutospacing="0" w:after="0" w:afterAutospacing="0" w:line="360" w:lineRule="auto"/>
        <w:ind w:firstLine="709"/>
        <w:jc w:val="both"/>
        <w:rPr>
          <w:color w:val="000000"/>
        </w:rPr>
      </w:pPr>
      <w:r>
        <w:rPr>
          <w:color w:val="000000"/>
        </w:rPr>
        <w:t xml:space="preserve">Na literatura atual, a comparação da previsão do lucro líquido futuro das empresas envolve múltiplas métricas, como o F1-Score – que abrange precisão e sensibilidade das previsões –, e a AUC (Area </w:t>
      </w:r>
      <w:proofErr w:type="spellStart"/>
      <w:r>
        <w:rPr>
          <w:color w:val="000000"/>
        </w:rPr>
        <w:t>Under</w:t>
      </w:r>
      <w:proofErr w:type="spellEnd"/>
      <w:r>
        <w:rPr>
          <w:color w:val="000000"/>
        </w:rPr>
        <w:t xml:space="preserve"> </w:t>
      </w:r>
      <w:proofErr w:type="spellStart"/>
      <w:r>
        <w:rPr>
          <w:color w:val="000000"/>
        </w:rPr>
        <w:t>the</w:t>
      </w:r>
      <w:proofErr w:type="spellEnd"/>
      <w:r>
        <w:rPr>
          <w:color w:val="000000"/>
        </w:rPr>
        <w:t xml:space="preserve"> Curve), além de medidas de erro na previsão, conforme relatado por </w:t>
      </w:r>
      <w:proofErr w:type="spellStart"/>
      <w:r>
        <w:rPr>
          <w:color w:val="000000"/>
        </w:rPr>
        <w:t>Houlihan</w:t>
      </w:r>
      <w:proofErr w:type="spellEnd"/>
      <w:r>
        <w:rPr>
          <w:color w:val="000000"/>
        </w:rPr>
        <w:t xml:space="preserve"> </w:t>
      </w:r>
      <w:proofErr w:type="spellStart"/>
      <w:r>
        <w:rPr>
          <w:color w:val="000000"/>
        </w:rPr>
        <w:t>Lokey</w:t>
      </w:r>
      <w:proofErr w:type="spellEnd"/>
      <w:r>
        <w:rPr>
          <w:color w:val="000000"/>
        </w:rPr>
        <w:t xml:space="preserve"> (2024).</w:t>
      </w:r>
    </w:p>
    <w:p w14:paraId="56A5A8A0" w14:textId="77777777" w:rsidR="007B5286" w:rsidRDefault="007B5286" w:rsidP="007B5286">
      <w:pPr>
        <w:pStyle w:val="NormalWeb"/>
        <w:spacing w:before="0" w:beforeAutospacing="0" w:after="0" w:afterAutospacing="0" w:line="360" w:lineRule="auto"/>
        <w:ind w:firstLine="709"/>
        <w:jc w:val="both"/>
        <w:rPr>
          <w:color w:val="000000"/>
        </w:rPr>
      </w:pPr>
      <w:r>
        <w:rPr>
          <w:color w:val="000000"/>
        </w:rPr>
        <w:t xml:space="preserve">O debate acerca do desempenho dos analistas financeiros em comparação com modelos quantitativos também é antigo. Brown e </w:t>
      </w:r>
      <w:proofErr w:type="spellStart"/>
      <w:r>
        <w:rPr>
          <w:color w:val="000000"/>
        </w:rPr>
        <w:t>Rozeff</w:t>
      </w:r>
      <w:proofErr w:type="spellEnd"/>
      <w:r>
        <w:rPr>
          <w:color w:val="000000"/>
        </w:rPr>
        <w:t xml:space="preserve"> (1978) argumentaram que os analistas, na época, apresentavam desempenho superior aos modelos de séries temporais. Trabalhos mais recentes, como </w:t>
      </w:r>
      <w:proofErr w:type="spellStart"/>
      <w:r>
        <w:rPr>
          <w:color w:val="000000"/>
        </w:rPr>
        <w:t>Bradshaw</w:t>
      </w:r>
      <w:proofErr w:type="spellEnd"/>
      <w:r>
        <w:rPr>
          <w:color w:val="000000"/>
        </w:rPr>
        <w:t xml:space="preserve"> et al. (2010), indicam que os analistas possuem bom desempenho no curto prazo (até 1 ano), mas que, para períodos mais longos e em empresas de menor porte, modelos simples – como o Random Walk ou extrapolações ingênuas – podem igualar ou até superar as previsões dos analistas. Estudos de Clement (1999) e </w:t>
      </w:r>
      <w:proofErr w:type="spellStart"/>
      <w:r>
        <w:rPr>
          <w:color w:val="000000"/>
        </w:rPr>
        <w:t>Long</w:t>
      </w:r>
      <w:proofErr w:type="spellEnd"/>
      <w:r>
        <w:rPr>
          <w:color w:val="000000"/>
        </w:rPr>
        <w:t xml:space="preserve"> e Lee (2022) ressaltaram a importância do tempo de experiência dos analistas e da qualidade dos</w:t>
      </w:r>
      <w:r w:rsidRPr="008D5152">
        <w:rPr>
          <w:i/>
          <w:iCs/>
          <w:color w:val="000000"/>
        </w:rPr>
        <w:t xml:space="preserve"> </w:t>
      </w:r>
      <w:proofErr w:type="spellStart"/>
      <w:r w:rsidRPr="008D5152">
        <w:rPr>
          <w:i/>
          <w:iCs/>
          <w:color w:val="000000"/>
        </w:rPr>
        <w:t>accruals</w:t>
      </w:r>
      <w:proofErr w:type="spellEnd"/>
      <w:r>
        <w:rPr>
          <w:color w:val="000000"/>
        </w:rPr>
        <w:t xml:space="preserve"> para a obtenção de previsões mais precisas.</w:t>
      </w:r>
    </w:p>
    <w:p w14:paraId="095E4F7C" w14:textId="77777777" w:rsidR="00BA1AF7" w:rsidRDefault="00BA1AF7" w:rsidP="007B5286">
      <w:pPr>
        <w:spacing w:after="273" w:line="259" w:lineRule="auto"/>
      </w:pPr>
    </w:p>
    <w:p w14:paraId="32D54668" w14:textId="1F5CDD78" w:rsidR="00CF03CF" w:rsidRDefault="00000000">
      <w:pPr>
        <w:pStyle w:val="Ttulo2"/>
        <w:spacing w:after="36" w:line="259" w:lineRule="auto"/>
        <w:ind w:left="-15" w:firstLine="0"/>
      </w:pPr>
      <w:bookmarkStart w:id="6" w:name="_Toc194592222"/>
      <w:r>
        <w:t xml:space="preserve">2.4 </w:t>
      </w:r>
      <w:r w:rsidR="007B5286" w:rsidRPr="007B5286">
        <w:t xml:space="preserve">Otimização de Carteiras e Seleção de Ativos com </w:t>
      </w:r>
      <w:proofErr w:type="spellStart"/>
      <w:r w:rsidR="007B5286" w:rsidRPr="007B5286">
        <w:t>LLMs</w:t>
      </w:r>
      <w:bookmarkEnd w:id="6"/>
      <w:proofErr w:type="spellEnd"/>
    </w:p>
    <w:p w14:paraId="3AFAC99E" w14:textId="77777777" w:rsidR="00CF03CF" w:rsidRDefault="00000000">
      <w:pPr>
        <w:spacing w:line="259" w:lineRule="auto"/>
        <w:rPr>
          <w:sz w:val="22"/>
        </w:rPr>
      </w:pPr>
      <w:r>
        <w:rPr>
          <w:sz w:val="22"/>
        </w:rPr>
        <w:t xml:space="preserve"> </w:t>
      </w:r>
    </w:p>
    <w:p w14:paraId="5D00DC0E" w14:textId="34CAFCB1" w:rsidR="004C4CE4" w:rsidRDefault="004C4CE4" w:rsidP="004C4CE4">
      <w:pPr>
        <w:pStyle w:val="NormalWeb"/>
        <w:spacing w:before="0" w:beforeAutospacing="0" w:after="0" w:afterAutospacing="0" w:line="360" w:lineRule="auto"/>
        <w:ind w:firstLine="709"/>
        <w:jc w:val="both"/>
        <w:rPr>
          <w:color w:val="000000"/>
        </w:rPr>
      </w:pPr>
      <w:r>
        <w:rPr>
          <w:color w:val="000000"/>
        </w:rPr>
        <w:t xml:space="preserve">A adoção de inteligência artificial no setor financeiro cresce, principalmente no que tange à otimização de carteiras de investimentos e à seleção de ativos. O desenvolvimento de </w:t>
      </w:r>
      <w:proofErr w:type="spellStart"/>
      <w:r>
        <w:rPr>
          <w:color w:val="000000"/>
        </w:rPr>
        <w:t>LLMs</w:t>
      </w:r>
      <w:proofErr w:type="spellEnd"/>
      <w:r>
        <w:rPr>
          <w:color w:val="000000"/>
        </w:rPr>
        <w:t>, como o ChatGPT, introduz oportunidades inéditas para a identificação de ativos e a obtenção de eventuais vantagens competitivas.</w:t>
      </w:r>
    </w:p>
    <w:p w14:paraId="0506EE97" w14:textId="77777777" w:rsidR="004C4CE4" w:rsidRDefault="004C4CE4" w:rsidP="004C4CE4">
      <w:pPr>
        <w:pStyle w:val="NormalWeb"/>
        <w:spacing w:before="0" w:beforeAutospacing="0" w:after="0" w:afterAutospacing="0" w:line="360" w:lineRule="auto"/>
        <w:ind w:firstLine="709"/>
        <w:jc w:val="both"/>
        <w:rPr>
          <w:color w:val="000000"/>
        </w:rPr>
      </w:pPr>
      <w:r>
        <w:rPr>
          <w:color w:val="000000"/>
        </w:rPr>
        <w:lastRenderedPageBreak/>
        <w:t xml:space="preserve">Em termos de otimização de carteiras, pesquisas recentes têm explorado o uso de </w:t>
      </w:r>
      <w:proofErr w:type="spellStart"/>
      <w:r>
        <w:rPr>
          <w:color w:val="000000"/>
        </w:rPr>
        <w:t>LLMs</w:t>
      </w:r>
      <w:proofErr w:type="spellEnd"/>
      <w:r>
        <w:rPr>
          <w:color w:val="000000"/>
        </w:rPr>
        <w:t xml:space="preserve"> tanto na seleção de ativos quanto na atribuição de pesos. </w:t>
      </w:r>
      <w:proofErr w:type="spellStart"/>
      <w:r>
        <w:rPr>
          <w:color w:val="000000"/>
        </w:rPr>
        <w:t>Romanko</w:t>
      </w:r>
      <w:proofErr w:type="spellEnd"/>
      <w:r>
        <w:rPr>
          <w:color w:val="000000"/>
        </w:rPr>
        <w:t xml:space="preserve">, </w:t>
      </w:r>
      <w:proofErr w:type="spellStart"/>
      <w:r>
        <w:rPr>
          <w:color w:val="000000"/>
        </w:rPr>
        <w:t>Narayan</w:t>
      </w:r>
      <w:proofErr w:type="spellEnd"/>
      <w:r>
        <w:rPr>
          <w:color w:val="000000"/>
        </w:rPr>
        <w:t xml:space="preserve"> e Kwon (2023) solicitaram ao ChatGPT a indicação de ações do S&amp;P500, combinando os resultados com métodos tradicionais de otimização, como o modelo de Markowitz e o </w:t>
      </w:r>
      <w:proofErr w:type="spellStart"/>
      <w:r>
        <w:rPr>
          <w:color w:val="000000"/>
        </w:rPr>
        <w:t>Equal</w:t>
      </w:r>
      <w:proofErr w:type="spellEnd"/>
      <w:r>
        <w:rPr>
          <w:color w:val="000000"/>
        </w:rPr>
        <w:t xml:space="preserve"> </w:t>
      </w:r>
      <w:proofErr w:type="spellStart"/>
      <w:r>
        <w:rPr>
          <w:color w:val="000000"/>
        </w:rPr>
        <w:t>Weights</w:t>
      </w:r>
      <w:proofErr w:type="spellEnd"/>
      <w:r>
        <w:rPr>
          <w:color w:val="000000"/>
        </w:rPr>
        <w:t>. Embora a atribuição de pesos realizada exclusivamente pelo LLM ainda apresente limitações na relação risco-retorno, os resultados indicaram elementos positivos na escolha dos ativos.</w:t>
      </w:r>
    </w:p>
    <w:p w14:paraId="75FBC0BD" w14:textId="77777777" w:rsidR="004C4CE4" w:rsidRDefault="004C4CE4" w:rsidP="004C4CE4">
      <w:pPr>
        <w:pStyle w:val="NormalWeb"/>
        <w:spacing w:before="0" w:beforeAutospacing="0" w:after="0" w:afterAutospacing="0" w:line="360" w:lineRule="auto"/>
        <w:ind w:firstLine="709"/>
        <w:jc w:val="both"/>
        <w:rPr>
          <w:color w:val="000000"/>
        </w:rPr>
      </w:pPr>
      <w:r>
        <w:rPr>
          <w:color w:val="000000"/>
        </w:rPr>
        <w:t xml:space="preserve">Outros estudos, como o de Kong et al. (2024), aplicaram </w:t>
      </w:r>
      <w:proofErr w:type="spellStart"/>
      <w:r>
        <w:rPr>
          <w:color w:val="000000"/>
        </w:rPr>
        <w:t>LLMs</w:t>
      </w:r>
      <w:proofErr w:type="spellEnd"/>
      <w:r>
        <w:rPr>
          <w:color w:val="000000"/>
        </w:rPr>
        <w:t xml:space="preserve"> em conjunto com o modelo Black-</w:t>
      </w:r>
      <w:proofErr w:type="spellStart"/>
      <w:r>
        <w:rPr>
          <w:color w:val="000000"/>
        </w:rPr>
        <w:t>Litterman</w:t>
      </w:r>
      <w:proofErr w:type="spellEnd"/>
      <w:r>
        <w:rPr>
          <w:color w:val="000000"/>
        </w:rPr>
        <w:t xml:space="preserve">, substituindo as estimativas tradicionais de retorno e volatilidade por algoritmos de aprendizado de máquina, como o </w:t>
      </w:r>
      <w:proofErr w:type="spellStart"/>
      <w:r>
        <w:rPr>
          <w:color w:val="000000"/>
        </w:rPr>
        <w:t>Gradient</w:t>
      </w:r>
      <w:proofErr w:type="spellEnd"/>
      <w:r>
        <w:rPr>
          <w:color w:val="000000"/>
        </w:rPr>
        <w:t xml:space="preserve"> </w:t>
      </w:r>
      <w:proofErr w:type="spellStart"/>
      <w:r>
        <w:rPr>
          <w:color w:val="000000"/>
        </w:rPr>
        <w:t>Boosting</w:t>
      </w:r>
      <w:proofErr w:type="spellEnd"/>
      <w:r>
        <w:rPr>
          <w:color w:val="000000"/>
        </w:rPr>
        <w:t xml:space="preserve"> </w:t>
      </w:r>
      <w:proofErr w:type="spellStart"/>
      <w:r>
        <w:rPr>
          <w:color w:val="000000"/>
        </w:rPr>
        <w:t>Regression</w:t>
      </w:r>
      <w:proofErr w:type="spellEnd"/>
      <w:r>
        <w:rPr>
          <w:color w:val="000000"/>
        </w:rPr>
        <w:t xml:space="preserve"> (GBR) e o GJR-GARCH. Mesmo quando submetidos às mesmas instruções, observou-se que </w:t>
      </w:r>
      <w:proofErr w:type="spellStart"/>
      <w:r>
        <w:rPr>
          <w:color w:val="000000"/>
        </w:rPr>
        <w:t>LLMs</w:t>
      </w:r>
      <w:proofErr w:type="spellEnd"/>
      <w:r>
        <w:rPr>
          <w:color w:val="000000"/>
        </w:rPr>
        <w:t xml:space="preserve"> como o ChatGPT e o </w:t>
      </w:r>
      <w:proofErr w:type="spellStart"/>
      <w:r>
        <w:rPr>
          <w:color w:val="000000"/>
        </w:rPr>
        <w:t>Bard</w:t>
      </w:r>
      <w:proofErr w:type="spellEnd"/>
      <w:r>
        <w:rPr>
          <w:color w:val="000000"/>
        </w:rPr>
        <w:t xml:space="preserve"> (agora Gemini) podem apresentar preferências distintas – com o ChatGPT indicando ações de maior capitalização e beta próximo de 1, enquanto o </w:t>
      </w:r>
      <w:proofErr w:type="spellStart"/>
      <w:r>
        <w:rPr>
          <w:color w:val="000000"/>
        </w:rPr>
        <w:t>Bard</w:t>
      </w:r>
      <w:proofErr w:type="spellEnd"/>
      <w:r>
        <w:rPr>
          <w:color w:val="000000"/>
        </w:rPr>
        <w:t xml:space="preserve"> tende a sugerir empresas de porte intermediário e betas mais elevados – o que impacta a construção e o desempenho dos portfólios.</w:t>
      </w:r>
    </w:p>
    <w:p w14:paraId="561E011A" w14:textId="77777777" w:rsidR="004C4CE4" w:rsidRPr="004C4CE4" w:rsidRDefault="004C4CE4" w:rsidP="004C4CE4">
      <w:pPr>
        <w:pStyle w:val="NormalWeb"/>
        <w:spacing w:before="0" w:beforeAutospacing="0" w:after="0" w:afterAutospacing="0" w:line="360" w:lineRule="auto"/>
        <w:ind w:firstLine="709"/>
        <w:jc w:val="both"/>
        <w:rPr>
          <w:color w:val="000000"/>
          <w:lang w:val="en-US"/>
        </w:rPr>
      </w:pPr>
      <w:r>
        <w:rPr>
          <w:color w:val="000000"/>
        </w:rPr>
        <w:t xml:space="preserve">Adicionalmente, experimentos envolvendo exemplos de prompts têm demonstrado o potencial dos </w:t>
      </w:r>
      <w:proofErr w:type="spellStart"/>
      <w:r>
        <w:rPr>
          <w:color w:val="000000"/>
        </w:rPr>
        <w:t>LLMs</w:t>
      </w:r>
      <w:proofErr w:type="spellEnd"/>
      <w:r>
        <w:rPr>
          <w:color w:val="000000"/>
        </w:rPr>
        <w:t xml:space="preserve"> na seleção de ativos. </w:t>
      </w:r>
      <w:r w:rsidRPr="004C4CE4">
        <w:rPr>
          <w:color w:val="000000"/>
          <w:lang w:val="en-US"/>
        </w:rPr>
        <w:t xml:space="preserve">Romanko, Narayan e Kwon (2023) </w:t>
      </w:r>
      <w:proofErr w:type="spellStart"/>
      <w:r w:rsidRPr="004C4CE4">
        <w:rPr>
          <w:color w:val="000000"/>
          <w:lang w:val="en-US"/>
        </w:rPr>
        <w:t>utilizaram</w:t>
      </w:r>
      <w:proofErr w:type="spellEnd"/>
      <w:r w:rsidRPr="004C4CE4">
        <w:rPr>
          <w:color w:val="000000"/>
          <w:lang w:val="en-US"/>
        </w:rPr>
        <w:t xml:space="preserve"> </w:t>
      </w:r>
      <w:proofErr w:type="spellStart"/>
      <w:r w:rsidRPr="004C4CE4">
        <w:rPr>
          <w:color w:val="000000"/>
          <w:lang w:val="en-US"/>
        </w:rPr>
        <w:t>instruções</w:t>
      </w:r>
      <w:proofErr w:type="spellEnd"/>
      <w:r w:rsidRPr="004C4CE4">
        <w:rPr>
          <w:color w:val="000000"/>
          <w:lang w:val="en-US"/>
        </w:rPr>
        <w:t xml:space="preserve"> </w:t>
      </w:r>
      <w:proofErr w:type="spellStart"/>
      <w:r w:rsidRPr="004C4CE4">
        <w:rPr>
          <w:color w:val="000000"/>
          <w:lang w:val="en-US"/>
        </w:rPr>
        <w:t>como</w:t>
      </w:r>
      <w:proofErr w:type="spellEnd"/>
      <w:r w:rsidRPr="004C4CE4">
        <w:rPr>
          <w:color w:val="000000"/>
          <w:lang w:val="en-US"/>
        </w:rPr>
        <w:t>:</w:t>
      </w:r>
    </w:p>
    <w:p w14:paraId="581D38C2" w14:textId="76BEC906" w:rsidR="004C4CE4" w:rsidRPr="00D435C8" w:rsidRDefault="004C4CE4" w:rsidP="0000313E">
      <w:pPr>
        <w:pStyle w:val="NormalWeb"/>
        <w:spacing w:before="0" w:beforeAutospacing="0" w:after="0" w:afterAutospacing="0" w:line="360" w:lineRule="auto"/>
        <w:ind w:left="1416"/>
        <w:jc w:val="both"/>
        <w:rPr>
          <w:color w:val="000000"/>
          <w:sz w:val="20"/>
          <w:szCs w:val="20"/>
        </w:rPr>
      </w:pPr>
      <w:r w:rsidRPr="0000313E">
        <w:rPr>
          <w:color w:val="000000"/>
          <w:sz w:val="20"/>
          <w:szCs w:val="20"/>
          <w:lang w:val="en-US"/>
        </w:rPr>
        <w:t>“Using a range of investing principles taken from leading funds, create a theoretical fund comprising of at least X stocks (mention their tickers) from the S&amp;P500 with the goal to outperform the S&amp;P500 index.”</w:t>
      </w:r>
      <w:r w:rsidR="0000313E" w:rsidRPr="0000313E">
        <w:rPr>
          <w:color w:val="000000"/>
          <w:lang w:val="en-US"/>
        </w:rPr>
        <w:t xml:space="preserve"> </w:t>
      </w:r>
      <w:r w:rsidR="0000313E" w:rsidRPr="00D435C8">
        <w:rPr>
          <w:color w:val="000000"/>
          <w:sz w:val="20"/>
          <w:szCs w:val="20"/>
        </w:rPr>
        <w:t>(Romanko, Narayan e Kwon, 2023, p.22)</w:t>
      </w:r>
    </w:p>
    <w:p w14:paraId="0C3223B7" w14:textId="77777777" w:rsidR="0000313E" w:rsidRPr="00D435C8" w:rsidRDefault="0000313E" w:rsidP="0000313E">
      <w:pPr>
        <w:pStyle w:val="NormalWeb"/>
        <w:spacing w:before="0" w:beforeAutospacing="0" w:after="0" w:afterAutospacing="0" w:line="360" w:lineRule="auto"/>
        <w:ind w:left="1416"/>
        <w:jc w:val="both"/>
        <w:rPr>
          <w:color w:val="000000"/>
          <w:sz w:val="20"/>
          <w:szCs w:val="20"/>
        </w:rPr>
      </w:pPr>
    </w:p>
    <w:p w14:paraId="74173D0B" w14:textId="77777777" w:rsidR="004C4CE4" w:rsidRDefault="004C4CE4" w:rsidP="004C4CE4">
      <w:pPr>
        <w:pStyle w:val="NormalWeb"/>
        <w:spacing w:before="0" w:beforeAutospacing="0" w:after="0" w:afterAutospacing="0" w:line="360" w:lineRule="auto"/>
        <w:ind w:firstLine="709"/>
        <w:jc w:val="both"/>
        <w:rPr>
          <w:color w:val="000000"/>
        </w:rPr>
      </w:pPr>
      <w:r>
        <w:rPr>
          <w:color w:val="000000"/>
        </w:rPr>
        <w:t>Essa instrução foi repetida 30 vezes para identificar as ações mais frequentemente sugeridas, seguida pela solicitação ao ChatGPT de distribuir pesos para cada ativo – com a soma total dos pesos igual a 1. De forma semelhante, Kong et al. (2024) empregaram o seguinte prompt:</w:t>
      </w:r>
    </w:p>
    <w:p w14:paraId="3A8DD5A5" w14:textId="39BB1259" w:rsidR="004C4CE4" w:rsidRDefault="004C4CE4" w:rsidP="0000313E">
      <w:pPr>
        <w:pStyle w:val="NormalWeb"/>
        <w:spacing w:before="0" w:beforeAutospacing="0" w:after="0" w:afterAutospacing="0" w:line="360" w:lineRule="auto"/>
        <w:ind w:left="1416"/>
        <w:jc w:val="both"/>
        <w:rPr>
          <w:color w:val="000000"/>
          <w:sz w:val="20"/>
          <w:szCs w:val="20"/>
          <w:lang w:val="en-US"/>
        </w:rPr>
      </w:pPr>
      <w:r w:rsidRPr="0000313E">
        <w:rPr>
          <w:color w:val="000000"/>
          <w:sz w:val="20"/>
          <w:szCs w:val="20"/>
          <w:lang w:val="en-US"/>
        </w:rPr>
        <w:t xml:space="preserve">“You are an investment expert. Use a range of investing principles taken from leading </w:t>
      </w:r>
      <w:r w:rsidR="0000313E" w:rsidRPr="0000313E">
        <w:rPr>
          <w:color w:val="000000"/>
          <w:sz w:val="20"/>
          <w:szCs w:val="20"/>
          <w:lang w:val="en-US"/>
        </w:rPr>
        <w:t>funds and</w:t>
      </w:r>
      <w:r w:rsidRPr="0000313E">
        <w:rPr>
          <w:color w:val="000000"/>
          <w:sz w:val="20"/>
          <w:szCs w:val="20"/>
          <w:lang w:val="en-US"/>
        </w:rPr>
        <w:t xml:space="preserve"> create a theoretical fund comprising at least 5 stocks (mention their tickers) from the S&amp;P500 with the goal to outperform the S&amp;P500 index” (KONG et al., 2024, p.977).</w:t>
      </w:r>
    </w:p>
    <w:p w14:paraId="5974DD15" w14:textId="77777777" w:rsidR="0000313E" w:rsidRPr="0000313E" w:rsidRDefault="0000313E" w:rsidP="0000313E">
      <w:pPr>
        <w:pStyle w:val="NormalWeb"/>
        <w:spacing w:before="0" w:beforeAutospacing="0" w:after="0" w:afterAutospacing="0" w:line="360" w:lineRule="auto"/>
        <w:ind w:left="1416"/>
        <w:jc w:val="both"/>
        <w:rPr>
          <w:color w:val="000000"/>
          <w:sz w:val="20"/>
          <w:szCs w:val="20"/>
          <w:lang w:val="en-US"/>
        </w:rPr>
      </w:pPr>
    </w:p>
    <w:p w14:paraId="6E49DE26" w14:textId="03E0FA20" w:rsidR="004C4CE4" w:rsidRDefault="004C4CE4" w:rsidP="004C4CE4">
      <w:pPr>
        <w:pStyle w:val="NormalWeb"/>
        <w:spacing w:before="0" w:beforeAutospacing="0" w:after="0" w:afterAutospacing="0" w:line="360" w:lineRule="auto"/>
        <w:ind w:firstLine="709"/>
        <w:jc w:val="both"/>
        <w:rPr>
          <w:color w:val="000000"/>
        </w:rPr>
      </w:pPr>
      <w:r>
        <w:rPr>
          <w:color w:val="000000"/>
        </w:rPr>
        <w:t xml:space="preserve">Esses estudos evidenciam que a combinação de </w:t>
      </w:r>
      <w:proofErr w:type="spellStart"/>
      <w:r>
        <w:rPr>
          <w:color w:val="000000"/>
        </w:rPr>
        <w:t>LLMs</w:t>
      </w:r>
      <w:proofErr w:type="spellEnd"/>
      <w:r>
        <w:rPr>
          <w:color w:val="000000"/>
        </w:rPr>
        <w:t xml:space="preserve"> com técnicas tradicionais de otimização pode aprimorar a seleção de ativos e a construção de portfólios, apontando para uma integração promissora entre inteligência artificial e métodos quantitativos tradicionais.</w:t>
      </w:r>
      <w:r w:rsidR="002E06FF">
        <w:rPr>
          <w:color w:val="000000"/>
        </w:rPr>
        <w:t xml:space="preserve"> </w:t>
      </w:r>
    </w:p>
    <w:p w14:paraId="105E9C82" w14:textId="77777777" w:rsidR="002E06FF" w:rsidRDefault="002E06FF" w:rsidP="004C4CE4">
      <w:pPr>
        <w:pStyle w:val="NormalWeb"/>
        <w:spacing w:before="0" w:beforeAutospacing="0" w:after="0" w:afterAutospacing="0" w:line="360" w:lineRule="auto"/>
        <w:ind w:firstLine="709"/>
        <w:jc w:val="both"/>
        <w:rPr>
          <w:color w:val="000000"/>
        </w:rPr>
      </w:pPr>
      <w:r>
        <w:rPr>
          <w:color w:val="000000"/>
        </w:rPr>
        <w:t>Sobre estratégias de otimização de portfolio, a literatura que vem buscando a vinculação com o LLM está utilizando estratégias como Markowitz (MV) e EW (</w:t>
      </w:r>
      <w:proofErr w:type="spellStart"/>
      <w:r>
        <w:rPr>
          <w:color w:val="000000"/>
        </w:rPr>
        <w:t>Equal-Weights</w:t>
      </w:r>
      <w:proofErr w:type="spellEnd"/>
      <w:r>
        <w:rPr>
          <w:color w:val="000000"/>
        </w:rPr>
        <w:t xml:space="preserve">) de uma </w:t>
      </w:r>
      <w:r>
        <w:rPr>
          <w:color w:val="000000"/>
        </w:rPr>
        <w:lastRenderedPageBreak/>
        <w:t>forma com poucas variações. No presente estudo será adotado estratégias complementares de otimização, com atribuição de pesos mínimos e máximos.</w:t>
      </w:r>
    </w:p>
    <w:p w14:paraId="719E5178" w14:textId="5910FF08" w:rsidR="002E06FF" w:rsidRDefault="002E06FF" w:rsidP="004C4CE4">
      <w:pPr>
        <w:pStyle w:val="NormalWeb"/>
        <w:spacing w:before="0" w:beforeAutospacing="0" w:after="0" w:afterAutospacing="0" w:line="360" w:lineRule="auto"/>
        <w:ind w:firstLine="709"/>
        <w:jc w:val="both"/>
        <w:rPr>
          <w:color w:val="000000"/>
        </w:rPr>
      </w:pPr>
      <w:r>
        <w:rPr>
          <w:color w:val="000000"/>
        </w:rPr>
        <w:t xml:space="preserve">Estudos recentes demonstram ganhos de performance dos portfólios quando se incorporam restrições otimizadas de pesos. </w:t>
      </w:r>
      <w:r w:rsidRPr="002E06FF">
        <w:rPr>
          <w:color w:val="000000"/>
        </w:rPr>
        <w:t xml:space="preserve">Abate, Bonafini e Ferrari (2022) evidenciaram que a aplicação de restrições – como a vinculada ao modelo de ponderação igual, que em um universo de 11 ativos impõe pesos que variam de aproximadamente 4,09% (mínimo) a 14,09% (máximo) – pode elevar o índice de Sharpe em média de 22% a 49% em comparação com estratégias benchmark, como o portfólio </w:t>
      </w:r>
      <w:r w:rsidR="007F68C6">
        <w:rPr>
          <w:color w:val="000000"/>
        </w:rPr>
        <w:t>“</w:t>
      </w:r>
      <w:proofErr w:type="spellStart"/>
      <w:r w:rsidR="007F68C6">
        <w:rPr>
          <w:color w:val="000000"/>
        </w:rPr>
        <w:t>Equal-Weights</w:t>
      </w:r>
      <w:proofErr w:type="spellEnd"/>
      <w:r w:rsidR="007F68C6">
        <w:rPr>
          <w:color w:val="000000"/>
        </w:rPr>
        <w:t>”</w:t>
      </w:r>
      <w:r w:rsidRPr="002E06FF">
        <w:rPr>
          <w:color w:val="000000"/>
        </w:rPr>
        <w:t xml:space="preserve"> ou o </w:t>
      </w:r>
      <w:r w:rsidR="007F68C6">
        <w:rPr>
          <w:color w:val="000000"/>
        </w:rPr>
        <w:t>“</w:t>
      </w:r>
      <w:proofErr w:type="spellStart"/>
      <w:r w:rsidR="007F68C6">
        <w:rPr>
          <w:color w:val="000000"/>
        </w:rPr>
        <w:t>Value-Weights</w:t>
      </w:r>
      <w:proofErr w:type="spellEnd"/>
      <w:r w:rsidR="007F68C6">
        <w:rPr>
          <w:color w:val="000000"/>
        </w:rPr>
        <w:t>”</w:t>
      </w:r>
      <w:r w:rsidRPr="002E06FF">
        <w:rPr>
          <w:color w:val="000000"/>
        </w:rPr>
        <w:t xml:space="preserve">. </w:t>
      </w:r>
    </w:p>
    <w:p w14:paraId="323FF258" w14:textId="395449C1" w:rsidR="002E06FF" w:rsidRDefault="002E06FF" w:rsidP="004C4CE4">
      <w:pPr>
        <w:pStyle w:val="NormalWeb"/>
        <w:spacing w:before="0" w:beforeAutospacing="0" w:after="0" w:afterAutospacing="0" w:line="360" w:lineRule="auto"/>
        <w:ind w:firstLine="709"/>
        <w:jc w:val="both"/>
        <w:rPr>
          <w:color w:val="000000"/>
        </w:rPr>
      </w:pPr>
      <w:r w:rsidRPr="002E06FF">
        <w:rPr>
          <w:color w:val="000000"/>
        </w:rPr>
        <w:t xml:space="preserve">De forma complementar, Behr, </w:t>
      </w:r>
      <w:proofErr w:type="spellStart"/>
      <w:r w:rsidRPr="002E06FF">
        <w:rPr>
          <w:color w:val="000000"/>
        </w:rPr>
        <w:t>Guettler</w:t>
      </w:r>
      <w:proofErr w:type="spellEnd"/>
      <w:r w:rsidRPr="002E06FF">
        <w:rPr>
          <w:color w:val="000000"/>
        </w:rPr>
        <w:t xml:space="preserve"> e </w:t>
      </w:r>
      <w:proofErr w:type="spellStart"/>
      <w:r w:rsidRPr="002E06FF">
        <w:rPr>
          <w:color w:val="000000"/>
        </w:rPr>
        <w:t>Miebs</w:t>
      </w:r>
      <w:proofErr w:type="spellEnd"/>
      <w:r w:rsidRPr="002E06FF">
        <w:rPr>
          <w:color w:val="000000"/>
        </w:rPr>
        <w:t xml:space="preserve"> (2012) desenvolveram uma abordagem de otimização de carteira com restrições de peso calibradas via </w:t>
      </w:r>
      <w:proofErr w:type="spellStart"/>
      <w:r w:rsidRPr="002E06FF">
        <w:rPr>
          <w:color w:val="000000"/>
        </w:rPr>
        <w:t>bootstrap</w:t>
      </w:r>
      <w:proofErr w:type="spellEnd"/>
      <w:r w:rsidRPr="002E06FF">
        <w:rPr>
          <w:color w:val="000000"/>
        </w:rPr>
        <w:t>, a qual obteve um ganho médio de 32,5% no índice de Sharpe em relação à estratégia 1/N, recomendando – especialmente para universos maiores – a implementação de um limite inferior próximo de 0% (efetivamente restringindo posições curtas) e um limite superior em torno de 7%. Esses resultados reforçam que, ao combinar técnicas tradicionais (como a otimização via maximização do Sharpe-</w:t>
      </w:r>
      <w:proofErr w:type="spellStart"/>
      <w:r w:rsidRPr="002E06FF">
        <w:rPr>
          <w:color w:val="000000"/>
        </w:rPr>
        <w:t>Ratio</w:t>
      </w:r>
      <w:proofErr w:type="spellEnd"/>
      <w:r w:rsidRPr="002E06FF">
        <w:rPr>
          <w:color w:val="000000"/>
        </w:rPr>
        <w:t xml:space="preserve"> e </w:t>
      </w:r>
      <w:proofErr w:type="spellStart"/>
      <w:r w:rsidRPr="002E06FF">
        <w:rPr>
          <w:color w:val="000000"/>
        </w:rPr>
        <w:t>Sortino-Ratio</w:t>
      </w:r>
      <w:proofErr w:type="spellEnd"/>
      <w:r w:rsidRPr="002E06FF">
        <w:rPr>
          <w:color w:val="000000"/>
        </w:rPr>
        <w:t>) com métodos avançados de calibração de restrições, é possível obter alocações de ativos mais robustas e com performance ajustada ao risco significativamente aprimorada.</w:t>
      </w:r>
      <w:r>
        <w:rPr>
          <w:color w:val="000000"/>
        </w:rPr>
        <w:t xml:space="preserve"> </w:t>
      </w:r>
    </w:p>
    <w:p w14:paraId="55D234D3" w14:textId="22DC5563" w:rsidR="004C4CE4" w:rsidRDefault="004C4CE4">
      <w:pPr>
        <w:spacing w:line="259" w:lineRule="auto"/>
        <w:rPr>
          <w:sz w:val="22"/>
        </w:rPr>
      </w:pPr>
    </w:p>
    <w:p w14:paraId="31F18166" w14:textId="58BBB992" w:rsidR="00CF03CF" w:rsidRDefault="00CF03CF">
      <w:pPr>
        <w:spacing w:line="259" w:lineRule="auto"/>
      </w:pPr>
    </w:p>
    <w:bookmarkEnd w:id="1"/>
    <w:p w14:paraId="1060E582" w14:textId="64CBF1C4" w:rsidR="00CF03CF" w:rsidRDefault="00000000">
      <w:pPr>
        <w:spacing w:line="259" w:lineRule="auto"/>
      </w:pPr>
      <w:r>
        <w:tab/>
      </w:r>
    </w:p>
    <w:p w14:paraId="70517415" w14:textId="77777777" w:rsidR="00CF03CF" w:rsidRDefault="00000000">
      <w:pPr>
        <w:pStyle w:val="Ttulo1"/>
        <w:spacing w:after="110" w:line="259" w:lineRule="auto"/>
        <w:ind w:left="-15" w:firstLine="0"/>
      </w:pPr>
      <w:bookmarkStart w:id="7" w:name="_Toc194592223"/>
      <w:r>
        <w:t>3 METODOLOGIA</w:t>
      </w:r>
      <w:bookmarkEnd w:id="7"/>
      <w:r>
        <w:rPr>
          <w:color w:val="2F5496"/>
          <w:sz w:val="40"/>
        </w:rPr>
        <w:t xml:space="preserve"> </w:t>
      </w:r>
    </w:p>
    <w:p w14:paraId="4D580093" w14:textId="77777777" w:rsidR="00BB46F4" w:rsidRDefault="00BB46F4">
      <w:pPr>
        <w:pStyle w:val="Ttulo2"/>
        <w:spacing w:after="52" w:line="259" w:lineRule="auto"/>
        <w:ind w:left="-15" w:firstLine="0"/>
      </w:pPr>
    </w:p>
    <w:p w14:paraId="7FDF2AE2" w14:textId="7BFDA962" w:rsidR="00CF03CF" w:rsidRDefault="00000000">
      <w:pPr>
        <w:pStyle w:val="Ttulo2"/>
        <w:spacing w:after="52" w:line="259" w:lineRule="auto"/>
        <w:ind w:left="-15" w:firstLine="0"/>
      </w:pPr>
      <w:bookmarkStart w:id="8" w:name="_Toc194592224"/>
      <w:r>
        <w:t>3.1 Tipo de Pesquisa</w:t>
      </w:r>
      <w:bookmarkEnd w:id="8"/>
      <w:r>
        <w:t xml:space="preserve"> </w:t>
      </w:r>
    </w:p>
    <w:p w14:paraId="2F7D179D" w14:textId="77777777" w:rsidR="00CF03CF" w:rsidRDefault="00000000">
      <w:pPr>
        <w:spacing w:line="259" w:lineRule="auto"/>
      </w:pPr>
      <w:r>
        <w:t xml:space="preserve"> </w:t>
      </w:r>
    </w:p>
    <w:p w14:paraId="283964AC" w14:textId="45BC8D8F" w:rsidR="00CF03CF" w:rsidRPr="00BB46F4" w:rsidRDefault="00BB46F4" w:rsidP="00BB46F4">
      <w:pPr>
        <w:spacing w:line="360" w:lineRule="auto"/>
        <w:ind w:firstLine="709"/>
      </w:pPr>
      <w:r w:rsidRPr="00BB46F4">
        <w:t xml:space="preserve">Esta pesquisa é de natureza quantitativa, com abordagem descritiva, exploratória e experimental. A escolha por uma metodologia quantitativa se justifica pela necessidade de mensurar a performance do modelo LLM “ChatGPT o3-mini-high” na previsão de indicadores econômicos e variáveis financeiras, utilizando métricas estatísticas robustas – como o F1-Score e a AUC – para validar os resultados obtidos. A abordagem descritiva permite mapear e analisar detalhadamente as características das predições e dos relatórios financeiros, enquanto a exploratória visa identificar padrões, inconsistências e oportunidades de melhoria na utilização de </w:t>
      </w:r>
      <w:proofErr w:type="spellStart"/>
      <w:r w:rsidRPr="00BB46F4">
        <w:t>LLMs</w:t>
      </w:r>
      <w:proofErr w:type="spellEnd"/>
      <w:r w:rsidRPr="00BB46F4">
        <w:t xml:space="preserve"> para análises financeiras. O caráter experimental é evidenciado pela realização de múltiplas predições para cada companhia, o ajuste fino dos parâmetros do modelo e a comparação dos resultados com as predições de analistas </w:t>
      </w:r>
      <w:r w:rsidRPr="00BB46F4">
        <w:lastRenderedPageBreak/>
        <w:t xml:space="preserve">financeiros e com o desempenho de carteiras de investimentos, contribuindo para o avanço do conhecimento na aplicação de inteligência artificial no campo das finanças. </w:t>
      </w:r>
    </w:p>
    <w:p w14:paraId="21B84571" w14:textId="77777777" w:rsidR="00BB46F4" w:rsidRDefault="00BB46F4">
      <w:pPr>
        <w:pStyle w:val="Ttulo2"/>
        <w:spacing w:after="55" w:line="259" w:lineRule="auto"/>
        <w:ind w:left="-15" w:firstLine="0"/>
      </w:pPr>
    </w:p>
    <w:p w14:paraId="5A4DF6B0" w14:textId="77777777" w:rsidR="00BB46F4" w:rsidRDefault="00BB46F4">
      <w:pPr>
        <w:pStyle w:val="Ttulo2"/>
        <w:spacing w:after="55" w:line="259" w:lineRule="auto"/>
        <w:ind w:left="-15" w:firstLine="0"/>
      </w:pPr>
    </w:p>
    <w:p w14:paraId="3CD7DFA5" w14:textId="354CB1CE" w:rsidR="00CF03CF" w:rsidRDefault="00000000">
      <w:pPr>
        <w:pStyle w:val="Ttulo2"/>
        <w:spacing w:after="55" w:line="259" w:lineRule="auto"/>
        <w:ind w:left="-15" w:firstLine="0"/>
      </w:pPr>
      <w:bookmarkStart w:id="9" w:name="_Toc194592225"/>
      <w:r>
        <w:t>3.2 Fonte dos Dados</w:t>
      </w:r>
      <w:bookmarkEnd w:id="9"/>
      <w:r>
        <w:t xml:space="preserve"> </w:t>
      </w:r>
    </w:p>
    <w:p w14:paraId="3E99D5AC" w14:textId="77777777" w:rsidR="00F2362C" w:rsidRDefault="00F2362C">
      <w:pPr>
        <w:spacing w:line="259" w:lineRule="auto"/>
      </w:pPr>
    </w:p>
    <w:p w14:paraId="187F0F3A" w14:textId="1DB0D8D3" w:rsidR="00F2362C" w:rsidRDefault="00F2362C" w:rsidP="00F2362C">
      <w:pPr>
        <w:pStyle w:val="NormalWeb"/>
        <w:spacing w:before="0" w:beforeAutospacing="0" w:after="0" w:afterAutospacing="0" w:line="360" w:lineRule="auto"/>
        <w:ind w:firstLine="709"/>
        <w:jc w:val="both"/>
        <w:rPr>
          <w:color w:val="000000"/>
        </w:rPr>
      </w:pPr>
      <w:r>
        <w:rPr>
          <w:color w:val="000000"/>
        </w:rPr>
        <w:t xml:space="preserve">Neste estudo, foram utilizados dados dos demonstrativos ITR e DFP de empresas listadas e negociadas no Ibovespa, referentes ao período compreendido entre o quarto trimestre de 2022 e o quarto trimestre de 2024. Desses nove trimestres, cinco foram empregados para a previsão e quatro para a verificação, sendo que o trimestre encerrado em 31 de dezembro de 2023 foi utilizado em ambos os contextos, totalizando </w:t>
      </w:r>
      <w:r w:rsidR="00E313D4">
        <w:rPr>
          <w:color w:val="000000"/>
        </w:rPr>
        <w:t>97</w:t>
      </w:r>
      <w:r>
        <w:rPr>
          <w:color w:val="000000"/>
        </w:rPr>
        <w:t xml:space="preserve"> empresas analisadas.</w:t>
      </w:r>
    </w:p>
    <w:p w14:paraId="358650DD" w14:textId="77777777" w:rsidR="00931DCB" w:rsidRDefault="00F2362C" w:rsidP="00F2362C">
      <w:pPr>
        <w:pStyle w:val="NormalWeb"/>
        <w:spacing w:before="0" w:beforeAutospacing="0" w:after="0" w:afterAutospacing="0" w:line="360" w:lineRule="auto"/>
        <w:ind w:firstLine="709"/>
        <w:jc w:val="both"/>
        <w:rPr>
          <w:color w:val="000000"/>
        </w:rPr>
      </w:pPr>
      <w:r>
        <w:rPr>
          <w:color w:val="000000"/>
        </w:rPr>
        <w:t xml:space="preserve">Os dados dos demonstrativos ITR foram obtidos na seção “Dados Abertos de Companhias” do site da CVM, utilizando-se especificamente os conjuntos de dados denominados: </w:t>
      </w:r>
    </w:p>
    <w:p w14:paraId="2ACF1FAE" w14:textId="77777777" w:rsidR="00931DCB" w:rsidRDefault="00F2362C" w:rsidP="00F2362C">
      <w:pPr>
        <w:pStyle w:val="NormalWeb"/>
        <w:spacing w:before="0" w:beforeAutospacing="0" w:after="0" w:afterAutospacing="0" w:line="360" w:lineRule="auto"/>
        <w:ind w:firstLine="709"/>
        <w:jc w:val="both"/>
        <w:rPr>
          <w:color w:val="000000"/>
        </w:rPr>
      </w:pPr>
      <w:r>
        <w:rPr>
          <w:color w:val="000000"/>
        </w:rPr>
        <w:t xml:space="preserve">• “Cias Abertas: Documentos: Formulário de Informações Trimestrais (ITR)” – para as demonstrações financeiras dos três primeiros trimestres; </w:t>
      </w:r>
    </w:p>
    <w:p w14:paraId="5D77F298" w14:textId="7CD8F8D6" w:rsidR="00F2362C" w:rsidRDefault="00F2362C" w:rsidP="00F2362C">
      <w:pPr>
        <w:pStyle w:val="NormalWeb"/>
        <w:spacing w:before="0" w:beforeAutospacing="0" w:after="0" w:afterAutospacing="0" w:line="360" w:lineRule="auto"/>
        <w:ind w:firstLine="709"/>
        <w:jc w:val="both"/>
        <w:rPr>
          <w:color w:val="000000"/>
        </w:rPr>
      </w:pPr>
      <w:r>
        <w:rPr>
          <w:color w:val="000000"/>
        </w:rPr>
        <w:t>• “Cias Abertas: Documentos: Formulário de Demonstrações Financeiras Padronizadas (DFP)” – para os relatórios financeiros anuais.</w:t>
      </w:r>
    </w:p>
    <w:p w14:paraId="5DA298D8" w14:textId="77777777" w:rsidR="00F2362C" w:rsidRDefault="00F2362C" w:rsidP="00F2362C">
      <w:pPr>
        <w:pStyle w:val="NormalWeb"/>
        <w:spacing w:before="0" w:beforeAutospacing="0" w:after="0" w:afterAutospacing="0" w:line="360" w:lineRule="auto"/>
        <w:ind w:firstLine="709"/>
        <w:jc w:val="both"/>
        <w:rPr>
          <w:color w:val="000000"/>
        </w:rPr>
      </w:pPr>
      <w:r>
        <w:rPr>
          <w:color w:val="000000"/>
        </w:rPr>
        <w:t>Complementarmente, foi coletada a última ata da reunião do COPOM anterior à data de divulgação do relatório financeiro em análise, por meio de coleta manual no site do Banco Central do Brasil (BCB).</w:t>
      </w:r>
    </w:p>
    <w:p w14:paraId="07DBD2BA" w14:textId="6EDF2D6A" w:rsidR="00E313D4" w:rsidRDefault="00E313D4" w:rsidP="00B6020A">
      <w:pPr>
        <w:pStyle w:val="NormalWeb"/>
        <w:spacing w:before="0" w:beforeAutospacing="0" w:after="0" w:afterAutospacing="0" w:line="360" w:lineRule="auto"/>
        <w:ind w:firstLine="709"/>
        <w:jc w:val="both"/>
        <w:rPr>
          <w:color w:val="000000"/>
        </w:rPr>
      </w:pPr>
      <w:r>
        <w:rPr>
          <w:color w:val="000000"/>
        </w:rPr>
        <w:t xml:space="preserve">Para obter a lista de empresas que seriam incorporadas, foi utilizada como referência a lista de ações que compuseram a IBRX-100 em maio de 2023. Como esta lista seria fixa, foi preferido buscar por uma composição que estivesse entre as datas de teste para a previsão. Foram excluídas as ações de empresas que possuíam mais de um código de negociação, de modo que cada companhia fosse representada por apenas uma ação na previsão do lucro líquido futuro da empresa, mas todos os </w:t>
      </w:r>
      <w:r w:rsidR="00B6020A">
        <w:rPr>
          <w:color w:val="000000"/>
        </w:rPr>
        <w:t>“</w:t>
      </w:r>
      <w:proofErr w:type="spellStart"/>
      <w:r>
        <w:rPr>
          <w:color w:val="000000"/>
        </w:rPr>
        <w:t>tickers</w:t>
      </w:r>
      <w:proofErr w:type="spellEnd"/>
      <w:r w:rsidR="00B6020A">
        <w:rPr>
          <w:color w:val="000000"/>
        </w:rPr>
        <w:t>”</w:t>
      </w:r>
      <w:r>
        <w:rPr>
          <w:color w:val="000000"/>
        </w:rPr>
        <w:t xml:space="preserve"> foram utilizados no processo de otimização de carteira. </w:t>
      </w:r>
    </w:p>
    <w:p w14:paraId="22C700F4" w14:textId="550DC37C" w:rsidR="00E313D4" w:rsidRDefault="00E313D4" w:rsidP="00F2362C">
      <w:pPr>
        <w:pStyle w:val="NormalWeb"/>
        <w:spacing w:before="0" w:beforeAutospacing="0" w:after="0" w:afterAutospacing="0" w:line="360" w:lineRule="auto"/>
        <w:ind w:firstLine="709"/>
        <w:jc w:val="both"/>
        <w:rPr>
          <w:color w:val="000000"/>
        </w:rPr>
      </w:pPr>
      <w:r>
        <w:rPr>
          <w:color w:val="000000"/>
        </w:rPr>
        <w:t xml:space="preserve">A lista das ações consideradas pode ser </w:t>
      </w:r>
      <w:r w:rsidR="00B6020A">
        <w:rPr>
          <w:color w:val="000000"/>
        </w:rPr>
        <w:t>vista na Tabela 1, onde a primeira linha contém a ação que deixou de ser negociada na bolsa de valores brasileira, a segunda linha houve fusão das duas empresas para a ação de código “AZZA3”. A terceira linha houve mudanças de códigos das ações sendo hoje representadas por “BHIA3”, “BRAV3” e “ALOS3”, a quarta linha não houve nenhuma modificação e todas as ações seguem iguais.</w:t>
      </w:r>
    </w:p>
    <w:p w14:paraId="07A24E3F" w14:textId="77777777" w:rsidR="00E313D4" w:rsidRDefault="00E313D4" w:rsidP="00F2362C">
      <w:pPr>
        <w:pStyle w:val="NormalWeb"/>
        <w:spacing w:before="0" w:beforeAutospacing="0" w:after="0" w:afterAutospacing="0" w:line="360" w:lineRule="auto"/>
        <w:ind w:firstLine="709"/>
        <w:jc w:val="both"/>
        <w:rPr>
          <w:color w:val="000000"/>
        </w:rPr>
      </w:pPr>
    </w:p>
    <w:p w14:paraId="3E35A276" w14:textId="28869E21" w:rsidR="00E313D4" w:rsidRDefault="00B6020A" w:rsidP="00B6020A">
      <w:pPr>
        <w:pStyle w:val="NormalWeb"/>
        <w:spacing w:before="0" w:beforeAutospacing="0" w:after="0" w:afterAutospacing="0" w:line="360" w:lineRule="auto"/>
        <w:jc w:val="center"/>
        <w:rPr>
          <w:color w:val="000000"/>
        </w:rPr>
      </w:pPr>
      <w:r>
        <w:rPr>
          <w:color w:val="000000"/>
        </w:rPr>
        <w:lastRenderedPageBreak/>
        <w:t>Tabela 1 – Lista de ações consideradas</w:t>
      </w:r>
    </w:p>
    <w:tbl>
      <w:tblPr>
        <w:tblStyle w:val="Tabelacomgrade"/>
        <w:tblW w:w="0" w:type="auto"/>
        <w:tblLook w:val="04A0" w:firstRow="1" w:lastRow="0" w:firstColumn="1" w:lastColumn="0" w:noHBand="0" w:noVBand="1"/>
      </w:tblPr>
      <w:tblGrid>
        <w:gridCol w:w="9069"/>
      </w:tblGrid>
      <w:tr w:rsidR="00E313D4" w:rsidRPr="00E313D4" w14:paraId="0C790B4E" w14:textId="77777777" w:rsidTr="00E313D4">
        <w:tc>
          <w:tcPr>
            <w:tcW w:w="9069" w:type="dxa"/>
          </w:tcPr>
          <w:p w14:paraId="4E396F8B" w14:textId="0878BB8B" w:rsidR="00E313D4" w:rsidRPr="00E313D4" w:rsidRDefault="00E313D4" w:rsidP="0057444C">
            <w:pPr>
              <w:pStyle w:val="NormalWeb"/>
              <w:spacing w:after="0" w:line="360" w:lineRule="auto"/>
              <w:rPr>
                <w:color w:val="000000"/>
              </w:rPr>
            </w:pPr>
            <w:r w:rsidRPr="00E313D4">
              <w:rPr>
                <w:color w:val="000000"/>
              </w:rPr>
              <w:t>ENBR3</w:t>
            </w:r>
            <w:r w:rsidR="00F475FD">
              <w:rPr>
                <w:color w:val="000000"/>
              </w:rPr>
              <w:t>, CIEL3</w:t>
            </w:r>
          </w:p>
        </w:tc>
      </w:tr>
      <w:tr w:rsidR="00E313D4" w:rsidRPr="00B6020A" w14:paraId="6E921ADA" w14:textId="77777777" w:rsidTr="00E313D4">
        <w:tc>
          <w:tcPr>
            <w:tcW w:w="9069" w:type="dxa"/>
          </w:tcPr>
          <w:p w14:paraId="1AB360B7" w14:textId="3042F9A8" w:rsidR="00E313D4" w:rsidRPr="00B6020A" w:rsidRDefault="00E313D4" w:rsidP="0057444C">
            <w:pPr>
              <w:pStyle w:val="NormalWeb"/>
              <w:spacing w:after="0" w:line="360" w:lineRule="auto"/>
              <w:rPr>
                <w:color w:val="000000"/>
              </w:rPr>
            </w:pPr>
            <w:r w:rsidRPr="00B6020A">
              <w:rPr>
                <w:color w:val="000000"/>
              </w:rPr>
              <w:t>ARZZ3</w:t>
            </w:r>
            <w:r w:rsidR="00B6020A" w:rsidRPr="00B6020A">
              <w:rPr>
                <w:color w:val="000000"/>
              </w:rPr>
              <w:t>, SOMA3</w:t>
            </w:r>
            <w:r w:rsidRPr="00B6020A">
              <w:rPr>
                <w:color w:val="000000"/>
              </w:rPr>
              <w:t xml:space="preserve">, </w:t>
            </w:r>
          </w:p>
        </w:tc>
      </w:tr>
      <w:tr w:rsidR="00B6020A" w:rsidRPr="00B6020A" w14:paraId="38491C0F" w14:textId="77777777" w:rsidTr="00E313D4">
        <w:tc>
          <w:tcPr>
            <w:tcW w:w="9069" w:type="dxa"/>
          </w:tcPr>
          <w:p w14:paraId="2302AA39" w14:textId="69465165" w:rsidR="00B6020A" w:rsidRPr="00B6020A" w:rsidRDefault="00B6020A" w:rsidP="0057444C">
            <w:pPr>
              <w:pStyle w:val="NormalWeb"/>
              <w:spacing w:after="0" w:line="360" w:lineRule="auto"/>
              <w:rPr>
                <w:color w:val="000000"/>
              </w:rPr>
            </w:pPr>
            <w:r w:rsidRPr="00B6020A">
              <w:rPr>
                <w:color w:val="000000"/>
              </w:rPr>
              <w:t>VIIA3, RRRP3,</w:t>
            </w:r>
            <w:r>
              <w:rPr>
                <w:color w:val="000000"/>
              </w:rPr>
              <w:t xml:space="preserve"> </w:t>
            </w:r>
            <w:r w:rsidRPr="00B6020A">
              <w:rPr>
                <w:color w:val="000000"/>
              </w:rPr>
              <w:t>ALSO3</w:t>
            </w:r>
          </w:p>
        </w:tc>
      </w:tr>
      <w:tr w:rsidR="00E313D4" w:rsidRPr="00B6020A" w14:paraId="55F7E40F" w14:textId="77777777" w:rsidTr="00E313D4">
        <w:tc>
          <w:tcPr>
            <w:tcW w:w="9069" w:type="dxa"/>
          </w:tcPr>
          <w:p w14:paraId="761D1D3F" w14:textId="372EB4A2" w:rsidR="00E313D4" w:rsidRPr="00B6020A" w:rsidRDefault="00E313D4" w:rsidP="0057444C">
            <w:pPr>
              <w:pStyle w:val="NormalWeb"/>
              <w:spacing w:after="0" w:line="360" w:lineRule="auto"/>
              <w:rPr>
                <w:color w:val="000000"/>
                <w:lang w:val="pt"/>
              </w:rPr>
            </w:pPr>
            <w:r w:rsidRPr="00B6020A">
              <w:rPr>
                <w:color w:val="000000"/>
                <w:lang w:val="pt"/>
              </w:rPr>
              <w:t>ALSO3, ALPA4, ABEV3, ASAI3, AURE3, AZUL4, B3SA3, BBSE3, BBDC3, BBDC4, BRAP4, BBAS3, BRKM5, BRFS3, BPAC11, CRFB3,CBAV3, CCRO3, CMIG4, COGN3, CPLE6, CSAN3, CPFE3, CMIN3, CVCB3, CYRE3, DXCO3, DIRR3, ECOR3, ELET3, ELET6, EMBR3,ENGI11, ENEV3, EGIE3, EQTL3, EZTC3, FLRY3, GGBR4, GOAU4, GOLL4, GMAT3, NTCO3, HAPV3, HYPE3, IGTI11, IRBR3, ITSA4, ITUB4, JBSS3, KLBN11, RENT3, LWSA3, LREN3, MDIA3, MGLU3, MRFG3, CASH3, BEEF3, MOVI3, MRVE3, MULT3, PCAR3, PETR3, PETR4, RECV3, PRIO3, PETZ3, PSSA3, QUAL3, RADL3, RAIZ4, RDOR3, RAIL3, SBSP3, SANB11, STBP3, SMTO3, CSNA3, SIMH3, SLCE3, SUZB3, TAEE11, VIVT3, TIMS3, TOTS3, TRPL4, UGPA3, USIM5, VALE3, VAMO3, VBBR3, WEGE3, YDUQ3,</w:t>
            </w:r>
          </w:p>
        </w:tc>
      </w:tr>
    </w:tbl>
    <w:p w14:paraId="77AA72DF" w14:textId="77777777" w:rsidR="00E313D4" w:rsidRPr="00B6020A" w:rsidRDefault="00E313D4" w:rsidP="00F2362C">
      <w:pPr>
        <w:pStyle w:val="NormalWeb"/>
        <w:spacing w:before="0" w:beforeAutospacing="0" w:after="0" w:afterAutospacing="0" w:line="360" w:lineRule="auto"/>
        <w:ind w:firstLine="709"/>
        <w:jc w:val="both"/>
        <w:rPr>
          <w:color w:val="000000"/>
          <w:lang w:val="pt"/>
        </w:rPr>
      </w:pPr>
    </w:p>
    <w:p w14:paraId="56EACA55" w14:textId="441AD780" w:rsidR="00F2362C" w:rsidRPr="00BB46F4" w:rsidRDefault="00F2362C" w:rsidP="00BB46F4">
      <w:pPr>
        <w:pStyle w:val="NormalWeb"/>
        <w:spacing w:before="0" w:beforeAutospacing="0" w:after="0" w:afterAutospacing="0" w:line="360" w:lineRule="auto"/>
        <w:ind w:firstLine="709"/>
        <w:jc w:val="both"/>
        <w:rPr>
          <w:color w:val="000000"/>
        </w:rPr>
      </w:pPr>
      <w:r>
        <w:rPr>
          <w:color w:val="000000"/>
        </w:rPr>
        <w:t>Os dados relativos ao histórico de preços das ações analisadas foram obtidos por meio da API da plataforma “EODHD”. Para estabelecer o preço de referência de cada ação durante um período, utilizou-se a chave “</w:t>
      </w:r>
      <w:proofErr w:type="spellStart"/>
      <w:r>
        <w:rPr>
          <w:color w:val="000000"/>
        </w:rPr>
        <w:t>adjusted_close</w:t>
      </w:r>
      <w:proofErr w:type="spellEnd"/>
      <w:r>
        <w:rPr>
          <w:color w:val="000000"/>
        </w:rPr>
        <w:t>”, a qual reflete os ajustes decorrentes de operações que impactam o preço da ação – excetuando recompra e emissão –, como, por exemplo, pagamentos de dividendos e operações de desdobramento ou agrupamento de ações.</w:t>
      </w:r>
    </w:p>
    <w:p w14:paraId="53D6B8AC" w14:textId="1A08FAEB" w:rsidR="00CF03CF" w:rsidRDefault="00000000" w:rsidP="003C4465">
      <w:pPr>
        <w:spacing w:line="259" w:lineRule="auto"/>
      </w:pPr>
      <w:r>
        <w:t xml:space="preserve"> </w:t>
      </w:r>
    </w:p>
    <w:p w14:paraId="6F777912" w14:textId="12559A6F" w:rsidR="00CF03CF" w:rsidRDefault="00000000">
      <w:pPr>
        <w:pStyle w:val="Ttulo2"/>
        <w:spacing w:after="55" w:line="259" w:lineRule="auto"/>
        <w:ind w:left="-15" w:firstLine="0"/>
      </w:pPr>
      <w:bookmarkStart w:id="10" w:name="_Toc194592226"/>
      <w:r>
        <w:t>3.</w:t>
      </w:r>
      <w:r w:rsidR="00F2362C">
        <w:t>3</w:t>
      </w:r>
      <w:r>
        <w:t xml:space="preserve"> Preparação dos Dados </w:t>
      </w:r>
      <w:r w:rsidR="00F2362C">
        <w:t>e Abordagens adotadas</w:t>
      </w:r>
      <w:bookmarkEnd w:id="10"/>
    </w:p>
    <w:p w14:paraId="0CBB0697" w14:textId="77777777" w:rsidR="00F2362C" w:rsidRDefault="00F2362C" w:rsidP="00F2362C"/>
    <w:p w14:paraId="2E470E4E" w14:textId="77777777" w:rsidR="003C4465" w:rsidRPr="003C4465" w:rsidRDefault="003C4465" w:rsidP="003C4465">
      <w:pPr>
        <w:spacing w:line="360" w:lineRule="auto"/>
        <w:ind w:firstLine="709"/>
      </w:pPr>
      <w:r w:rsidRPr="003C4465">
        <w:t>O presente estudo utilizou o LLM “ChatGPT o3-mini-high” para realizar análises financeiras e predições dos indicadores econômicos e variáveis financeiras selecionadas. A escolha deste modelo deveu-se à sua data de corte de aprendizagem, que antecedeu a divulgação dos resultados do quarto trimestre de 2023 (conforme “</w:t>
      </w:r>
      <w:proofErr w:type="spellStart"/>
      <w:r w:rsidRPr="003C4465">
        <w:t>Sep</w:t>
      </w:r>
      <w:proofErr w:type="spellEnd"/>
      <w:r w:rsidRPr="003C4465">
        <w:t xml:space="preserve"> 30, 2023 </w:t>
      </w:r>
      <w:proofErr w:type="spellStart"/>
      <w:r w:rsidRPr="003C4465">
        <w:t>knowledge</w:t>
      </w:r>
      <w:proofErr w:type="spellEnd"/>
      <w:r w:rsidRPr="003C4465">
        <w:t xml:space="preserve"> </w:t>
      </w:r>
      <w:proofErr w:type="spellStart"/>
      <w:r w:rsidRPr="003C4465">
        <w:t>cutoff</w:t>
      </w:r>
      <w:proofErr w:type="spellEnd"/>
      <w:r w:rsidRPr="003C4465">
        <w:t>”, disponível no site da OpenAI).</w:t>
      </w:r>
    </w:p>
    <w:p w14:paraId="76FC8247" w14:textId="77777777" w:rsidR="003C4465" w:rsidRPr="003C4465" w:rsidRDefault="003C4465" w:rsidP="003C4465">
      <w:pPr>
        <w:spacing w:line="360" w:lineRule="auto"/>
        <w:ind w:firstLine="709"/>
      </w:pPr>
      <w:r w:rsidRPr="003C4465">
        <w:t>Os parâmetros do modelo foram ajustados com o intuito de reduzir a variação das respostas para um mesmo input. Dessa forma, o parâmetro “</w:t>
      </w:r>
      <w:proofErr w:type="spellStart"/>
      <w:r w:rsidRPr="003C4465">
        <w:t>temperature</w:t>
      </w:r>
      <w:proofErr w:type="spellEnd"/>
      <w:r w:rsidRPr="003C4465">
        <w:t>” – que determina o grau de aleatoriedade das respostas (quanto menor, menor a divergência) – foi fixado em 0, enquanto o parâmetro “n” (número de respostas geradas para seleção da mais consistente) foi estabelecido em 10, objetivando, assim, reduzir a incerteza das predições e garantir respostas mais constantes ao longo do tempo.</w:t>
      </w:r>
    </w:p>
    <w:p w14:paraId="501EDA9F" w14:textId="77777777" w:rsidR="003C4465" w:rsidRPr="003C4465" w:rsidRDefault="003C4465" w:rsidP="003C4465">
      <w:pPr>
        <w:spacing w:line="360" w:lineRule="auto"/>
        <w:ind w:firstLine="709"/>
      </w:pPr>
      <w:r w:rsidRPr="003C4465">
        <w:lastRenderedPageBreak/>
        <w:t>Para o tratamento dos relatórios financeiros trimestrais, adotou-se a seguinte metodologia:</w:t>
      </w:r>
    </w:p>
    <w:p w14:paraId="4AB5F747" w14:textId="77777777" w:rsidR="003C4465" w:rsidRPr="003C4465" w:rsidRDefault="003C4465" w:rsidP="003C4465">
      <w:pPr>
        <w:numPr>
          <w:ilvl w:val="0"/>
          <w:numId w:val="5"/>
        </w:numPr>
        <w:spacing w:line="360" w:lineRule="auto"/>
        <w:ind w:left="0" w:firstLine="709"/>
      </w:pPr>
      <w:r w:rsidRPr="003C4465">
        <w:t>Conversão dos arquivos em formato PDF para TXT;</w:t>
      </w:r>
    </w:p>
    <w:p w14:paraId="41DC3FC0" w14:textId="77777777" w:rsidR="003C4465" w:rsidRPr="003C4465" w:rsidRDefault="003C4465" w:rsidP="003C4465">
      <w:pPr>
        <w:numPr>
          <w:ilvl w:val="0"/>
          <w:numId w:val="5"/>
        </w:numPr>
        <w:spacing w:line="360" w:lineRule="auto"/>
        <w:ind w:left="0" w:firstLine="709"/>
      </w:pPr>
      <w:r w:rsidRPr="003C4465">
        <w:t>Limpeza dos arquivos, com remoção de espaços e quebras de linha excessivos, bem como de caracteres especiais utilizados na separação de páginas e seções dos relatórios.</w:t>
      </w:r>
    </w:p>
    <w:p w14:paraId="26FF1A8F" w14:textId="77777777" w:rsidR="00365952" w:rsidRDefault="00365952" w:rsidP="003C4465">
      <w:pPr>
        <w:spacing w:line="360" w:lineRule="auto"/>
        <w:ind w:firstLine="709"/>
      </w:pPr>
    </w:p>
    <w:p w14:paraId="3986843D" w14:textId="7A584294" w:rsidR="003C4465" w:rsidRPr="003C4465" w:rsidRDefault="003C4465" w:rsidP="003C4465">
      <w:pPr>
        <w:spacing w:line="360" w:lineRule="auto"/>
        <w:ind w:firstLine="709"/>
      </w:pPr>
      <w:r w:rsidRPr="003C4465">
        <w:t>Esse procedimento teve como objetivo reduzir o número de tokens de cada documento sem comprometer a qualidade do conteúdo extraído, possibilitando uma diminuição de, pelo menos, 20% do total de tokens. A conversão foi realizada utilizando os pacotes Python “</w:t>
      </w:r>
      <w:proofErr w:type="spellStart"/>
      <w:r w:rsidRPr="003C4465">
        <w:t>camelot</w:t>
      </w:r>
      <w:proofErr w:type="spellEnd"/>
      <w:r w:rsidRPr="003C4465">
        <w:t>” e “</w:t>
      </w:r>
      <w:proofErr w:type="spellStart"/>
      <w:r w:rsidRPr="003C4465">
        <w:t>tabulate</w:t>
      </w:r>
      <w:proofErr w:type="spellEnd"/>
      <w:r w:rsidRPr="003C4465">
        <w:t>”. Considerando que o modelo LLM aceita até 200.000 tokens como input, os arquivos que excederam esse limite foram divididos em duas partes. Inicialmente, a segunda parte do documento era utilizada para gerar um resumo dos aspectos relevantes para a predição, que, posteriormente, era incorporado de forma incremental (por meio de prompt) à análise da primeira parte, dado que as informações cruciais (como as demonstrações financeiras consolidadas) normalmente se encontram na primeira metade dos relatórios ITR e DFP.</w:t>
      </w:r>
    </w:p>
    <w:p w14:paraId="788BE9AE" w14:textId="77777777" w:rsidR="003C4465" w:rsidRPr="003C4465" w:rsidRDefault="003C4465" w:rsidP="003C4465">
      <w:pPr>
        <w:spacing w:line="360" w:lineRule="auto"/>
        <w:ind w:firstLine="709"/>
      </w:pPr>
      <w:r w:rsidRPr="003C4465">
        <w:t xml:space="preserve">Para a realização da análise financeira, empregou-se o mesmo método adotado por Kim, </w:t>
      </w:r>
      <w:proofErr w:type="spellStart"/>
      <w:r w:rsidRPr="003C4465">
        <w:t>Muhn</w:t>
      </w:r>
      <w:proofErr w:type="spellEnd"/>
      <w:r w:rsidRPr="003C4465">
        <w:t xml:space="preserve"> e Nikolaev (2024), o qual se baseia na abordagem “Chain-</w:t>
      </w:r>
      <w:proofErr w:type="spellStart"/>
      <w:r w:rsidRPr="003C4465">
        <w:t>of</w:t>
      </w:r>
      <w:proofErr w:type="spellEnd"/>
      <w:r w:rsidRPr="003C4465">
        <w:t>-</w:t>
      </w:r>
      <w:proofErr w:type="spellStart"/>
      <w:r w:rsidRPr="003C4465">
        <w:t>Thoughts</w:t>
      </w:r>
      <w:proofErr w:type="spellEnd"/>
      <w:r w:rsidRPr="003C4465">
        <w:t xml:space="preserve">” descrita por </w:t>
      </w:r>
      <w:proofErr w:type="spellStart"/>
      <w:r w:rsidRPr="003C4465">
        <w:t>Bouwman</w:t>
      </w:r>
      <w:proofErr w:type="spellEnd"/>
      <w:r w:rsidRPr="003C4465">
        <w:t xml:space="preserve">, </w:t>
      </w:r>
      <w:proofErr w:type="spellStart"/>
      <w:r w:rsidRPr="003C4465">
        <w:t>Frishkoff</w:t>
      </w:r>
      <w:proofErr w:type="spellEnd"/>
      <w:r w:rsidRPr="003C4465">
        <w:t xml:space="preserve"> e </w:t>
      </w:r>
      <w:proofErr w:type="spellStart"/>
      <w:r w:rsidRPr="003C4465">
        <w:t>Frishkoff</w:t>
      </w:r>
      <w:proofErr w:type="spellEnd"/>
      <w:r w:rsidRPr="003C4465">
        <w:t xml:space="preserve"> (1987), visando emular o raciocínio de um analista financeiro. O prompt utilizado encontra-se disponível no Apêndice A. Adicionalmente, a última ata do COPOM, anterior à divulgação do relatório financeiro, foi fornecida ao modelo para contextualizar a conjuntura macroeconômica vigente no período analisado.</w:t>
      </w:r>
    </w:p>
    <w:p w14:paraId="2A90AA07" w14:textId="77777777" w:rsidR="003C4465" w:rsidRPr="003C4465" w:rsidRDefault="003C4465" w:rsidP="003C4465">
      <w:pPr>
        <w:spacing w:line="360" w:lineRule="auto"/>
        <w:ind w:firstLine="709"/>
      </w:pPr>
      <w:r w:rsidRPr="003C4465">
        <w:t>Após a emissão da análise pelo modelo, iniciou-se a etapa de verificação, na qual o LLM “Gemini 2.0 Flash” foi submetido tanto ao resultado obtido quanto ao relatório financeiro da companhia. Nesta fase, o modelo foi instruído a verificar se os dados utilizados pelo “ChatGPT o3-mini-high” estavam em conformidade com os parâmetros estabelecidos (por exemplo, a utilização do lucro líquido das demonstrações consolidadas). Ao final, foi emitida uma avaliação em forma de “Verdadeiro” ou “Falso”. Em caso de avaliação negativa, o relatório financeiro era reenviado ao modelo e a predição descartada.</w:t>
      </w:r>
    </w:p>
    <w:p w14:paraId="0AD7A517" w14:textId="77777777" w:rsidR="003C4465" w:rsidRPr="003C4465" w:rsidRDefault="003C4465" w:rsidP="003C4465">
      <w:pPr>
        <w:spacing w:line="360" w:lineRule="auto"/>
        <w:ind w:firstLine="709"/>
      </w:pPr>
      <w:r w:rsidRPr="003C4465">
        <w:t xml:space="preserve">A realização de 10 previsões para a mesma companhia e trimestre justifica-se pela variação inerente às respostas geradas pelo modelo. Em uma amostra aleatória de 20 companhias, abrangendo cinco trimestres, constatou-se que a consistência média das respostas relativas à previsão de melhora ou piora do lucro líquido foi de 90%, com o menor valor </w:t>
      </w:r>
      <w:r w:rsidRPr="003C4465">
        <w:lastRenderedPageBreak/>
        <w:t>registrado em 82% para um conjunto de 100 requisições, demonstrando que, nas primeiras 10 requisições, o resultado majoritário prevaleceu.</w:t>
      </w:r>
    </w:p>
    <w:p w14:paraId="0DE50EF8" w14:textId="77777777" w:rsidR="003C4465" w:rsidRPr="003C4465" w:rsidRDefault="003C4465" w:rsidP="003C4465">
      <w:pPr>
        <w:spacing w:line="360" w:lineRule="auto"/>
        <w:ind w:firstLine="709"/>
      </w:pPr>
      <w:r w:rsidRPr="003C4465">
        <w:t>Após a obtenção do resultado de maior prevalência, procedeu-se à avaliação da efetiva ocorrência de melhora ou piora do lucro líquido no relatório do ano subsequente. Essa verificação permitiu a transformação dos dados para o cálculo da acurácia, do F1-Score e da AUC, utilizando os seguintes critérios:</w:t>
      </w:r>
    </w:p>
    <w:p w14:paraId="277BE8A2" w14:textId="77777777" w:rsidR="003C4465" w:rsidRPr="003C4465" w:rsidRDefault="003C4465" w:rsidP="003C4465">
      <w:pPr>
        <w:numPr>
          <w:ilvl w:val="0"/>
          <w:numId w:val="6"/>
        </w:numPr>
        <w:spacing w:line="360" w:lineRule="auto"/>
        <w:ind w:left="0" w:firstLine="709"/>
      </w:pPr>
      <w:r w:rsidRPr="003C4465">
        <w:rPr>
          <w:b/>
          <w:bCs/>
        </w:rPr>
        <w:t>TP (</w:t>
      </w:r>
      <w:proofErr w:type="spellStart"/>
      <w:r w:rsidRPr="003C4465">
        <w:rPr>
          <w:b/>
          <w:bCs/>
        </w:rPr>
        <w:t>True</w:t>
      </w:r>
      <w:proofErr w:type="spellEnd"/>
      <w:r w:rsidRPr="003C4465">
        <w:rPr>
          <w:b/>
          <w:bCs/>
        </w:rPr>
        <w:t xml:space="preserve"> Positive):</w:t>
      </w:r>
      <w:r w:rsidRPr="003C4465">
        <w:t> atribuído quando a previsão de aumento do lucro líquido se confirma;</w:t>
      </w:r>
    </w:p>
    <w:p w14:paraId="57984C97" w14:textId="77777777" w:rsidR="003C4465" w:rsidRPr="003C4465" w:rsidRDefault="003C4465" w:rsidP="003C4465">
      <w:pPr>
        <w:numPr>
          <w:ilvl w:val="0"/>
          <w:numId w:val="6"/>
        </w:numPr>
        <w:spacing w:line="360" w:lineRule="auto"/>
        <w:ind w:left="0" w:firstLine="709"/>
      </w:pPr>
      <w:r w:rsidRPr="003C4465">
        <w:rPr>
          <w:b/>
          <w:bCs/>
        </w:rPr>
        <w:t>TN (</w:t>
      </w:r>
      <w:proofErr w:type="spellStart"/>
      <w:r w:rsidRPr="003C4465">
        <w:rPr>
          <w:b/>
          <w:bCs/>
        </w:rPr>
        <w:t>True</w:t>
      </w:r>
      <w:proofErr w:type="spellEnd"/>
      <w:r w:rsidRPr="003C4465">
        <w:rPr>
          <w:b/>
          <w:bCs/>
        </w:rPr>
        <w:t xml:space="preserve"> Negative):</w:t>
      </w:r>
      <w:r w:rsidRPr="003C4465">
        <w:t> atribuído quando a previsão de queda do lucro líquido se confirma;</w:t>
      </w:r>
    </w:p>
    <w:p w14:paraId="08BF3079" w14:textId="77777777" w:rsidR="003C4465" w:rsidRPr="003C4465" w:rsidRDefault="003C4465" w:rsidP="003C4465">
      <w:pPr>
        <w:numPr>
          <w:ilvl w:val="0"/>
          <w:numId w:val="6"/>
        </w:numPr>
        <w:spacing w:line="360" w:lineRule="auto"/>
        <w:ind w:left="0" w:firstLine="709"/>
      </w:pPr>
      <w:r w:rsidRPr="003C4465">
        <w:rPr>
          <w:b/>
          <w:bCs/>
        </w:rPr>
        <w:t>FP (False Positive):</w:t>
      </w:r>
      <w:r w:rsidRPr="003C4465">
        <w:t> atribuído quando a previsão de aumento não se concretiza;</w:t>
      </w:r>
    </w:p>
    <w:p w14:paraId="29B34FD9" w14:textId="77777777" w:rsidR="003C4465" w:rsidRPr="003C4465" w:rsidRDefault="003C4465" w:rsidP="003C4465">
      <w:pPr>
        <w:numPr>
          <w:ilvl w:val="0"/>
          <w:numId w:val="6"/>
        </w:numPr>
        <w:spacing w:line="360" w:lineRule="auto"/>
        <w:ind w:left="0" w:firstLine="709"/>
      </w:pPr>
      <w:r w:rsidRPr="003C4465">
        <w:rPr>
          <w:b/>
          <w:bCs/>
        </w:rPr>
        <w:t>FN (False Negative):</w:t>
      </w:r>
      <w:r w:rsidRPr="003C4465">
        <w:t> atribuído quando a previsão de queda não se concretiza.</w:t>
      </w:r>
    </w:p>
    <w:p w14:paraId="12AEC49A" w14:textId="1BDC27AF" w:rsidR="00F04CAC" w:rsidRDefault="003C4465" w:rsidP="00F04CAC">
      <w:pPr>
        <w:spacing w:line="360" w:lineRule="auto"/>
        <w:ind w:firstLine="709"/>
      </w:pPr>
      <w:r w:rsidRPr="003C4465">
        <w:t>O </w:t>
      </w:r>
      <w:r w:rsidRPr="003C4465">
        <w:rPr>
          <w:b/>
          <w:bCs/>
        </w:rPr>
        <w:t>F1-Score</w:t>
      </w:r>
      <w:r w:rsidRPr="003C4465">
        <w:t> é calculado conforme a fórmula:</w:t>
      </w:r>
    </w:p>
    <w:p w14:paraId="4881D277" w14:textId="3140BE95" w:rsidR="00F04CAC" w:rsidRPr="00F04CAC" w:rsidRDefault="00F04CAC" w:rsidP="003C4465">
      <w:pPr>
        <w:spacing w:line="360" w:lineRule="auto"/>
        <w:ind w:firstLine="709"/>
        <w:rPr>
          <w:lang w:val="en-US"/>
        </w:rPr>
      </w:pPr>
      <m:oMathPara>
        <m:oMath>
          <m:r>
            <m:rPr>
              <m:nor/>
            </m:rPr>
            <w:rPr>
              <w:lang w:val="en-US"/>
            </w:rPr>
            <m:t>F1</m:t>
          </m:r>
          <m:r>
            <m:rPr>
              <m:sty m:val="p"/>
            </m:rPr>
            <w:rPr>
              <w:rFonts w:ascii="Cambria Math" w:hAnsi="Cambria Math"/>
              <w:lang w:val="en-US"/>
            </w:rPr>
            <m:t>=2×</m:t>
          </m:r>
          <m:f>
            <m:fPr>
              <m:ctrlPr>
                <w:rPr>
                  <w:rFonts w:ascii="Cambria Math" w:hAnsi="Cambria Math"/>
                  <w:lang w:val="en-US"/>
                </w:rPr>
              </m:ctrlPr>
            </m:fPr>
            <m:num>
              <m:r>
                <m:rPr>
                  <m:nor/>
                </m:rPr>
                <w:rPr>
                  <w:lang w:val="en-US"/>
                </w:rPr>
                <m:t>Precision</m:t>
              </m:r>
              <m:r>
                <m:rPr>
                  <m:sty m:val="p"/>
                </m:rPr>
                <w:rPr>
                  <w:rFonts w:ascii="Cambria Math" w:hAnsi="Cambria Math"/>
                  <w:lang w:val="en-US"/>
                </w:rPr>
                <m:t>×</m:t>
              </m:r>
              <m:r>
                <m:rPr>
                  <m:nor/>
                </m:rPr>
                <w:rPr>
                  <w:lang w:val="en-US"/>
                </w:rPr>
                <m:t>Recall</m:t>
              </m:r>
            </m:num>
            <m:den>
              <m:r>
                <m:rPr>
                  <m:nor/>
                </m:rPr>
                <w:rPr>
                  <w:lang w:val="en-US"/>
                </w:rPr>
                <m:t>Precision</m:t>
              </m:r>
              <m:r>
                <m:rPr>
                  <m:sty m:val="p"/>
                </m:rPr>
                <w:rPr>
                  <w:rFonts w:ascii="Cambria Math" w:hAnsi="Cambria Math"/>
                  <w:lang w:val="en-US"/>
                </w:rPr>
                <m:t>+</m:t>
              </m:r>
              <m:r>
                <m:rPr>
                  <m:nor/>
                </m:rPr>
                <w:rPr>
                  <w:lang w:val="en-US"/>
                </w:rPr>
                <m:t>Recall</m:t>
              </m:r>
            </m:den>
          </m:f>
        </m:oMath>
      </m:oMathPara>
    </w:p>
    <w:p w14:paraId="46E582D4" w14:textId="151A8249" w:rsidR="003C4465" w:rsidRPr="003C4465" w:rsidRDefault="003C4465" w:rsidP="00F04CAC">
      <w:pPr>
        <w:spacing w:line="360" w:lineRule="auto"/>
        <w:rPr>
          <w:lang w:val="en-US"/>
        </w:rPr>
      </w:pPr>
      <w:r w:rsidRPr="003C4465">
        <w:rPr>
          <w:lang w:val="en-US"/>
        </w:rPr>
        <w:t>​</w:t>
      </w:r>
    </w:p>
    <w:p w14:paraId="6DD8DAF3" w14:textId="77777777" w:rsidR="003C4465" w:rsidRPr="003C4465" w:rsidRDefault="003C4465" w:rsidP="003C4465">
      <w:pPr>
        <w:spacing w:line="360" w:lineRule="auto"/>
        <w:ind w:firstLine="709"/>
      </w:pPr>
      <w:r w:rsidRPr="003C4465">
        <w:t>em que:</w:t>
      </w:r>
    </w:p>
    <w:p w14:paraId="3354979C" w14:textId="1891ACC4" w:rsidR="003C4465" w:rsidRPr="003C4465" w:rsidRDefault="003C4465" w:rsidP="00F04CAC">
      <w:pPr>
        <w:numPr>
          <w:ilvl w:val="0"/>
          <w:numId w:val="7"/>
        </w:numPr>
        <w:spacing w:line="360" w:lineRule="auto"/>
        <w:ind w:left="0" w:firstLine="709"/>
      </w:pPr>
      <w:proofErr w:type="spellStart"/>
      <w:r w:rsidRPr="003C4465">
        <w:rPr>
          <w:b/>
          <w:bCs/>
        </w:rPr>
        <w:t>Precision</w:t>
      </w:r>
      <w:proofErr w:type="spellEnd"/>
      <w:r w:rsidRPr="003C4465">
        <w:rPr>
          <w:b/>
          <w:bCs/>
        </w:rPr>
        <w:t xml:space="preserve"> (Precisão):</w:t>
      </w:r>
      <w:r w:rsidRPr="003C4465">
        <w:t> </w:t>
      </w:r>
      <w:proofErr w:type="spellStart"/>
      <m:oMath>
        <m:r>
          <m:rPr>
            <m:nor/>
          </m:rPr>
          <m:t>Precision</m:t>
        </m:r>
        <w:proofErr w:type="spellEnd"/>
        <m:r>
          <w:rPr>
            <w:rFonts w:ascii="Cambria Math" w:hAnsi="Cambria Math"/>
          </w:rPr>
          <m:t>=</m:t>
        </m:r>
        <m:f>
          <m:fPr>
            <m:ctrlPr>
              <w:rPr>
                <w:rFonts w:ascii="Cambria Math" w:hAnsi="Cambria Math"/>
              </w:rPr>
            </m:ctrlPr>
          </m:fPr>
          <m:num>
            <m:r>
              <m:rPr>
                <m:nor/>
              </m:rPr>
              <m:t>TP</m:t>
            </m:r>
            <m:ctrlPr>
              <w:rPr>
                <w:rFonts w:ascii="Cambria Math" w:hAnsi="Cambria Math"/>
                <w:i/>
              </w:rPr>
            </m:ctrlPr>
          </m:num>
          <m:den>
            <m:r>
              <m:rPr>
                <m:nor/>
              </m:rPr>
              <m:t>TP</m:t>
            </m:r>
            <m:r>
              <w:rPr>
                <w:rFonts w:ascii="Cambria Math" w:hAnsi="Cambria Math"/>
              </w:rPr>
              <m:t>+</m:t>
            </m:r>
            <m:r>
              <m:rPr>
                <m:nor/>
              </m:rPr>
              <m:t>FP</m:t>
            </m:r>
            <m:ctrlPr>
              <w:rPr>
                <w:rFonts w:ascii="Cambria Math" w:hAnsi="Cambria Math"/>
                <w:i/>
              </w:rPr>
            </m:ctrlPr>
          </m:den>
        </m:f>
      </m:oMath>
      <w:r w:rsidRPr="003C4465">
        <w:t>,</w:t>
      </w:r>
      <w:r w:rsidR="00F04CAC">
        <w:t xml:space="preserve"> </w:t>
      </w:r>
      <w:r w:rsidRPr="003C4465">
        <w:t>representando a proporção de predições positivas corretas em relação ao total de predições positivas;</w:t>
      </w:r>
    </w:p>
    <w:p w14:paraId="4F4914E9" w14:textId="151CCFC8" w:rsidR="003C4465" w:rsidRPr="003C4465" w:rsidRDefault="003C4465" w:rsidP="00F04CAC">
      <w:pPr>
        <w:numPr>
          <w:ilvl w:val="0"/>
          <w:numId w:val="7"/>
        </w:numPr>
        <w:spacing w:line="360" w:lineRule="auto"/>
        <w:ind w:left="0" w:firstLine="709"/>
      </w:pPr>
      <w:r w:rsidRPr="003C4465">
        <w:rPr>
          <w:b/>
          <w:bCs/>
        </w:rPr>
        <w:t>Recall (Sensibilidade):</w:t>
      </w:r>
      <w:r w:rsidRPr="003C4465">
        <w:t> </w:t>
      </w:r>
      <m:oMath>
        <m:r>
          <m:rPr>
            <m:nor/>
          </m:rPr>
          <m:t>Recall</m:t>
        </m:r>
        <m:r>
          <w:rPr>
            <w:rFonts w:ascii="Cambria Math" w:hAnsi="Cambria Math"/>
          </w:rPr>
          <m:t>=</m:t>
        </m:r>
        <m:f>
          <m:fPr>
            <m:ctrlPr>
              <w:rPr>
                <w:rFonts w:ascii="Cambria Math" w:hAnsi="Cambria Math"/>
              </w:rPr>
            </m:ctrlPr>
          </m:fPr>
          <m:num>
            <m:r>
              <m:rPr>
                <m:nor/>
              </m:rPr>
              <m:t>TP</m:t>
            </m:r>
            <m:ctrlPr>
              <w:rPr>
                <w:rFonts w:ascii="Cambria Math" w:hAnsi="Cambria Math"/>
                <w:i/>
              </w:rPr>
            </m:ctrlPr>
          </m:num>
          <m:den>
            <m:r>
              <m:rPr>
                <m:nor/>
              </m:rPr>
              <m:t>TP</m:t>
            </m:r>
            <m:r>
              <w:rPr>
                <w:rFonts w:ascii="Cambria Math" w:hAnsi="Cambria Math"/>
              </w:rPr>
              <m:t>+</m:t>
            </m:r>
            <m:r>
              <m:rPr>
                <m:nor/>
              </m:rPr>
              <m:t>FN</m:t>
            </m:r>
            <m:ctrlPr>
              <w:rPr>
                <w:rFonts w:ascii="Cambria Math" w:hAnsi="Cambria Math"/>
                <w:i/>
              </w:rPr>
            </m:ctrlPr>
          </m:den>
        </m:f>
      </m:oMath>
      <w:r w:rsidRPr="003C4465">
        <w:t xml:space="preserve"> </w:t>
      </w:r>
      <w:r w:rsidR="00F04CAC">
        <w:t xml:space="preserve">, </w:t>
      </w:r>
      <w:r w:rsidRPr="003C4465">
        <w:t>indicando a capacidade do modelo em identificar corretamente os casos positivos.</w:t>
      </w:r>
    </w:p>
    <w:p w14:paraId="4146780F" w14:textId="75442ADF" w:rsidR="00F04CAC" w:rsidRDefault="003C4465" w:rsidP="00012CA3">
      <w:pPr>
        <w:spacing w:line="360" w:lineRule="auto"/>
        <w:ind w:firstLine="709"/>
      </w:pPr>
      <w:r w:rsidRPr="003C4465">
        <w:t>A </w:t>
      </w:r>
      <w:r w:rsidRPr="003C4465">
        <w:rPr>
          <w:b/>
          <w:bCs/>
        </w:rPr>
        <w:t xml:space="preserve">AUC (Area </w:t>
      </w:r>
      <w:proofErr w:type="spellStart"/>
      <w:r w:rsidRPr="003C4465">
        <w:rPr>
          <w:b/>
          <w:bCs/>
        </w:rPr>
        <w:t>Under</w:t>
      </w:r>
      <w:proofErr w:type="spellEnd"/>
      <w:r w:rsidRPr="003C4465">
        <w:rPr>
          <w:b/>
          <w:bCs/>
        </w:rPr>
        <w:t xml:space="preserve"> </w:t>
      </w:r>
      <w:proofErr w:type="spellStart"/>
      <w:r w:rsidRPr="003C4465">
        <w:rPr>
          <w:b/>
          <w:bCs/>
        </w:rPr>
        <w:t>the</w:t>
      </w:r>
      <w:proofErr w:type="spellEnd"/>
      <w:r w:rsidRPr="003C4465">
        <w:rPr>
          <w:b/>
          <w:bCs/>
        </w:rPr>
        <w:t xml:space="preserve"> Curve)</w:t>
      </w:r>
      <w:r w:rsidRPr="003C4465">
        <w:t> corresponde à área sob a curva ROC (</w:t>
      </w:r>
      <w:proofErr w:type="spellStart"/>
      <w:r w:rsidRPr="003C4465">
        <w:t>Receiver</w:t>
      </w:r>
      <w:proofErr w:type="spellEnd"/>
      <w:r w:rsidRPr="003C4465">
        <w:t xml:space="preserve"> </w:t>
      </w:r>
      <w:proofErr w:type="spellStart"/>
      <w:r w:rsidRPr="003C4465">
        <w:t>Operating</w:t>
      </w:r>
      <w:proofErr w:type="spellEnd"/>
      <w:r w:rsidRPr="003C4465">
        <w:t xml:space="preserve"> </w:t>
      </w:r>
      <w:proofErr w:type="spellStart"/>
      <w:r w:rsidRPr="003C4465">
        <w:t>Characteristic</w:t>
      </w:r>
      <w:proofErr w:type="spellEnd"/>
      <w:r w:rsidRPr="003C4465">
        <w:t>), a qual relaciona a taxa de verdadeiros positivos (TPR) com a taxa de falsos positivos (FPR) em diferentes limiares de decisão. Uma AUC maior indica uma melhor capacidade do modelo em discriminar entre as classes positivas e negativas. No presente estudo, o grau de confiança atribuído pelo LLM também foi utilizado como limiar para segregar e avaliar a assertividade das predições, permitindo a simulação de diversas carteiras e a identificação de variações.</w:t>
      </w:r>
    </w:p>
    <w:p w14:paraId="1CC0EAD9" w14:textId="7F54DA35" w:rsidR="00F04CAC" w:rsidRPr="00012CA3" w:rsidRDefault="00012CA3" w:rsidP="00F04CAC">
      <w:pPr>
        <w:spacing w:line="360" w:lineRule="auto"/>
        <w:ind w:firstLine="709"/>
      </w:pPr>
      <m:oMathPara>
        <m:oMath>
          <m:r>
            <m:rPr>
              <m:nor/>
            </m:rPr>
            <w:rPr>
              <w:rFonts w:ascii="Cambria Math" w:hAnsi="Cambria Math"/>
            </w:rPr>
            <m:t>AUC</m:t>
          </m:r>
          <m:r>
            <w:rPr>
              <w:rFonts w:ascii="Cambria Math" w:hAnsi="Cambria Math"/>
            </w:rPr>
            <m:t> = </m:t>
          </m:r>
          <m:f>
            <m:fPr>
              <m:ctrlPr>
                <w:rPr>
                  <w:rFonts w:ascii="Cambria Math" w:hAnsi="Cambria Math"/>
                </w:rPr>
              </m:ctrlPr>
            </m:fPr>
            <m:num>
              <m:r>
                <w:rPr>
                  <w:rFonts w:ascii="Cambria Math" w:hAnsi="Cambria Math"/>
                </w:rPr>
                <m:t>1</m:t>
              </m:r>
              <m:ctrlPr>
                <w:rPr>
                  <w:rFonts w:ascii="Cambria Math" w:hAnsi="Cambria Math"/>
                  <w:i/>
                </w:rPr>
              </m:ctrlPr>
            </m:num>
            <m:den>
              <m:sSub>
                <m:sSubPr>
                  <m:ctrlPr>
                    <w:rPr>
                      <w:rFonts w:ascii="Cambria Math" w:hAnsi="Cambria Math"/>
                      <w:i/>
                    </w:rPr>
                  </m:ctrlPr>
                </m:sSubPr>
                <m:e>
                  <m:r>
                    <w:rPr>
                      <w:rFonts w:ascii="Cambria Math" w:hAnsi="Cambria Math"/>
                    </w:rPr>
                    <m:t>N</m:t>
                  </m:r>
                </m:e>
                <m:sub>
                  <m:r>
                    <w:rPr>
                      <w:rFonts w:ascii="Cambria Math" w:hAnsi="Cambria Math"/>
                    </w:rPr>
                    <m:t>+</m:t>
                  </m:r>
                </m:sub>
              </m:sSub>
              <m:r>
                <w:rPr>
                  <w:rFonts w:ascii="Cambria Math" w:hAnsi="Cambria Math"/>
                </w:rPr>
                <m:t> </m:t>
              </m:r>
              <m:sSub>
                <m:sSubPr>
                  <m:ctrlPr>
                    <w:rPr>
                      <w:rFonts w:ascii="Cambria Math" w:hAnsi="Cambria Math"/>
                      <w:i/>
                    </w:rPr>
                  </m:ctrlPr>
                </m:sSubPr>
                <m:e>
                  <m:r>
                    <w:rPr>
                      <w:rFonts w:ascii="Cambria Math" w:hAnsi="Cambria Math"/>
                    </w:rPr>
                    <m:t>N</m:t>
                  </m:r>
                </m:e>
                <m:sub>
                  <m:r>
                    <w:rPr>
                      <w:rFonts w:ascii="Cambria Math" w:hAnsi="Cambria Math"/>
                    </w:rPr>
                    <m:t>-</m:t>
                  </m:r>
                </m:sub>
              </m:sSub>
              <m:ctrlPr>
                <w:rPr>
                  <w:rFonts w:ascii="Cambria Math" w:hAnsi="Cambria Math"/>
                  <w:i/>
                </w:rPr>
              </m:ctrlPr>
            </m:den>
          </m:f>
          <m:nary>
            <m:naryPr>
              <m:chr m:val="∑"/>
              <m:supHide m:val="1"/>
              <m:ctrlPr>
                <w:rPr>
                  <w:rFonts w:ascii="Cambria Math" w:hAnsi="Cambria Math"/>
                </w:rPr>
              </m:ctrlPr>
            </m:naryPr>
            <m:sub>
              <m:r>
                <w:rPr>
                  <w:rFonts w:ascii="Cambria Math" w:hAnsi="Cambria Math"/>
                </w:rPr>
                <m:t>i: </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=1</m:t>
              </m:r>
              <m:ctrlPr>
                <w:rPr>
                  <w:rFonts w:ascii="Cambria Math" w:hAnsi="Cambria Math"/>
                  <w:i/>
                </w:rPr>
              </m:ctrlPr>
            </m:sub>
            <m:sup>
              <m:ctrlPr>
                <w:rPr>
                  <w:rFonts w:ascii="Cambria Math" w:hAnsi="Cambria Math"/>
                  <w:i/>
                </w:rPr>
              </m:ctrlPr>
            </m:sup>
            <m:e>
              <m:nary>
                <m:naryPr>
                  <m:chr m:val="∑"/>
                  <m:supHide m:val="1"/>
                  <m:ctrlPr>
                    <w:rPr>
                      <w:rFonts w:ascii="Cambria Math" w:hAnsi="Cambria Math"/>
                    </w:rPr>
                  </m:ctrlPr>
                </m:naryPr>
                <m:sub>
                  <m:r>
                    <w:rPr>
                      <w:rFonts w:ascii="Cambria Math" w:hAnsi="Cambria Math"/>
                    </w:rPr>
                    <m:t>j: </m:t>
                  </m:r>
                  <m:sSub>
                    <m:sSubPr>
                      <m:ctrlPr>
                        <w:rPr>
                          <w:rFonts w:ascii="Cambria Math" w:hAnsi="Cambria Math"/>
                          <w:i/>
                        </w:rPr>
                      </m:ctrlPr>
                    </m:sSubPr>
                    <m:e>
                      <m:r>
                        <w:rPr>
                          <w:rFonts w:ascii="Cambria Math" w:hAnsi="Cambria Math"/>
                        </w:rPr>
                        <m:t>y</m:t>
                      </m:r>
                    </m:e>
                    <m:sub>
                      <m:r>
                        <w:rPr>
                          <w:rFonts w:ascii="Cambria Math" w:hAnsi="Cambria Math"/>
                        </w:rPr>
                        <m:t>j</m:t>
                      </m:r>
                    </m:sub>
                  </m:sSub>
                  <m:r>
                    <w:rPr>
                      <w:rFonts w:ascii="Cambria Math" w:hAnsi="Cambria Math"/>
                    </w:rPr>
                    <m:t>=0</m:t>
                  </m:r>
                  <m:ctrlPr>
                    <w:rPr>
                      <w:rFonts w:ascii="Cambria Math" w:hAnsi="Cambria Math"/>
                      <w:i/>
                    </w:rPr>
                  </m:ctrlPr>
                </m:sub>
                <m:sup>
                  <m:ctrlPr>
                    <w:rPr>
                      <w:rFonts w:ascii="Cambria Math" w:hAnsi="Cambria Math"/>
                      <w:i/>
                    </w:rPr>
                  </m:ctrlPr>
                </m:sup>
                <m:e>
                  <m:r>
                    <w:rPr>
                      <w:rFonts w:ascii="Cambria Math" w:hAnsi="Cambria Math"/>
                    </w:rPr>
                    <m:t>1</m:t>
                  </m:r>
                  <m:d>
                    <m:dPr>
                      <m:ctrlPr>
                        <w:rPr>
                          <w:rFonts w:ascii="Cambria Math" w:hAnsi="Cambria Math"/>
                        </w:rPr>
                      </m:ctrlPr>
                    </m:dPr>
                    <m:e>
                      <m:sSub>
                        <m:sSubPr>
                          <m:ctrlPr>
                            <w:rPr>
                              <w:rFonts w:ascii="Cambria Math" w:hAnsi="Cambria Math"/>
                              <w:i/>
                            </w:rPr>
                          </m:ctrlPr>
                        </m:sSubPr>
                        <m:e>
                          <m:r>
                            <w:rPr>
                              <w:rFonts w:ascii="Cambria Math" w:hAnsi="Cambria Math"/>
                            </w:rPr>
                            <m:t>s</m:t>
                          </m:r>
                          <m:ctrlPr>
                            <w:rPr>
                              <w:rFonts w:ascii="Cambria Math" w:hAnsi="Cambria Math"/>
                            </w:rPr>
                          </m:ctrlPr>
                        </m:e>
                        <m:sub>
                          <m:r>
                            <w:rPr>
                              <w:rFonts w:ascii="Cambria Math" w:hAnsi="Cambria Math"/>
                            </w:rPr>
                            <m:t>i</m:t>
                          </m:r>
                        </m:sub>
                      </m:sSub>
                      <m:r>
                        <w:rPr>
                          <w:rFonts w:ascii="Cambria Math" w:hAnsi="Cambria Math"/>
                        </w:rPr>
                        <m:t>&gt;</m:t>
                      </m:r>
                      <m:sSub>
                        <m:sSubPr>
                          <m:ctrlPr>
                            <w:rPr>
                              <w:rFonts w:ascii="Cambria Math" w:hAnsi="Cambria Math"/>
                              <w:i/>
                            </w:rPr>
                          </m:ctrlPr>
                        </m:sSubPr>
                        <m:e>
                          <m:r>
                            <w:rPr>
                              <w:rFonts w:ascii="Cambria Math" w:hAnsi="Cambria Math"/>
                            </w:rPr>
                            <m:t>s</m:t>
                          </m:r>
                        </m:e>
                        <m:sub>
                          <m:r>
                            <w:rPr>
                              <w:rFonts w:ascii="Cambria Math" w:hAnsi="Cambria Math"/>
                            </w:rPr>
                            <m:t>j</m:t>
                          </m:r>
                        </m:sub>
                      </m:sSub>
                      <m:ctrlPr>
                        <w:rPr>
                          <w:rFonts w:ascii="Cambria Math" w:hAnsi="Cambria Math"/>
                          <w:i/>
                        </w:rPr>
                      </m:ctrlPr>
                    </m:e>
                  </m:d>
                  <m:ctrlPr>
                    <w:rPr>
                      <w:rFonts w:ascii="Cambria Math" w:hAnsi="Cambria Math"/>
                      <w:i/>
                    </w:rPr>
                  </m:ctrlPr>
                </m:e>
              </m:nary>
              <m:ctrlPr>
                <w:rPr>
                  <w:rFonts w:ascii="Cambria Math" w:hAnsi="Cambria Math"/>
                  <w:i/>
                </w:rPr>
              </m:ctrlPr>
            </m:e>
          </m:nary>
        </m:oMath>
      </m:oMathPara>
    </w:p>
    <w:p w14:paraId="65C21022" w14:textId="77777777" w:rsidR="00012CA3" w:rsidRPr="00012CA3" w:rsidRDefault="00012CA3" w:rsidP="00F04CAC">
      <w:pPr>
        <w:spacing w:line="360" w:lineRule="auto"/>
        <w:ind w:firstLine="709"/>
      </w:pPr>
    </w:p>
    <w:p w14:paraId="205A47A1" w14:textId="77777777" w:rsidR="00012CA3" w:rsidRPr="00012CA3" w:rsidRDefault="00012CA3" w:rsidP="00BB46F4">
      <w:pPr>
        <w:spacing w:line="360" w:lineRule="auto"/>
        <w:ind w:firstLine="709"/>
      </w:pPr>
      <w:r w:rsidRPr="00012CA3">
        <w:t>Onde:</w:t>
      </w:r>
    </w:p>
    <w:p w14:paraId="427A9C44" w14:textId="6E2CCB15" w:rsidR="00012CA3" w:rsidRPr="00012CA3" w:rsidRDefault="00012CA3" w:rsidP="00BB46F4">
      <w:pPr>
        <w:numPr>
          <w:ilvl w:val="0"/>
          <w:numId w:val="8"/>
        </w:numPr>
        <w:spacing w:line="360" w:lineRule="auto"/>
        <w:ind w:left="0" w:firstLine="709"/>
      </w:pPr>
      <w:r w:rsidRPr="00012CA3">
        <w:lastRenderedPageBreak/>
        <w:t>N</w:t>
      </w:r>
      <w:r w:rsidRPr="00012CA3">
        <w:rPr>
          <w:vertAlign w:val="subscript"/>
        </w:rPr>
        <w:t>+</w:t>
      </w:r>
      <w:r w:rsidRPr="00012CA3">
        <w:t>é o número de observações positivas (y=1y=1),</w:t>
      </w:r>
    </w:p>
    <w:p w14:paraId="74C9C00E" w14:textId="7DA60A8A" w:rsidR="00012CA3" w:rsidRPr="00012CA3" w:rsidRDefault="00012CA3" w:rsidP="00BB46F4">
      <w:pPr>
        <w:numPr>
          <w:ilvl w:val="0"/>
          <w:numId w:val="8"/>
        </w:numPr>
        <w:spacing w:line="360" w:lineRule="auto"/>
        <w:ind w:left="0" w:firstLine="709"/>
      </w:pPr>
      <w:r w:rsidRPr="00012CA3">
        <w:t>N</w:t>
      </w:r>
      <w:r w:rsidRPr="00012CA3">
        <w:rPr>
          <w:vertAlign w:val="subscript"/>
        </w:rPr>
        <w:t>−</w:t>
      </w:r>
      <w:r w:rsidRPr="00012CA3">
        <w:t>​ é o número de observações negativas (y=0y=0),</w:t>
      </w:r>
    </w:p>
    <w:p w14:paraId="7AD9D3BE" w14:textId="6CC321F6" w:rsidR="00012CA3" w:rsidRPr="00012CA3" w:rsidRDefault="00012CA3" w:rsidP="00BB46F4">
      <w:pPr>
        <w:numPr>
          <w:ilvl w:val="0"/>
          <w:numId w:val="8"/>
        </w:numPr>
        <w:spacing w:line="360" w:lineRule="auto"/>
        <w:ind w:left="0" w:firstLine="709"/>
      </w:pPr>
      <w:r w:rsidRPr="00012CA3">
        <w:t>s</w:t>
      </w:r>
      <w:r w:rsidRPr="00012CA3">
        <w:rPr>
          <w:vertAlign w:val="subscript"/>
        </w:rPr>
        <w:t>i</w:t>
      </w:r>
      <w:r w:rsidRPr="00012CA3">
        <w:t>​ é a pontuação (ou probabilidade) predita para a observação i,</w:t>
      </w:r>
    </w:p>
    <w:p w14:paraId="119D0734" w14:textId="2A89BB1E" w:rsidR="00012CA3" w:rsidRPr="00012CA3" w:rsidRDefault="00012CA3" w:rsidP="00BB46F4">
      <w:pPr>
        <w:numPr>
          <w:ilvl w:val="0"/>
          <w:numId w:val="8"/>
        </w:numPr>
        <w:spacing w:line="360" w:lineRule="auto"/>
        <w:ind w:left="0" w:firstLine="709"/>
      </w:pPr>
      <w:proofErr w:type="spellStart"/>
      <w:r w:rsidRPr="00012CA3">
        <w:t>s</w:t>
      </w:r>
      <w:r w:rsidRPr="00012CA3">
        <w:rPr>
          <w:vertAlign w:val="subscript"/>
        </w:rPr>
        <w:t>j</w:t>
      </w:r>
      <w:proofErr w:type="spellEnd"/>
      <w:r w:rsidRPr="00012CA3">
        <w:t> é a pontuação predita para a observação j,</w:t>
      </w:r>
    </w:p>
    <w:p w14:paraId="502A0E03" w14:textId="4B365133" w:rsidR="00012CA3" w:rsidRPr="00012CA3" w:rsidRDefault="00BB46F4" w:rsidP="00BB46F4">
      <w:pPr>
        <w:numPr>
          <w:ilvl w:val="0"/>
          <w:numId w:val="8"/>
        </w:numPr>
        <w:spacing w:line="360" w:lineRule="auto"/>
        <w:ind w:left="0" w:firstLine="709"/>
      </w:pPr>
      <w:r>
        <w:rPr>
          <w:rFonts w:ascii="Cambria Math" w:hAnsi="Cambria Math" w:cs="Cambria Math"/>
        </w:rPr>
        <w:t>1</w:t>
      </w:r>
      <w:r w:rsidR="00012CA3" w:rsidRPr="00012CA3">
        <w:t>(s</w:t>
      </w:r>
      <w:r w:rsidR="00012CA3" w:rsidRPr="00012CA3">
        <w:rPr>
          <w:vertAlign w:val="subscript"/>
        </w:rPr>
        <w:t>i</w:t>
      </w:r>
      <w:r w:rsidR="00012CA3" w:rsidRPr="00012CA3">
        <w:t>&gt;</w:t>
      </w:r>
      <w:proofErr w:type="spellStart"/>
      <w:r w:rsidR="00012CA3" w:rsidRPr="00012CA3">
        <w:t>s</w:t>
      </w:r>
      <w:r w:rsidR="00012CA3" w:rsidRPr="00012CA3">
        <w:rPr>
          <w:vertAlign w:val="subscript"/>
        </w:rPr>
        <w:t>j</w:t>
      </w:r>
      <w:proofErr w:type="spellEnd"/>
      <w:r w:rsidR="00012CA3" w:rsidRPr="00012CA3">
        <w:t>)</w:t>
      </w:r>
      <w:r>
        <w:rPr>
          <w:rFonts w:ascii="Cambria Math" w:hAnsi="Cambria Math" w:cs="Cambria Math"/>
        </w:rPr>
        <w:t xml:space="preserve"> </w:t>
      </w:r>
      <w:r w:rsidR="00012CA3" w:rsidRPr="00012CA3">
        <w:t>é a função indicadora que vale 1 se s</w:t>
      </w:r>
      <w:r w:rsidR="00012CA3" w:rsidRPr="00012CA3">
        <w:rPr>
          <w:vertAlign w:val="subscript"/>
        </w:rPr>
        <w:t>i</w:t>
      </w:r>
      <w:r w:rsidR="00012CA3" w:rsidRPr="00012CA3">
        <w:t>&gt;</w:t>
      </w:r>
      <w:proofErr w:type="spellStart"/>
      <w:r w:rsidR="00012CA3" w:rsidRPr="00012CA3">
        <w:t>s</w:t>
      </w:r>
      <w:r w:rsidR="00012CA3" w:rsidRPr="00012CA3">
        <w:rPr>
          <w:vertAlign w:val="subscript"/>
        </w:rPr>
        <w:t>j</w:t>
      </w:r>
      <w:proofErr w:type="spellEnd"/>
      <w:r w:rsidR="00012CA3" w:rsidRPr="00012CA3">
        <w:t> e 0 caso contrário.</w:t>
      </w:r>
    </w:p>
    <w:p w14:paraId="0508A6BF" w14:textId="77777777" w:rsidR="00F04CAC" w:rsidRDefault="00F04CAC" w:rsidP="00F04CAC">
      <w:pPr>
        <w:spacing w:line="360" w:lineRule="auto"/>
      </w:pPr>
    </w:p>
    <w:p w14:paraId="34A1D89B" w14:textId="77777777" w:rsidR="003C4465" w:rsidRPr="003C4465" w:rsidRDefault="003C4465" w:rsidP="003C4465">
      <w:pPr>
        <w:spacing w:line="360" w:lineRule="auto"/>
        <w:ind w:firstLine="709"/>
      </w:pPr>
      <w:r w:rsidRPr="003C4465">
        <w:t xml:space="preserve">Além disso, foram incorporadas métricas de erro relativas à previsão da magnitude da variação do lucro líquido. Estudos como os de Wang e </w:t>
      </w:r>
      <w:proofErr w:type="spellStart"/>
      <w:r w:rsidRPr="003C4465">
        <w:t>Brorsson</w:t>
      </w:r>
      <w:proofErr w:type="spellEnd"/>
      <w:r w:rsidRPr="003C4465">
        <w:t xml:space="preserve"> (2025) evidenciam divergências nas aptidões dos modelos LLM para diferentes atividades, sendo que, para exercícios que demandam múltiplas etapas de raciocínio, os resultados não se destacaram.</w:t>
      </w:r>
    </w:p>
    <w:p w14:paraId="3FFF7D89" w14:textId="77777777" w:rsidR="003C4465" w:rsidRPr="003C4465" w:rsidRDefault="003C4465" w:rsidP="003C4465">
      <w:pPr>
        <w:spacing w:line="360" w:lineRule="auto"/>
        <w:ind w:firstLine="709"/>
      </w:pPr>
      <w:r w:rsidRPr="003C4465">
        <w:t xml:space="preserve">Com os resultados obtidos, realizou-se a comparação com métricas de analistas financeiros humanos, utilizando o banco de dados I/B/E/S </w:t>
      </w:r>
      <w:proofErr w:type="spellStart"/>
      <w:r w:rsidRPr="003C4465">
        <w:t>Detail</w:t>
      </w:r>
      <w:proofErr w:type="spellEnd"/>
      <w:r w:rsidRPr="003C4465">
        <w:t xml:space="preserve"> File e um modelo de rede neural artificial (ANN), conforme abordagem similar à de Kim, </w:t>
      </w:r>
      <w:proofErr w:type="spellStart"/>
      <w:r w:rsidRPr="003C4465">
        <w:t>Muhn</w:t>
      </w:r>
      <w:proofErr w:type="spellEnd"/>
      <w:r w:rsidRPr="003C4465">
        <w:t xml:space="preserve"> e Nikolaev (2024).</w:t>
      </w:r>
    </w:p>
    <w:p w14:paraId="389C249A" w14:textId="77777777" w:rsidR="007F68C6" w:rsidRDefault="003C4465" w:rsidP="003C4465">
      <w:pPr>
        <w:spacing w:line="360" w:lineRule="auto"/>
        <w:ind w:firstLine="709"/>
      </w:pPr>
      <w:r w:rsidRPr="003C4465">
        <w:t xml:space="preserve">Na etapa final do estudo, procedeu-se à construção de uma carteira de investimentos e à avaliação de seu desempenho em relação ao índice Ibovespa, representado pelo BOVA11. Para essa finalidade, a plataforma EODHD foi essencial na coleta do histórico dos preços das ações, ajustados retroativamente por eventos como desdobramentos, agrupamentos e pagamentos de dividendos. </w:t>
      </w:r>
    </w:p>
    <w:p w14:paraId="003F342F" w14:textId="77777777" w:rsidR="003C5CB3" w:rsidRDefault="003C4465" w:rsidP="003C5CB3">
      <w:pPr>
        <w:spacing w:line="360" w:lineRule="auto"/>
        <w:ind w:firstLine="709"/>
      </w:pPr>
      <w:r w:rsidRPr="003C4465">
        <w:t xml:space="preserve">O tratamento de outliers consistiu na identificação e exclusão de datas com valores discrepantes, especialmente em períodos de baixa volatilidade. Por fim, a otimização da carteira foi realizada por meio dos métodos </w:t>
      </w:r>
      <w:proofErr w:type="spellStart"/>
      <w:r w:rsidRPr="003C4465">
        <w:t>value-weighted</w:t>
      </w:r>
      <w:proofErr w:type="spellEnd"/>
      <w:r w:rsidRPr="003C4465">
        <w:t xml:space="preserve">, </w:t>
      </w:r>
      <w:proofErr w:type="spellStart"/>
      <w:r w:rsidRPr="003C4465">
        <w:t>equal-weighted</w:t>
      </w:r>
      <w:proofErr w:type="spellEnd"/>
      <w:r w:rsidRPr="003C4465">
        <w:t xml:space="preserve"> e Marko</w:t>
      </w:r>
      <w:r w:rsidR="001D1E93">
        <w:t>w</w:t>
      </w:r>
      <w:r w:rsidRPr="003C4465">
        <w:t>i</w:t>
      </w:r>
      <w:r w:rsidR="001D1E93">
        <w:t>tz</w:t>
      </w:r>
      <w:r w:rsidRPr="003C4465">
        <w:t xml:space="preserve"> (MV), com rebalanceamentos semanais. Em períodos de divulgação de resultados, as empresas com novas recomendações foram incorporadas a partir da data de divulgação, permitindo a inclusão e exclusão de ações em momentos distintos. Para a construção da matriz de covariância, considerou-se um período de </w:t>
      </w:r>
      <w:r w:rsidR="00EA53B8">
        <w:t>120</w:t>
      </w:r>
      <w:r w:rsidRPr="003C4465">
        <w:t xml:space="preserve"> dias (</w:t>
      </w:r>
      <w:r w:rsidR="00EA53B8">
        <w:t>4</w:t>
      </w:r>
      <w:r w:rsidRPr="003C4465">
        <w:t xml:space="preserve"> meses anteriores à data de início da otimização).</w:t>
      </w:r>
      <w:r w:rsidR="003C5CB3">
        <w:t xml:space="preserve"> Sobre os pesos atribuídos, foi seguido a estratégia de </w:t>
      </w:r>
      <w:r w:rsidR="003C5CB3" w:rsidRPr="002E06FF">
        <w:t>Abate, Bonafini e Ferrari (2022)</w:t>
      </w:r>
      <w:r w:rsidR="003C5CB3">
        <w:t xml:space="preserve">, atribuindo um alfa de mais ou menos 5% para as ações que compõe a carteira naquele momento. </w:t>
      </w:r>
    </w:p>
    <w:p w14:paraId="477FD8B2" w14:textId="13C1A21A" w:rsidR="003C4465" w:rsidRDefault="003C4465" w:rsidP="003C4465">
      <w:pPr>
        <w:spacing w:line="360" w:lineRule="auto"/>
        <w:ind w:firstLine="709"/>
      </w:pPr>
    </w:p>
    <w:p w14:paraId="43995AC6" w14:textId="77777777" w:rsidR="007F68C6" w:rsidRPr="003C4465" w:rsidRDefault="007F68C6" w:rsidP="003C4465">
      <w:pPr>
        <w:spacing w:line="360" w:lineRule="auto"/>
        <w:ind w:firstLine="709"/>
      </w:pPr>
    </w:p>
    <w:p w14:paraId="1EF4321E" w14:textId="77777777" w:rsidR="00F2362C" w:rsidRPr="00F2362C" w:rsidRDefault="00F2362C" w:rsidP="003C4465"/>
    <w:p w14:paraId="556C9888" w14:textId="77777777" w:rsidR="00CF03CF" w:rsidRDefault="00000000" w:rsidP="003C4465">
      <w:pPr>
        <w:spacing w:line="259" w:lineRule="auto"/>
      </w:pPr>
      <w:r>
        <w:t xml:space="preserve"> </w:t>
      </w:r>
    </w:p>
    <w:p w14:paraId="01634FC5" w14:textId="1691BA66" w:rsidR="00F2362C" w:rsidRDefault="00F2362C">
      <w:pPr>
        <w:spacing w:line="259" w:lineRule="auto"/>
      </w:pPr>
    </w:p>
    <w:p w14:paraId="022D6012" w14:textId="1D34A537" w:rsidR="00F2362C" w:rsidRPr="00F2362C" w:rsidRDefault="00F2362C" w:rsidP="00F2362C">
      <w:pPr>
        <w:spacing w:after="160" w:line="278" w:lineRule="auto"/>
      </w:pPr>
      <w:r>
        <w:br w:type="page"/>
      </w:r>
    </w:p>
    <w:p w14:paraId="0A97BD09" w14:textId="52F8F558" w:rsidR="00CF03CF" w:rsidRDefault="00000000" w:rsidP="00F2362C">
      <w:pPr>
        <w:pStyle w:val="Ttulo1"/>
        <w:spacing w:after="36" w:line="259" w:lineRule="auto"/>
        <w:ind w:left="0" w:firstLine="0"/>
      </w:pPr>
      <w:bookmarkStart w:id="11" w:name="_Toc194592227"/>
      <w:r>
        <w:lastRenderedPageBreak/>
        <w:t>4 ANÁLISE DOS RESULTADOS</w:t>
      </w:r>
      <w:bookmarkEnd w:id="11"/>
      <w:r>
        <w:t xml:space="preserve"> </w:t>
      </w:r>
    </w:p>
    <w:p w14:paraId="7A3BAD0D" w14:textId="77777777" w:rsidR="00CF03CF" w:rsidRDefault="00000000">
      <w:pPr>
        <w:spacing w:line="259" w:lineRule="auto"/>
        <w:rPr>
          <w:sz w:val="22"/>
        </w:rPr>
      </w:pPr>
      <w:r>
        <w:rPr>
          <w:sz w:val="22"/>
        </w:rPr>
        <w:t xml:space="preserve"> </w:t>
      </w:r>
    </w:p>
    <w:p w14:paraId="1F6E04CB" w14:textId="552202BD" w:rsidR="000459B3" w:rsidRDefault="000459B3" w:rsidP="000459B3">
      <w:pPr>
        <w:pStyle w:val="Ttulo2"/>
        <w:ind w:left="0" w:firstLine="0"/>
      </w:pPr>
      <w:bookmarkStart w:id="12" w:name="_Toc194592228"/>
      <w:r>
        <w:t>4.1 Desempenho do modelo O3-Mini-High</w:t>
      </w:r>
      <w:bookmarkEnd w:id="12"/>
    </w:p>
    <w:p w14:paraId="556486AA" w14:textId="77777777" w:rsidR="000459B3" w:rsidRDefault="000459B3" w:rsidP="000443C1">
      <w:pPr>
        <w:spacing w:line="360" w:lineRule="auto"/>
        <w:ind w:firstLine="709"/>
      </w:pPr>
    </w:p>
    <w:p w14:paraId="3932FD2A" w14:textId="2679F7A8" w:rsidR="000459B3" w:rsidRPr="000459B3" w:rsidRDefault="000459B3" w:rsidP="000443C1">
      <w:pPr>
        <w:spacing w:line="360" w:lineRule="auto"/>
        <w:ind w:firstLine="709"/>
      </w:pPr>
      <w:r w:rsidRPr="000459B3">
        <w:rPr>
          <w:color w:val="000000"/>
        </w:rPr>
        <w:t>A Tabela 1 apresenta os resultados do modelo O3-mini-high para cada trimestre avaliado e o consolidado:</w:t>
      </w:r>
    </w:p>
    <w:p w14:paraId="086F3829" w14:textId="0C8F0858" w:rsidR="000459B3" w:rsidRPr="000459B3" w:rsidRDefault="00000000" w:rsidP="000459B3">
      <w:pPr>
        <w:spacing w:line="360" w:lineRule="auto"/>
        <w:ind w:firstLine="709"/>
      </w:pPr>
      <w:r>
        <w:tab/>
      </w:r>
    </w:p>
    <w:p w14:paraId="41C271C5" w14:textId="77777777" w:rsidR="000459B3" w:rsidRPr="000459B3" w:rsidRDefault="000459B3" w:rsidP="000459B3">
      <w:pPr>
        <w:spacing w:line="360" w:lineRule="auto"/>
      </w:pPr>
    </w:p>
    <w:p w14:paraId="0A7BB5A7" w14:textId="2184E03C" w:rsidR="000459B3" w:rsidRPr="000459B3" w:rsidRDefault="000459B3" w:rsidP="000459B3">
      <w:pPr>
        <w:spacing w:line="360" w:lineRule="auto"/>
        <w:jc w:val="center"/>
      </w:pPr>
      <w:r w:rsidRPr="000459B3">
        <w:t>Tabela 1 – Método O3-Mini-High</w:t>
      </w:r>
      <w:r w:rsidR="002649BD">
        <w:t xml:space="preserve"> na previsão do lucro líquido futuro</w:t>
      </w:r>
    </w:p>
    <w:p w14:paraId="1E0A6618" w14:textId="77777777" w:rsidR="000459B3" w:rsidRPr="000459B3" w:rsidRDefault="000459B3" w:rsidP="000443C1">
      <w:pPr>
        <w:spacing w:line="360" w:lineRule="auto"/>
        <w:ind w:firstLine="709"/>
      </w:pPr>
    </w:p>
    <w:tbl>
      <w:tblPr>
        <w:tblW w:w="9329" w:type="dxa"/>
        <w:tblCellMar>
          <w:left w:w="0" w:type="dxa"/>
          <w:right w:w="0" w:type="dxa"/>
        </w:tblCellMar>
        <w:tblLook w:val="04A0" w:firstRow="1" w:lastRow="0" w:firstColumn="1" w:lastColumn="0" w:noHBand="0" w:noVBand="1"/>
      </w:tblPr>
      <w:tblGrid>
        <w:gridCol w:w="907"/>
        <w:gridCol w:w="920"/>
        <w:gridCol w:w="480"/>
        <w:gridCol w:w="480"/>
        <w:gridCol w:w="454"/>
        <w:gridCol w:w="440"/>
        <w:gridCol w:w="1747"/>
        <w:gridCol w:w="1054"/>
        <w:gridCol w:w="987"/>
        <w:gridCol w:w="780"/>
        <w:gridCol w:w="1080"/>
      </w:tblGrid>
      <w:tr w:rsidR="000459B3" w:rsidRPr="000459B3" w14:paraId="6111DCEC" w14:textId="77777777" w:rsidTr="005F33FF">
        <w:trPr>
          <w:trHeight w:val="198"/>
        </w:trPr>
        <w:tc>
          <w:tcPr>
            <w:tcW w:w="907"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39D7E74D" w14:textId="77777777" w:rsidR="000459B3" w:rsidRPr="000459B3" w:rsidRDefault="000459B3" w:rsidP="000459B3">
            <w:r w:rsidRPr="000459B3">
              <w:rPr>
                <w:b/>
                <w:bCs/>
              </w:rPr>
              <w:t>Método</w:t>
            </w:r>
          </w:p>
        </w:tc>
        <w:tc>
          <w:tcPr>
            <w:tcW w:w="92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2AD15841" w14:textId="77777777" w:rsidR="000459B3" w:rsidRPr="000459B3" w:rsidRDefault="000459B3" w:rsidP="000459B3">
            <w:proofErr w:type="spellStart"/>
            <w:r w:rsidRPr="000459B3">
              <w:rPr>
                <w:b/>
                <w:bCs/>
              </w:rPr>
              <w:t>Periodo</w:t>
            </w:r>
            <w:proofErr w:type="spellEnd"/>
          </w:p>
        </w:tc>
        <w:tc>
          <w:tcPr>
            <w:tcW w:w="48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3C3382F1" w14:textId="77777777" w:rsidR="000459B3" w:rsidRPr="000459B3" w:rsidRDefault="000459B3" w:rsidP="000459B3">
            <w:r w:rsidRPr="000459B3">
              <w:rPr>
                <w:b/>
                <w:bCs/>
              </w:rPr>
              <w:t>TP</w:t>
            </w:r>
          </w:p>
        </w:tc>
        <w:tc>
          <w:tcPr>
            <w:tcW w:w="48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1F331C6A" w14:textId="77777777" w:rsidR="000459B3" w:rsidRPr="000459B3" w:rsidRDefault="000459B3" w:rsidP="000459B3">
            <w:r w:rsidRPr="000459B3">
              <w:rPr>
                <w:b/>
                <w:bCs/>
              </w:rPr>
              <w:t>FP</w:t>
            </w:r>
          </w:p>
        </w:tc>
        <w:tc>
          <w:tcPr>
            <w:tcW w:w="454"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06D5BF37" w14:textId="77777777" w:rsidR="000459B3" w:rsidRPr="000459B3" w:rsidRDefault="000459B3" w:rsidP="000459B3">
            <w:r w:rsidRPr="000459B3">
              <w:rPr>
                <w:b/>
                <w:bCs/>
              </w:rPr>
              <w:t>TN</w:t>
            </w:r>
          </w:p>
        </w:tc>
        <w:tc>
          <w:tcPr>
            <w:tcW w:w="44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51155701" w14:textId="77777777" w:rsidR="000459B3" w:rsidRPr="000459B3" w:rsidRDefault="000459B3" w:rsidP="000459B3">
            <w:r w:rsidRPr="000459B3">
              <w:rPr>
                <w:b/>
                <w:bCs/>
              </w:rPr>
              <w:t>FN</w:t>
            </w:r>
          </w:p>
        </w:tc>
        <w:tc>
          <w:tcPr>
            <w:tcW w:w="1747"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3AB799C8" w14:textId="77777777" w:rsidR="000459B3" w:rsidRPr="000459B3" w:rsidRDefault="000459B3" w:rsidP="000459B3">
            <w:proofErr w:type="spellStart"/>
            <w:r w:rsidRPr="000459B3">
              <w:rPr>
                <w:b/>
                <w:bCs/>
              </w:rPr>
              <w:t>Total_Registros</w:t>
            </w:r>
            <w:proofErr w:type="spellEnd"/>
          </w:p>
        </w:tc>
        <w:tc>
          <w:tcPr>
            <w:tcW w:w="1054"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30934E05" w14:textId="77777777" w:rsidR="000459B3" w:rsidRPr="000459B3" w:rsidRDefault="000459B3" w:rsidP="000459B3">
            <w:proofErr w:type="spellStart"/>
            <w:r w:rsidRPr="000459B3">
              <w:rPr>
                <w:b/>
                <w:bCs/>
              </w:rPr>
              <w:t>Acuracia</w:t>
            </w:r>
            <w:proofErr w:type="spellEnd"/>
          </w:p>
        </w:tc>
        <w:tc>
          <w:tcPr>
            <w:tcW w:w="987"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1E24F0C8" w14:textId="77777777" w:rsidR="000459B3" w:rsidRPr="000459B3" w:rsidRDefault="000459B3" w:rsidP="000459B3">
            <w:proofErr w:type="spellStart"/>
            <w:r w:rsidRPr="000459B3">
              <w:rPr>
                <w:b/>
                <w:bCs/>
              </w:rPr>
              <w:t>Precisao</w:t>
            </w:r>
            <w:proofErr w:type="spellEnd"/>
          </w:p>
        </w:tc>
        <w:tc>
          <w:tcPr>
            <w:tcW w:w="78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0A35EFC4" w14:textId="77777777" w:rsidR="000459B3" w:rsidRPr="000459B3" w:rsidRDefault="000459B3" w:rsidP="000459B3">
            <w:r w:rsidRPr="000459B3">
              <w:rPr>
                <w:b/>
                <w:bCs/>
              </w:rPr>
              <w:t>Recall</w:t>
            </w:r>
          </w:p>
        </w:tc>
        <w:tc>
          <w:tcPr>
            <w:tcW w:w="108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523BF424" w14:textId="77777777" w:rsidR="000459B3" w:rsidRPr="000459B3" w:rsidRDefault="000459B3" w:rsidP="000459B3">
            <w:r w:rsidRPr="000459B3">
              <w:rPr>
                <w:b/>
                <w:bCs/>
              </w:rPr>
              <w:t>F1_Score</w:t>
            </w:r>
          </w:p>
        </w:tc>
      </w:tr>
      <w:tr w:rsidR="005F33FF" w:rsidRPr="000459B3" w14:paraId="1B175D5D" w14:textId="77777777" w:rsidTr="005F33FF">
        <w:trPr>
          <w:trHeight w:val="216"/>
        </w:trPr>
        <w:tc>
          <w:tcPr>
            <w:tcW w:w="907"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05552D65" w14:textId="62AB9913" w:rsidR="005F33FF" w:rsidRPr="000459B3" w:rsidRDefault="005F33FF" w:rsidP="005F33FF">
            <w:r w:rsidRPr="005F33FF">
              <w:rPr>
                <w:b/>
                <w:bCs/>
                <w:color w:val="000000"/>
              </w:rPr>
              <w:t>O3-Mini-High</w:t>
            </w:r>
          </w:p>
        </w:tc>
        <w:tc>
          <w:tcPr>
            <w:tcW w:w="92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2FBB1F22" w14:textId="77777777" w:rsidR="005F33FF" w:rsidRPr="000459B3" w:rsidRDefault="005F33FF" w:rsidP="005F33FF"/>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A631F8" w14:textId="77777777" w:rsidR="005F33FF" w:rsidRPr="000459B3" w:rsidRDefault="005F33FF" w:rsidP="005F33FF"/>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D7D008" w14:textId="77777777" w:rsidR="005F33FF" w:rsidRPr="000459B3" w:rsidRDefault="005F33FF" w:rsidP="005F33FF"/>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54B40D" w14:textId="77777777" w:rsidR="005F33FF" w:rsidRPr="000459B3" w:rsidRDefault="005F33FF" w:rsidP="005F33FF"/>
        </w:tc>
        <w:tc>
          <w:tcPr>
            <w:tcW w:w="4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8C14D6" w14:textId="77777777" w:rsidR="005F33FF" w:rsidRPr="000459B3" w:rsidRDefault="005F33FF" w:rsidP="005F33FF"/>
        </w:tc>
        <w:tc>
          <w:tcPr>
            <w:tcW w:w="17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0845D5" w14:textId="77777777" w:rsidR="005F33FF" w:rsidRPr="000459B3" w:rsidRDefault="005F33FF" w:rsidP="005F33FF"/>
        </w:tc>
        <w:tc>
          <w:tcPr>
            <w:tcW w:w="1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6BF264" w14:textId="77777777" w:rsidR="005F33FF" w:rsidRPr="000459B3" w:rsidRDefault="005F33FF" w:rsidP="005F33FF"/>
        </w:tc>
        <w:tc>
          <w:tcPr>
            <w:tcW w:w="9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3EC377" w14:textId="77777777" w:rsidR="005F33FF" w:rsidRPr="000459B3" w:rsidRDefault="005F33FF" w:rsidP="005F33FF"/>
        </w:tc>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DD7D9B" w14:textId="77777777" w:rsidR="005F33FF" w:rsidRPr="000459B3" w:rsidRDefault="005F33FF" w:rsidP="005F33FF"/>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2860D4" w14:textId="77777777" w:rsidR="005F33FF" w:rsidRPr="000459B3" w:rsidRDefault="005F33FF" w:rsidP="005F33FF"/>
        </w:tc>
      </w:tr>
      <w:tr w:rsidR="005F33FF" w:rsidRPr="000459B3" w14:paraId="4B2F92A3" w14:textId="77777777" w:rsidTr="005F33FF">
        <w:trPr>
          <w:trHeight w:val="198"/>
        </w:trPr>
        <w:tc>
          <w:tcPr>
            <w:tcW w:w="907"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6A658309" w14:textId="77777777" w:rsidR="005F33FF" w:rsidRPr="000459B3" w:rsidRDefault="005F33FF" w:rsidP="005F33FF"/>
        </w:tc>
        <w:tc>
          <w:tcPr>
            <w:tcW w:w="92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5360F0B2" w14:textId="195CD79F" w:rsidR="005F33FF" w:rsidRPr="000459B3" w:rsidRDefault="005F33FF" w:rsidP="005F33FF">
            <w:r w:rsidRPr="005F33FF">
              <w:rPr>
                <w:b/>
                <w:bCs/>
                <w:color w:val="000000"/>
              </w:rPr>
              <w:t>2023-12-31</w:t>
            </w:r>
          </w:p>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FEC33E" w14:textId="437D3361" w:rsidR="005F33FF" w:rsidRPr="000459B3" w:rsidRDefault="005F33FF" w:rsidP="005F33FF">
            <w:r w:rsidRPr="005F33FF">
              <w:rPr>
                <w:color w:val="000000"/>
              </w:rPr>
              <w:t>50</w:t>
            </w:r>
          </w:p>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94EE8C" w14:textId="7FB3FB66" w:rsidR="005F33FF" w:rsidRPr="000459B3" w:rsidRDefault="005F33FF" w:rsidP="005F33FF">
            <w:r w:rsidRPr="005F33FF">
              <w:rPr>
                <w:color w:val="000000"/>
              </w:rPr>
              <w:t>34</w:t>
            </w:r>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906693" w14:textId="0D9672F9" w:rsidR="005F33FF" w:rsidRPr="000459B3" w:rsidRDefault="005F33FF" w:rsidP="005F33FF">
            <w:r w:rsidRPr="005F33FF">
              <w:rPr>
                <w:color w:val="000000"/>
              </w:rPr>
              <w:t>6</w:t>
            </w:r>
          </w:p>
        </w:tc>
        <w:tc>
          <w:tcPr>
            <w:tcW w:w="4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BBD6AA" w14:textId="34B55462" w:rsidR="005F33FF" w:rsidRPr="000459B3" w:rsidRDefault="005F33FF" w:rsidP="005F33FF">
            <w:r w:rsidRPr="005F33FF">
              <w:rPr>
                <w:color w:val="000000"/>
              </w:rPr>
              <w:t>4</w:t>
            </w:r>
          </w:p>
        </w:tc>
        <w:tc>
          <w:tcPr>
            <w:tcW w:w="17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27199D" w14:textId="784D546B" w:rsidR="005F33FF" w:rsidRPr="000459B3" w:rsidRDefault="005F33FF" w:rsidP="005F33FF">
            <w:r w:rsidRPr="005F33FF">
              <w:rPr>
                <w:color w:val="000000"/>
              </w:rPr>
              <w:t>94</w:t>
            </w:r>
          </w:p>
        </w:tc>
        <w:tc>
          <w:tcPr>
            <w:tcW w:w="1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0E7E6A" w14:textId="79489F44" w:rsidR="005F33FF" w:rsidRPr="000459B3" w:rsidRDefault="005F33FF" w:rsidP="005F33FF">
            <w:r w:rsidRPr="005F33FF">
              <w:rPr>
                <w:color w:val="000000"/>
              </w:rPr>
              <w:t>0.5957</w:t>
            </w:r>
          </w:p>
        </w:tc>
        <w:tc>
          <w:tcPr>
            <w:tcW w:w="9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14954E" w14:textId="5D79EDB6" w:rsidR="005F33FF" w:rsidRPr="000459B3" w:rsidRDefault="005F33FF" w:rsidP="005F33FF">
            <w:r w:rsidRPr="005F33FF">
              <w:rPr>
                <w:color w:val="000000"/>
              </w:rPr>
              <w:t>0.5952</w:t>
            </w:r>
          </w:p>
        </w:tc>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B0A149" w14:textId="2C5A3AEA" w:rsidR="005F33FF" w:rsidRPr="000459B3" w:rsidRDefault="005F33FF" w:rsidP="005F33FF">
            <w:r w:rsidRPr="005F33FF">
              <w:rPr>
                <w:color w:val="000000"/>
              </w:rPr>
              <w:t>0.9259</w:t>
            </w:r>
          </w:p>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284017" w14:textId="4BCD3B98" w:rsidR="005F33FF" w:rsidRPr="000459B3" w:rsidRDefault="005F33FF" w:rsidP="005F33FF">
            <w:r w:rsidRPr="005F33FF">
              <w:rPr>
                <w:color w:val="000000"/>
              </w:rPr>
              <w:t>0.7246</w:t>
            </w:r>
          </w:p>
        </w:tc>
      </w:tr>
      <w:tr w:rsidR="005F33FF" w:rsidRPr="000459B3" w14:paraId="10B18979" w14:textId="77777777" w:rsidTr="005F33FF">
        <w:trPr>
          <w:trHeight w:val="198"/>
        </w:trPr>
        <w:tc>
          <w:tcPr>
            <w:tcW w:w="907"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7B1960B6" w14:textId="77777777" w:rsidR="005F33FF" w:rsidRPr="000459B3" w:rsidRDefault="005F33FF" w:rsidP="005F33FF"/>
        </w:tc>
        <w:tc>
          <w:tcPr>
            <w:tcW w:w="92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17A01CBB" w14:textId="4D9BEC80" w:rsidR="005F33FF" w:rsidRPr="000459B3" w:rsidRDefault="005F33FF" w:rsidP="005F33FF">
            <w:r w:rsidRPr="005F33FF">
              <w:rPr>
                <w:b/>
                <w:bCs/>
                <w:color w:val="000000"/>
              </w:rPr>
              <w:t>2024-03-31</w:t>
            </w:r>
          </w:p>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7AFA16" w14:textId="5A1EB20C" w:rsidR="005F33FF" w:rsidRPr="000459B3" w:rsidRDefault="005F33FF" w:rsidP="005F33FF">
            <w:r w:rsidRPr="005F33FF">
              <w:rPr>
                <w:color w:val="000000"/>
              </w:rPr>
              <w:t>55</w:t>
            </w:r>
          </w:p>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D91B20" w14:textId="59A4D720" w:rsidR="005F33FF" w:rsidRPr="000459B3" w:rsidRDefault="005F33FF" w:rsidP="005F33FF">
            <w:r w:rsidRPr="005F33FF">
              <w:rPr>
                <w:color w:val="000000"/>
              </w:rPr>
              <w:t>34</w:t>
            </w:r>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F25B4A" w14:textId="0C86AE68" w:rsidR="005F33FF" w:rsidRPr="000459B3" w:rsidRDefault="005F33FF" w:rsidP="005F33FF">
            <w:r w:rsidRPr="005F33FF">
              <w:rPr>
                <w:color w:val="000000"/>
              </w:rPr>
              <w:t>3</w:t>
            </w:r>
          </w:p>
        </w:tc>
        <w:tc>
          <w:tcPr>
            <w:tcW w:w="4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A4F65B" w14:textId="3EA9CA2A" w:rsidR="005F33FF" w:rsidRPr="000459B3" w:rsidRDefault="005F33FF" w:rsidP="005F33FF">
            <w:r w:rsidRPr="005F33FF">
              <w:rPr>
                <w:color w:val="000000"/>
              </w:rPr>
              <w:t>1</w:t>
            </w:r>
          </w:p>
        </w:tc>
        <w:tc>
          <w:tcPr>
            <w:tcW w:w="17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8BDE0B" w14:textId="0BB55E9A" w:rsidR="005F33FF" w:rsidRPr="000459B3" w:rsidRDefault="005F33FF" w:rsidP="005F33FF">
            <w:r w:rsidRPr="005F33FF">
              <w:rPr>
                <w:color w:val="000000"/>
              </w:rPr>
              <w:t>93</w:t>
            </w:r>
          </w:p>
        </w:tc>
        <w:tc>
          <w:tcPr>
            <w:tcW w:w="1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D235CC" w14:textId="027882A2" w:rsidR="005F33FF" w:rsidRPr="000459B3" w:rsidRDefault="005F33FF" w:rsidP="005F33FF">
            <w:r w:rsidRPr="005F33FF">
              <w:rPr>
                <w:color w:val="000000"/>
              </w:rPr>
              <w:t>0.6237</w:t>
            </w:r>
          </w:p>
        </w:tc>
        <w:tc>
          <w:tcPr>
            <w:tcW w:w="9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6698DF" w14:textId="593CA335" w:rsidR="005F33FF" w:rsidRPr="000459B3" w:rsidRDefault="005F33FF" w:rsidP="005F33FF">
            <w:r w:rsidRPr="005F33FF">
              <w:rPr>
                <w:color w:val="000000"/>
              </w:rPr>
              <w:t>0.6180</w:t>
            </w:r>
          </w:p>
        </w:tc>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035A9B" w14:textId="7DC69571" w:rsidR="005F33FF" w:rsidRPr="000459B3" w:rsidRDefault="005F33FF" w:rsidP="005F33FF">
            <w:r w:rsidRPr="005F33FF">
              <w:rPr>
                <w:color w:val="000000"/>
              </w:rPr>
              <w:t>0.9821</w:t>
            </w:r>
          </w:p>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B7E3F9" w14:textId="6E53BFAC" w:rsidR="005F33FF" w:rsidRPr="000459B3" w:rsidRDefault="005F33FF" w:rsidP="005F33FF">
            <w:r w:rsidRPr="005F33FF">
              <w:rPr>
                <w:color w:val="000000"/>
              </w:rPr>
              <w:t>0.7586</w:t>
            </w:r>
          </w:p>
        </w:tc>
      </w:tr>
      <w:tr w:rsidR="005F33FF" w:rsidRPr="000459B3" w14:paraId="3D12CE29" w14:textId="77777777" w:rsidTr="005F33FF">
        <w:trPr>
          <w:trHeight w:val="198"/>
        </w:trPr>
        <w:tc>
          <w:tcPr>
            <w:tcW w:w="907"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05F39B69" w14:textId="77777777" w:rsidR="005F33FF" w:rsidRPr="000459B3" w:rsidRDefault="005F33FF" w:rsidP="005F33FF"/>
        </w:tc>
        <w:tc>
          <w:tcPr>
            <w:tcW w:w="92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6D9DC450" w14:textId="2A6E646A" w:rsidR="005F33FF" w:rsidRPr="000459B3" w:rsidRDefault="005F33FF" w:rsidP="005F33FF">
            <w:r w:rsidRPr="005F33FF">
              <w:rPr>
                <w:b/>
                <w:bCs/>
                <w:color w:val="000000"/>
              </w:rPr>
              <w:t>2024-06-30</w:t>
            </w:r>
          </w:p>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81219B" w14:textId="20C2C83F" w:rsidR="005F33FF" w:rsidRPr="000459B3" w:rsidRDefault="005F33FF" w:rsidP="005F33FF">
            <w:r w:rsidRPr="005F33FF">
              <w:rPr>
                <w:color w:val="000000"/>
              </w:rPr>
              <w:t>53</w:t>
            </w:r>
          </w:p>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F30A8D" w14:textId="7A6839B4" w:rsidR="005F33FF" w:rsidRPr="000459B3" w:rsidRDefault="005F33FF" w:rsidP="005F33FF">
            <w:r w:rsidRPr="005F33FF">
              <w:rPr>
                <w:color w:val="000000"/>
              </w:rPr>
              <w:t>36</w:t>
            </w:r>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E8BBDB" w14:textId="7BD0D73D" w:rsidR="005F33FF" w:rsidRPr="000459B3" w:rsidRDefault="005F33FF" w:rsidP="005F33FF">
            <w:r w:rsidRPr="005F33FF">
              <w:rPr>
                <w:color w:val="000000"/>
              </w:rPr>
              <w:t>2</w:t>
            </w:r>
          </w:p>
        </w:tc>
        <w:tc>
          <w:tcPr>
            <w:tcW w:w="4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7BAB7A" w14:textId="0A73C1A3" w:rsidR="005F33FF" w:rsidRPr="000459B3" w:rsidRDefault="005F33FF" w:rsidP="005F33FF">
            <w:r w:rsidRPr="005F33FF">
              <w:rPr>
                <w:color w:val="000000"/>
              </w:rPr>
              <w:t>3</w:t>
            </w:r>
          </w:p>
        </w:tc>
        <w:tc>
          <w:tcPr>
            <w:tcW w:w="17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6E6F3E" w14:textId="231428DD" w:rsidR="005F33FF" w:rsidRPr="000459B3" w:rsidRDefault="005F33FF" w:rsidP="005F33FF">
            <w:r w:rsidRPr="005F33FF">
              <w:rPr>
                <w:color w:val="000000"/>
              </w:rPr>
              <w:t>94</w:t>
            </w:r>
          </w:p>
        </w:tc>
        <w:tc>
          <w:tcPr>
            <w:tcW w:w="1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AE642E" w14:textId="0F4C9BB1" w:rsidR="005F33FF" w:rsidRPr="000459B3" w:rsidRDefault="005F33FF" w:rsidP="005F33FF">
            <w:r w:rsidRPr="005F33FF">
              <w:rPr>
                <w:color w:val="000000"/>
              </w:rPr>
              <w:t>0.5851</w:t>
            </w:r>
          </w:p>
        </w:tc>
        <w:tc>
          <w:tcPr>
            <w:tcW w:w="9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461D91" w14:textId="02CB1C94" w:rsidR="005F33FF" w:rsidRPr="000459B3" w:rsidRDefault="005F33FF" w:rsidP="005F33FF">
            <w:r w:rsidRPr="005F33FF">
              <w:rPr>
                <w:color w:val="000000"/>
              </w:rPr>
              <w:t>0.5955</w:t>
            </w:r>
          </w:p>
        </w:tc>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E909E3" w14:textId="2E7AA79F" w:rsidR="005F33FF" w:rsidRPr="000459B3" w:rsidRDefault="005F33FF" w:rsidP="005F33FF">
            <w:r w:rsidRPr="005F33FF">
              <w:rPr>
                <w:color w:val="000000"/>
              </w:rPr>
              <w:t>0.9464</w:t>
            </w:r>
          </w:p>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2D0482" w14:textId="09C34B67" w:rsidR="005F33FF" w:rsidRPr="000459B3" w:rsidRDefault="005F33FF" w:rsidP="005F33FF">
            <w:r w:rsidRPr="005F33FF">
              <w:rPr>
                <w:color w:val="000000"/>
              </w:rPr>
              <w:t>0.7310</w:t>
            </w:r>
          </w:p>
        </w:tc>
      </w:tr>
      <w:tr w:rsidR="005F33FF" w:rsidRPr="000459B3" w14:paraId="220A140D" w14:textId="77777777" w:rsidTr="005F33FF">
        <w:trPr>
          <w:trHeight w:val="198"/>
        </w:trPr>
        <w:tc>
          <w:tcPr>
            <w:tcW w:w="907"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157BDA0E" w14:textId="77777777" w:rsidR="005F33FF" w:rsidRPr="000459B3" w:rsidRDefault="005F33FF" w:rsidP="005F33FF"/>
        </w:tc>
        <w:tc>
          <w:tcPr>
            <w:tcW w:w="92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4B6918C9" w14:textId="6F3F5ED3" w:rsidR="005F33FF" w:rsidRPr="000459B3" w:rsidRDefault="005F33FF" w:rsidP="005F33FF">
            <w:r w:rsidRPr="005F33FF">
              <w:rPr>
                <w:b/>
                <w:bCs/>
                <w:color w:val="000000"/>
              </w:rPr>
              <w:t>2024-09-30</w:t>
            </w:r>
          </w:p>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E8BEB9" w14:textId="5DBB8EC5" w:rsidR="005F33FF" w:rsidRPr="000459B3" w:rsidRDefault="005F33FF" w:rsidP="005F33FF">
            <w:r w:rsidRPr="005F33FF">
              <w:rPr>
                <w:color w:val="000000"/>
              </w:rPr>
              <w:t>71</w:t>
            </w:r>
          </w:p>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E981AC" w14:textId="462C2305" w:rsidR="005F33FF" w:rsidRPr="000459B3" w:rsidRDefault="005F33FF" w:rsidP="005F33FF">
            <w:r w:rsidRPr="005F33FF">
              <w:rPr>
                <w:color w:val="000000"/>
              </w:rPr>
              <w:t>19</w:t>
            </w:r>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205B61" w14:textId="42086F26" w:rsidR="005F33FF" w:rsidRPr="000459B3" w:rsidRDefault="005F33FF" w:rsidP="005F33FF">
            <w:r w:rsidRPr="005F33FF">
              <w:rPr>
                <w:color w:val="000000"/>
              </w:rPr>
              <w:t>3</w:t>
            </w:r>
          </w:p>
        </w:tc>
        <w:tc>
          <w:tcPr>
            <w:tcW w:w="4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5E8569" w14:textId="13CE805C" w:rsidR="005F33FF" w:rsidRPr="000459B3" w:rsidRDefault="005F33FF" w:rsidP="005F33FF">
            <w:r w:rsidRPr="005F33FF">
              <w:rPr>
                <w:color w:val="000000"/>
              </w:rPr>
              <w:t>0</w:t>
            </w:r>
          </w:p>
        </w:tc>
        <w:tc>
          <w:tcPr>
            <w:tcW w:w="17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30D992" w14:textId="6531C5B5" w:rsidR="005F33FF" w:rsidRPr="000459B3" w:rsidRDefault="005F33FF" w:rsidP="005F33FF">
            <w:r w:rsidRPr="005F33FF">
              <w:rPr>
                <w:color w:val="000000"/>
              </w:rPr>
              <w:t>93</w:t>
            </w:r>
          </w:p>
        </w:tc>
        <w:tc>
          <w:tcPr>
            <w:tcW w:w="1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179A5F" w14:textId="15B9342B" w:rsidR="005F33FF" w:rsidRPr="000459B3" w:rsidRDefault="005F33FF" w:rsidP="005F33FF">
            <w:r w:rsidRPr="005F33FF">
              <w:rPr>
                <w:color w:val="000000"/>
              </w:rPr>
              <w:t>0.7957</w:t>
            </w:r>
          </w:p>
        </w:tc>
        <w:tc>
          <w:tcPr>
            <w:tcW w:w="9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89EA4D" w14:textId="60A0FB1C" w:rsidR="005F33FF" w:rsidRPr="000459B3" w:rsidRDefault="005F33FF" w:rsidP="005F33FF">
            <w:r w:rsidRPr="005F33FF">
              <w:rPr>
                <w:color w:val="000000"/>
              </w:rPr>
              <w:t>0.7889</w:t>
            </w:r>
          </w:p>
        </w:tc>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EE8A3A" w14:textId="79AB7ADB" w:rsidR="005F33FF" w:rsidRPr="000459B3" w:rsidRDefault="005F33FF" w:rsidP="005F33FF">
            <w:r w:rsidRPr="005F33FF">
              <w:rPr>
                <w:color w:val="000000"/>
              </w:rPr>
              <w:t>1.0000</w:t>
            </w:r>
          </w:p>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39AF62" w14:textId="6CF193F3" w:rsidR="005F33FF" w:rsidRPr="000459B3" w:rsidRDefault="005F33FF" w:rsidP="005F33FF">
            <w:r w:rsidRPr="005F33FF">
              <w:rPr>
                <w:color w:val="000000"/>
              </w:rPr>
              <w:t>0.8820</w:t>
            </w:r>
          </w:p>
        </w:tc>
      </w:tr>
      <w:tr w:rsidR="005F33FF" w:rsidRPr="000459B3" w14:paraId="7C84AD5E" w14:textId="77777777" w:rsidTr="005F33FF">
        <w:trPr>
          <w:trHeight w:val="198"/>
        </w:trPr>
        <w:tc>
          <w:tcPr>
            <w:tcW w:w="907"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77AFFB34" w14:textId="77777777" w:rsidR="005F33FF" w:rsidRPr="000459B3" w:rsidRDefault="005F33FF" w:rsidP="005F33FF"/>
        </w:tc>
        <w:tc>
          <w:tcPr>
            <w:tcW w:w="92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3544FAD8" w14:textId="5EB23381" w:rsidR="005F33FF" w:rsidRPr="000459B3" w:rsidRDefault="005F33FF" w:rsidP="005F33FF">
            <w:r w:rsidRPr="005F33FF">
              <w:rPr>
                <w:b/>
                <w:bCs/>
                <w:color w:val="000000"/>
              </w:rPr>
              <w:t>2024-12-31</w:t>
            </w:r>
          </w:p>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57FB2C" w14:textId="3722FF30" w:rsidR="005F33FF" w:rsidRPr="000459B3" w:rsidRDefault="005F33FF" w:rsidP="005F33FF">
            <w:r w:rsidRPr="005F33FF">
              <w:rPr>
                <w:color w:val="000000"/>
              </w:rPr>
              <w:t>56</w:t>
            </w:r>
          </w:p>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4BA47E" w14:textId="4B1AFE59" w:rsidR="005F33FF" w:rsidRPr="000459B3" w:rsidRDefault="005F33FF" w:rsidP="005F33FF">
            <w:r w:rsidRPr="005F33FF">
              <w:rPr>
                <w:color w:val="000000"/>
              </w:rPr>
              <w:t>33</w:t>
            </w:r>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F269FD" w14:textId="3C8B5D62" w:rsidR="005F33FF" w:rsidRPr="000459B3" w:rsidRDefault="005F33FF" w:rsidP="005F33FF">
            <w:r w:rsidRPr="005F33FF">
              <w:rPr>
                <w:color w:val="000000"/>
              </w:rPr>
              <w:t>1</w:t>
            </w:r>
          </w:p>
        </w:tc>
        <w:tc>
          <w:tcPr>
            <w:tcW w:w="4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D8DE43" w14:textId="5ABD4865" w:rsidR="005F33FF" w:rsidRPr="000459B3" w:rsidRDefault="005F33FF" w:rsidP="005F33FF">
            <w:r w:rsidRPr="005F33FF">
              <w:rPr>
                <w:color w:val="000000"/>
              </w:rPr>
              <w:t>2</w:t>
            </w:r>
          </w:p>
        </w:tc>
        <w:tc>
          <w:tcPr>
            <w:tcW w:w="17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D37187" w14:textId="50C9C375" w:rsidR="005F33FF" w:rsidRPr="000459B3" w:rsidRDefault="005F33FF" w:rsidP="005F33FF">
            <w:r w:rsidRPr="005F33FF">
              <w:rPr>
                <w:color w:val="000000"/>
              </w:rPr>
              <w:t>92</w:t>
            </w:r>
          </w:p>
        </w:tc>
        <w:tc>
          <w:tcPr>
            <w:tcW w:w="1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B722ED" w14:textId="57F3F7EF" w:rsidR="005F33FF" w:rsidRPr="000459B3" w:rsidRDefault="005F33FF" w:rsidP="005F33FF">
            <w:r w:rsidRPr="005F33FF">
              <w:rPr>
                <w:color w:val="000000"/>
              </w:rPr>
              <w:t>0.6196</w:t>
            </w:r>
          </w:p>
        </w:tc>
        <w:tc>
          <w:tcPr>
            <w:tcW w:w="9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C3EAF6" w14:textId="2A53F84B" w:rsidR="005F33FF" w:rsidRPr="000459B3" w:rsidRDefault="005F33FF" w:rsidP="005F33FF">
            <w:r w:rsidRPr="005F33FF">
              <w:rPr>
                <w:color w:val="000000"/>
              </w:rPr>
              <w:t>0.6292</w:t>
            </w:r>
          </w:p>
        </w:tc>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19CBCA" w14:textId="45AB0E69" w:rsidR="005F33FF" w:rsidRPr="000459B3" w:rsidRDefault="005F33FF" w:rsidP="005F33FF">
            <w:r w:rsidRPr="005F33FF">
              <w:rPr>
                <w:color w:val="000000"/>
              </w:rPr>
              <w:t>0.9655</w:t>
            </w:r>
          </w:p>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ABD7DB" w14:textId="1F964865" w:rsidR="005F33FF" w:rsidRPr="000459B3" w:rsidRDefault="005F33FF" w:rsidP="005F33FF">
            <w:r w:rsidRPr="005F33FF">
              <w:rPr>
                <w:color w:val="000000"/>
              </w:rPr>
              <w:t>0.7619</w:t>
            </w:r>
          </w:p>
        </w:tc>
      </w:tr>
      <w:tr w:rsidR="005F33FF" w:rsidRPr="000459B3" w14:paraId="47AC3197" w14:textId="77777777" w:rsidTr="005F33FF">
        <w:trPr>
          <w:trHeight w:val="198"/>
        </w:trPr>
        <w:tc>
          <w:tcPr>
            <w:tcW w:w="907"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08FBF3ED" w14:textId="77777777" w:rsidR="005F33FF" w:rsidRPr="000459B3" w:rsidRDefault="005F33FF" w:rsidP="005F33FF"/>
        </w:tc>
        <w:tc>
          <w:tcPr>
            <w:tcW w:w="92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44C9797A" w14:textId="126497E5" w:rsidR="005F33FF" w:rsidRPr="000459B3" w:rsidRDefault="005F33FF" w:rsidP="005F33FF">
            <w:r w:rsidRPr="005F33FF">
              <w:rPr>
                <w:b/>
                <w:bCs/>
                <w:color w:val="000000"/>
              </w:rPr>
              <w:t>Total Geral</w:t>
            </w:r>
          </w:p>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4627DF" w14:textId="530377E5" w:rsidR="005F33FF" w:rsidRPr="000459B3" w:rsidRDefault="005F33FF" w:rsidP="005F33FF">
            <w:r w:rsidRPr="005F33FF">
              <w:rPr>
                <w:color w:val="000000"/>
              </w:rPr>
              <w:t>285</w:t>
            </w:r>
          </w:p>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7454BB" w14:textId="0467AD14" w:rsidR="005F33FF" w:rsidRPr="000459B3" w:rsidRDefault="005F33FF" w:rsidP="005F33FF">
            <w:r w:rsidRPr="005F33FF">
              <w:rPr>
                <w:color w:val="000000"/>
              </w:rPr>
              <w:t>156</w:t>
            </w:r>
          </w:p>
        </w:tc>
        <w:tc>
          <w:tcPr>
            <w:tcW w:w="4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E33EAF" w14:textId="5677548F" w:rsidR="005F33FF" w:rsidRPr="000459B3" w:rsidRDefault="005F33FF" w:rsidP="005F33FF">
            <w:r w:rsidRPr="005F33FF">
              <w:rPr>
                <w:color w:val="000000"/>
              </w:rPr>
              <w:t>15</w:t>
            </w:r>
          </w:p>
        </w:tc>
        <w:tc>
          <w:tcPr>
            <w:tcW w:w="4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E8A300" w14:textId="35EF1548" w:rsidR="005F33FF" w:rsidRPr="000459B3" w:rsidRDefault="005F33FF" w:rsidP="005F33FF">
            <w:r w:rsidRPr="005F33FF">
              <w:rPr>
                <w:color w:val="000000"/>
              </w:rPr>
              <w:t>10</w:t>
            </w:r>
          </w:p>
        </w:tc>
        <w:tc>
          <w:tcPr>
            <w:tcW w:w="17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C238B4" w14:textId="776DE7C2" w:rsidR="005F33FF" w:rsidRPr="000459B3" w:rsidRDefault="005F33FF" w:rsidP="005F33FF">
            <w:r w:rsidRPr="005F33FF">
              <w:rPr>
                <w:color w:val="000000"/>
              </w:rPr>
              <w:t>466</w:t>
            </w:r>
          </w:p>
        </w:tc>
        <w:tc>
          <w:tcPr>
            <w:tcW w:w="1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06150E" w14:textId="7A698886" w:rsidR="005F33FF" w:rsidRPr="000459B3" w:rsidRDefault="005F33FF" w:rsidP="005F33FF">
            <w:r w:rsidRPr="005F33FF">
              <w:rPr>
                <w:color w:val="000000"/>
              </w:rPr>
              <w:t>0.6438</w:t>
            </w:r>
          </w:p>
        </w:tc>
        <w:tc>
          <w:tcPr>
            <w:tcW w:w="9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626E62" w14:textId="5B77B267" w:rsidR="005F33FF" w:rsidRPr="000459B3" w:rsidRDefault="005F33FF" w:rsidP="005F33FF">
            <w:r w:rsidRPr="005F33FF">
              <w:rPr>
                <w:color w:val="000000"/>
              </w:rPr>
              <w:t>0.6463</w:t>
            </w:r>
          </w:p>
        </w:tc>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319D8F" w14:textId="291E6888" w:rsidR="005F33FF" w:rsidRPr="000459B3" w:rsidRDefault="005F33FF" w:rsidP="005F33FF">
            <w:r w:rsidRPr="005F33FF">
              <w:rPr>
                <w:color w:val="000000"/>
              </w:rPr>
              <w:t>0.9661</w:t>
            </w:r>
          </w:p>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766FCF" w14:textId="36D4CD9B" w:rsidR="005F33FF" w:rsidRPr="000459B3" w:rsidRDefault="005F33FF" w:rsidP="005F33FF">
            <w:r w:rsidRPr="005F33FF">
              <w:rPr>
                <w:color w:val="000000"/>
              </w:rPr>
              <w:t>0.7745</w:t>
            </w:r>
          </w:p>
        </w:tc>
      </w:tr>
    </w:tbl>
    <w:p w14:paraId="39F673DF" w14:textId="77777777" w:rsidR="000459B3" w:rsidRPr="000459B3" w:rsidRDefault="000459B3" w:rsidP="000443C1">
      <w:pPr>
        <w:spacing w:line="360" w:lineRule="auto"/>
        <w:ind w:firstLine="709"/>
      </w:pPr>
    </w:p>
    <w:p w14:paraId="28126A2D" w14:textId="77777777" w:rsidR="000443C1" w:rsidRDefault="000443C1" w:rsidP="000443C1">
      <w:pPr>
        <w:spacing w:line="360" w:lineRule="auto"/>
        <w:ind w:firstLine="709"/>
      </w:pPr>
    </w:p>
    <w:p w14:paraId="14856CB2" w14:textId="77777777" w:rsidR="000459B3" w:rsidRPr="000459B3" w:rsidRDefault="000459B3" w:rsidP="000459B3">
      <w:pPr>
        <w:spacing w:line="360" w:lineRule="auto"/>
        <w:ind w:firstLine="709"/>
        <w:jc w:val="both"/>
      </w:pPr>
      <w:r w:rsidRPr="000459B3">
        <w:t>Observa-se que:</w:t>
      </w:r>
    </w:p>
    <w:p w14:paraId="5DA7ACC6" w14:textId="7E225C78" w:rsidR="000459B3" w:rsidRPr="000459B3" w:rsidRDefault="000459B3" w:rsidP="000459B3">
      <w:pPr>
        <w:pStyle w:val="PargrafodaLista"/>
        <w:numPr>
          <w:ilvl w:val="0"/>
          <w:numId w:val="11"/>
        </w:numPr>
        <w:spacing w:after="0" w:line="360" w:lineRule="auto"/>
        <w:rPr>
          <w:kern w:val="0"/>
          <w:lang w:val="pt-BR" w:eastAsia="pt-BR"/>
          <w14:ligatures w14:val="none"/>
        </w:rPr>
      </w:pPr>
      <w:r w:rsidRPr="000459B3">
        <w:rPr>
          <w:kern w:val="0"/>
          <w:lang w:val="pt-BR" w:eastAsia="pt-BR"/>
          <w14:ligatures w14:val="none"/>
        </w:rPr>
        <w:t>A </w:t>
      </w:r>
      <w:r w:rsidRPr="000459B3">
        <w:rPr>
          <w:b/>
          <w:bCs/>
          <w:kern w:val="0"/>
          <w:lang w:val="pt-BR" w:eastAsia="pt-BR"/>
          <w14:ligatures w14:val="none"/>
        </w:rPr>
        <w:t>acurácia</w:t>
      </w:r>
      <w:r w:rsidRPr="000459B3">
        <w:rPr>
          <w:kern w:val="0"/>
          <w:lang w:val="pt-BR" w:eastAsia="pt-BR"/>
          <w14:ligatures w14:val="none"/>
        </w:rPr>
        <w:t> global foi de aproximadamente </w:t>
      </w:r>
      <w:r w:rsidR="00F24848">
        <w:rPr>
          <w:b/>
          <w:bCs/>
          <w:kern w:val="0"/>
          <w:lang w:val="pt-BR" w:eastAsia="pt-BR"/>
          <w14:ligatures w14:val="none"/>
        </w:rPr>
        <w:t>64</w:t>
      </w:r>
      <w:r w:rsidRPr="000459B3">
        <w:rPr>
          <w:b/>
          <w:bCs/>
          <w:kern w:val="0"/>
          <w:lang w:val="pt-BR" w:eastAsia="pt-BR"/>
          <w14:ligatures w14:val="none"/>
        </w:rPr>
        <w:t>,</w:t>
      </w:r>
      <w:r w:rsidR="00F24848">
        <w:rPr>
          <w:b/>
          <w:bCs/>
          <w:kern w:val="0"/>
          <w:lang w:val="pt-BR" w:eastAsia="pt-BR"/>
          <w14:ligatures w14:val="none"/>
        </w:rPr>
        <w:t>38</w:t>
      </w:r>
      <w:r w:rsidRPr="000459B3">
        <w:rPr>
          <w:b/>
          <w:bCs/>
          <w:kern w:val="0"/>
          <w:lang w:val="pt-BR" w:eastAsia="pt-BR"/>
          <w14:ligatures w14:val="none"/>
        </w:rPr>
        <w:t>%</w:t>
      </w:r>
      <w:r w:rsidRPr="000459B3">
        <w:rPr>
          <w:kern w:val="0"/>
          <w:lang w:val="pt-BR" w:eastAsia="pt-BR"/>
          <w14:ligatures w14:val="none"/>
        </w:rPr>
        <w:t>, o que significa que, em média, o modelo acertou em torno de 59% das previsões de alta ou baixa.</w:t>
      </w:r>
    </w:p>
    <w:p w14:paraId="049C060B" w14:textId="0BA34B6B" w:rsidR="000459B3" w:rsidRPr="000459B3" w:rsidRDefault="000459B3" w:rsidP="000459B3">
      <w:pPr>
        <w:pStyle w:val="PargrafodaLista"/>
        <w:numPr>
          <w:ilvl w:val="0"/>
          <w:numId w:val="11"/>
        </w:numPr>
        <w:spacing w:after="0" w:line="360" w:lineRule="auto"/>
        <w:rPr>
          <w:kern w:val="0"/>
          <w:lang w:val="pt-BR" w:eastAsia="pt-BR"/>
          <w14:ligatures w14:val="none"/>
        </w:rPr>
      </w:pPr>
      <w:r w:rsidRPr="000459B3">
        <w:rPr>
          <w:kern w:val="0"/>
          <w:lang w:val="pt-BR" w:eastAsia="pt-BR"/>
          <w14:ligatures w14:val="none"/>
        </w:rPr>
        <w:t>A </w:t>
      </w:r>
      <w:r w:rsidRPr="000459B3">
        <w:rPr>
          <w:b/>
          <w:bCs/>
          <w:kern w:val="0"/>
          <w:lang w:val="pt-BR" w:eastAsia="pt-BR"/>
          <w14:ligatures w14:val="none"/>
        </w:rPr>
        <w:t>precisão</w:t>
      </w:r>
      <w:r w:rsidRPr="000459B3">
        <w:rPr>
          <w:kern w:val="0"/>
          <w:lang w:val="pt-BR" w:eastAsia="pt-BR"/>
          <w14:ligatures w14:val="none"/>
        </w:rPr>
        <w:t> de cerca de </w:t>
      </w:r>
      <w:r w:rsidRPr="000459B3">
        <w:rPr>
          <w:b/>
          <w:bCs/>
          <w:kern w:val="0"/>
          <w:lang w:val="pt-BR" w:eastAsia="pt-BR"/>
          <w14:ligatures w14:val="none"/>
        </w:rPr>
        <w:t>6</w:t>
      </w:r>
      <w:r w:rsidR="00F24848">
        <w:rPr>
          <w:b/>
          <w:bCs/>
          <w:kern w:val="0"/>
          <w:lang w:val="pt-BR" w:eastAsia="pt-BR"/>
          <w14:ligatures w14:val="none"/>
        </w:rPr>
        <w:t>4</w:t>
      </w:r>
      <w:r w:rsidRPr="000459B3">
        <w:rPr>
          <w:b/>
          <w:bCs/>
          <w:kern w:val="0"/>
          <w:lang w:val="pt-BR" w:eastAsia="pt-BR"/>
          <w14:ligatures w14:val="none"/>
        </w:rPr>
        <w:t>,</w:t>
      </w:r>
      <w:r w:rsidR="00F24848">
        <w:rPr>
          <w:b/>
          <w:bCs/>
          <w:kern w:val="0"/>
          <w:lang w:val="pt-BR" w:eastAsia="pt-BR"/>
          <w14:ligatures w14:val="none"/>
        </w:rPr>
        <w:t>63</w:t>
      </w:r>
      <w:r w:rsidRPr="000459B3">
        <w:rPr>
          <w:b/>
          <w:bCs/>
          <w:kern w:val="0"/>
          <w:lang w:val="pt-BR" w:eastAsia="pt-BR"/>
          <w14:ligatures w14:val="none"/>
        </w:rPr>
        <w:t>%</w:t>
      </w:r>
      <w:r w:rsidRPr="000459B3">
        <w:rPr>
          <w:kern w:val="0"/>
          <w:lang w:val="pt-BR" w:eastAsia="pt-BR"/>
          <w14:ligatures w14:val="none"/>
        </w:rPr>
        <w:t> indica que, quando o modelo previu “alta”, em 6</w:t>
      </w:r>
      <w:r w:rsidR="00F24848">
        <w:rPr>
          <w:kern w:val="0"/>
          <w:lang w:val="pt-BR" w:eastAsia="pt-BR"/>
          <w14:ligatures w14:val="none"/>
        </w:rPr>
        <w:t>4</w:t>
      </w:r>
      <w:r w:rsidRPr="000459B3">
        <w:rPr>
          <w:kern w:val="0"/>
          <w:lang w:val="pt-BR" w:eastAsia="pt-BR"/>
          <w14:ligatures w14:val="none"/>
        </w:rPr>
        <w:t>,</w:t>
      </w:r>
      <w:r w:rsidR="00F24848">
        <w:rPr>
          <w:kern w:val="0"/>
          <w:lang w:val="pt-BR" w:eastAsia="pt-BR"/>
          <w14:ligatures w14:val="none"/>
        </w:rPr>
        <w:t>63</w:t>
      </w:r>
      <w:r w:rsidRPr="000459B3">
        <w:rPr>
          <w:kern w:val="0"/>
          <w:lang w:val="pt-BR" w:eastAsia="pt-BR"/>
          <w14:ligatures w14:val="none"/>
        </w:rPr>
        <w:t>% dos casos havia realmente uma tendência de alta no lucro líquido.</w:t>
      </w:r>
    </w:p>
    <w:p w14:paraId="70A08CDD" w14:textId="5313600F" w:rsidR="000459B3" w:rsidRPr="000459B3" w:rsidRDefault="000459B3" w:rsidP="000459B3">
      <w:pPr>
        <w:pStyle w:val="PargrafodaLista"/>
        <w:numPr>
          <w:ilvl w:val="0"/>
          <w:numId w:val="11"/>
        </w:numPr>
        <w:spacing w:after="0" w:line="360" w:lineRule="auto"/>
        <w:rPr>
          <w:kern w:val="0"/>
          <w:lang w:val="pt-BR" w:eastAsia="pt-BR"/>
          <w14:ligatures w14:val="none"/>
        </w:rPr>
      </w:pPr>
      <w:r w:rsidRPr="000459B3">
        <w:rPr>
          <w:kern w:val="0"/>
          <w:lang w:val="pt-BR" w:eastAsia="pt-BR"/>
          <w14:ligatures w14:val="none"/>
        </w:rPr>
        <w:t>O </w:t>
      </w:r>
      <w:r w:rsidRPr="000459B3">
        <w:rPr>
          <w:b/>
          <w:bCs/>
          <w:kern w:val="0"/>
          <w:lang w:val="pt-BR" w:eastAsia="pt-BR"/>
          <w14:ligatures w14:val="none"/>
        </w:rPr>
        <w:t>recall</w:t>
      </w:r>
      <w:r w:rsidRPr="000459B3">
        <w:rPr>
          <w:kern w:val="0"/>
          <w:lang w:val="pt-BR" w:eastAsia="pt-BR"/>
          <w14:ligatures w14:val="none"/>
        </w:rPr>
        <w:t> de </w:t>
      </w:r>
      <w:r w:rsidRPr="000459B3">
        <w:rPr>
          <w:b/>
          <w:bCs/>
          <w:kern w:val="0"/>
          <w:lang w:val="pt-BR" w:eastAsia="pt-BR"/>
          <w14:ligatures w14:val="none"/>
        </w:rPr>
        <w:t>9</w:t>
      </w:r>
      <w:r w:rsidR="00F24848">
        <w:rPr>
          <w:b/>
          <w:bCs/>
          <w:kern w:val="0"/>
          <w:lang w:val="pt-BR" w:eastAsia="pt-BR"/>
          <w14:ligatures w14:val="none"/>
        </w:rPr>
        <w:t>6</w:t>
      </w:r>
      <w:r w:rsidRPr="000459B3">
        <w:rPr>
          <w:b/>
          <w:bCs/>
          <w:kern w:val="0"/>
          <w:lang w:val="pt-BR" w:eastAsia="pt-BR"/>
          <w14:ligatures w14:val="none"/>
        </w:rPr>
        <w:t>,6</w:t>
      </w:r>
      <w:r w:rsidR="00F24848">
        <w:rPr>
          <w:b/>
          <w:bCs/>
          <w:kern w:val="0"/>
          <w:lang w:val="pt-BR" w:eastAsia="pt-BR"/>
          <w14:ligatures w14:val="none"/>
        </w:rPr>
        <w:t>1</w:t>
      </w:r>
      <w:r w:rsidRPr="000459B3">
        <w:rPr>
          <w:b/>
          <w:bCs/>
          <w:kern w:val="0"/>
          <w:lang w:val="pt-BR" w:eastAsia="pt-BR"/>
          <w14:ligatures w14:val="none"/>
        </w:rPr>
        <w:t>%</w:t>
      </w:r>
      <w:r w:rsidRPr="000459B3">
        <w:rPr>
          <w:kern w:val="0"/>
          <w:lang w:val="pt-BR" w:eastAsia="pt-BR"/>
          <w14:ligatures w14:val="none"/>
        </w:rPr>
        <w:t xml:space="preserve"> mostra que o modelo conseguiu identificar a maior parte das altas reais. Este valor elevado de recall indica que o modelo tende a classificar um número </w:t>
      </w:r>
      <w:r w:rsidRPr="000459B3">
        <w:rPr>
          <w:kern w:val="0"/>
          <w:lang w:val="pt-BR" w:eastAsia="pt-BR"/>
          <w14:ligatures w14:val="none"/>
        </w:rPr>
        <w:lastRenderedPageBreak/>
        <w:t>significativo de casos como “alta”, o que também explica o número relativamente alto de falsos positivos (15</w:t>
      </w:r>
      <w:r w:rsidR="00F24848">
        <w:rPr>
          <w:kern w:val="0"/>
          <w:lang w:val="pt-BR" w:eastAsia="pt-BR"/>
          <w14:ligatures w14:val="none"/>
        </w:rPr>
        <w:t>6</w:t>
      </w:r>
      <w:r w:rsidRPr="000459B3">
        <w:rPr>
          <w:kern w:val="0"/>
          <w:lang w:val="pt-BR" w:eastAsia="pt-BR"/>
          <w14:ligatures w14:val="none"/>
        </w:rPr>
        <w:t>).</w:t>
      </w:r>
    </w:p>
    <w:p w14:paraId="5A48F551" w14:textId="5A093A4C" w:rsidR="000459B3" w:rsidRPr="000459B3" w:rsidRDefault="000459B3" w:rsidP="000459B3">
      <w:pPr>
        <w:pStyle w:val="PargrafodaLista"/>
        <w:numPr>
          <w:ilvl w:val="0"/>
          <w:numId w:val="11"/>
        </w:numPr>
        <w:spacing w:after="0" w:line="360" w:lineRule="auto"/>
        <w:rPr>
          <w:kern w:val="0"/>
          <w:lang w:val="pt-BR" w:eastAsia="pt-BR"/>
          <w14:ligatures w14:val="none"/>
        </w:rPr>
      </w:pPr>
      <w:r w:rsidRPr="000459B3">
        <w:rPr>
          <w:kern w:val="0"/>
          <w:lang w:val="pt-BR" w:eastAsia="pt-BR"/>
          <w14:ligatures w14:val="none"/>
        </w:rPr>
        <w:t>O </w:t>
      </w:r>
      <w:r w:rsidRPr="000459B3">
        <w:rPr>
          <w:b/>
          <w:bCs/>
          <w:kern w:val="0"/>
          <w:lang w:val="pt-BR" w:eastAsia="pt-BR"/>
          <w14:ligatures w14:val="none"/>
        </w:rPr>
        <w:t>F1-Score</w:t>
      </w:r>
      <w:r w:rsidRPr="000459B3">
        <w:rPr>
          <w:kern w:val="0"/>
          <w:lang w:val="pt-BR" w:eastAsia="pt-BR"/>
          <w14:ligatures w14:val="none"/>
        </w:rPr>
        <w:t> de </w:t>
      </w:r>
      <w:r w:rsidRPr="000459B3">
        <w:rPr>
          <w:b/>
          <w:bCs/>
          <w:kern w:val="0"/>
          <w:lang w:val="pt-BR" w:eastAsia="pt-BR"/>
          <w14:ligatures w14:val="none"/>
        </w:rPr>
        <w:t>7</w:t>
      </w:r>
      <w:r w:rsidR="00F24848">
        <w:rPr>
          <w:b/>
          <w:bCs/>
          <w:kern w:val="0"/>
          <w:lang w:val="pt-BR" w:eastAsia="pt-BR"/>
          <w14:ligatures w14:val="none"/>
        </w:rPr>
        <w:t>7</w:t>
      </w:r>
      <w:r w:rsidRPr="000459B3">
        <w:rPr>
          <w:b/>
          <w:bCs/>
          <w:kern w:val="0"/>
          <w:lang w:val="pt-BR" w:eastAsia="pt-BR"/>
          <w14:ligatures w14:val="none"/>
        </w:rPr>
        <w:t>,4</w:t>
      </w:r>
      <w:r w:rsidR="00F24848">
        <w:rPr>
          <w:b/>
          <w:bCs/>
          <w:kern w:val="0"/>
          <w:lang w:val="pt-BR" w:eastAsia="pt-BR"/>
          <w14:ligatures w14:val="none"/>
        </w:rPr>
        <w:t>5</w:t>
      </w:r>
      <w:r w:rsidRPr="000459B3">
        <w:rPr>
          <w:b/>
          <w:bCs/>
          <w:kern w:val="0"/>
          <w:lang w:val="pt-BR" w:eastAsia="pt-BR"/>
          <w14:ligatures w14:val="none"/>
        </w:rPr>
        <w:t>%</w:t>
      </w:r>
      <w:r w:rsidRPr="000459B3">
        <w:rPr>
          <w:kern w:val="0"/>
          <w:lang w:val="pt-BR" w:eastAsia="pt-BR"/>
          <w14:ligatures w14:val="none"/>
        </w:rPr>
        <w:t> demonstra um equilíbrio razoável entre precisão e recall, mas ainda com uma ênfase maior em cobrir os casos positivos (alta).</w:t>
      </w:r>
    </w:p>
    <w:p w14:paraId="3BF80828" w14:textId="77777777" w:rsidR="000459B3" w:rsidRPr="000459B3" w:rsidRDefault="000459B3" w:rsidP="000459B3">
      <w:pPr>
        <w:spacing w:line="360" w:lineRule="auto"/>
        <w:ind w:firstLine="709"/>
        <w:jc w:val="both"/>
      </w:pPr>
      <w:r w:rsidRPr="000459B3">
        <w:t>Ao longo dos trimestres, notamos variações nos indicadores. Por exemplo, no período de </w:t>
      </w:r>
      <w:r w:rsidRPr="000459B3">
        <w:rPr>
          <w:b/>
          <w:bCs/>
        </w:rPr>
        <w:t>2024-09-30</w:t>
      </w:r>
      <w:r w:rsidRPr="000459B3">
        <w:t>, o recall chegou a </w:t>
      </w:r>
      <w:r w:rsidRPr="000459B3">
        <w:rPr>
          <w:b/>
          <w:bCs/>
        </w:rPr>
        <w:t>95,45%</w:t>
      </w:r>
      <w:r w:rsidRPr="000459B3">
        <w:t>, com uma precisão de </w:t>
      </w:r>
      <w:r w:rsidRPr="000459B3">
        <w:rPr>
          <w:b/>
          <w:bCs/>
        </w:rPr>
        <w:t>73,26%</w:t>
      </w:r>
      <w:r w:rsidRPr="000459B3">
        <w:t>, resultando em um F1-Score de </w:t>
      </w:r>
      <w:r w:rsidRPr="000459B3">
        <w:rPr>
          <w:b/>
          <w:bCs/>
        </w:rPr>
        <w:t>82,89%</w:t>
      </w:r>
      <w:r w:rsidRPr="000459B3">
        <w:t>, o melhor resultado entre os trimestres analisados. Já em outros períodos, como em </w:t>
      </w:r>
      <w:r w:rsidRPr="000459B3">
        <w:rPr>
          <w:b/>
          <w:bCs/>
        </w:rPr>
        <w:t>2023-12-31</w:t>
      </w:r>
      <w:r w:rsidRPr="000459B3">
        <w:t> e </w:t>
      </w:r>
      <w:r w:rsidRPr="000459B3">
        <w:rPr>
          <w:b/>
          <w:bCs/>
        </w:rPr>
        <w:t>2024-12-31</w:t>
      </w:r>
      <w:r w:rsidRPr="000459B3">
        <w:t xml:space="preserve">, a acurácia e a precisão são mais </w:t>
      </w:r>
      <w:proofErr w:type="gramStart"/>
      <w:r w:rsidRPr="000459B3">
        <w:t>baixas</w:t>
      </w:r>
      <w:proofErr w:type="gramEnd"/>
      <w:r w:rsidRPr="000459B3">
        <w:t>, mas o recall ainda se mantém relativamente alto.</w:t>
      </w:r>
    </w:p>
    <w:p w14:paraId="355DB74E" w14:textId="77777777" w:rsidR="000459B3" w:rsidRDefault="000459B3" w:rsidP="000459B3">
      <w:pPr>
        <w:spacing w:line="360" w:lineRule="auto"/>
        <w:ind w:firstLine="709"/>
      </w:pPr>
      <w:r w:rsidRPr="000459B3">
        <w:t>Essas variações podem estar associadas a características específicas dos relatórios trimestrais das empresas naquele período, sazonalidades ou mudanças bruscas em determinados setores.</w:t>
      </w:r>
    </w:p>
    <w:p w14:paraId="0BF49682" w14:textId="77777777" w:rsidR="000459B3" w:rsidRDefault="000459B3" w:rsidP="000459B3">
      <w:pPr>
        <w:spacing w:line="360" w:lineRule="auto"/>
      </w:pPr>
    </w:p>
    <w:p w14:paraId="1F381BB2" w14:textId="49B0912D" w:rsidR="000459B3" w:rsidRPr="000459B3" w:rsidRDefault="000459B3" w:rsidP="000459B3">
      <w:pPr>
        <w:pStyle w:val="Ttulo2"/>
        <w:ind w:left="0" w:firstLine="0"/>
      </w:pPr>
      <w:bookmarkStart w:id="13" w:name="_Toc194592229"/>
      <w:r w:rsidRPr="000459B3">
        <w:t>4.</w:t>
      </w:r>
      <w:r w:rsidR="007F2AF1">
        <w:t>2</w:t>
      </w:r>
      <w:r w:rsidRPr="000459B3">
        <w:t xml:space="preserve"> Desempenho do método </w:t>
      </w:r>
      <w:proofErr w:type="spellStart"/>
      <w:r w:rsidRPr="000459B3">
        <w:t>Naive</w:t>
      </w:r>
      <w:bookmarkEnd w:id="13"/>
      <w:proofErr w:type="spellEnd"/>
    </w:p>
    <w:p w14:paraId="79752F7B" w14:textId="77777777" w:rsidR="000459B3" w:rsidRDefault="000459B3" w:rsidP="000459B3">
      <w:pPr>
        <w:spacing w:line="259" w:lineRule="auto"/>
        <w:rPr>
          <w:sz w:val="22"/>
        </w:rPr>
      </w:pPr>
    </w:p>
    <w:p w14:paraId="47303398" w14:textId="77777777" w:rsidR="000459B3" w:rsidRPr="000459B3" w:rsidRDefault="000459B3" w:rsidP="000459B3">
      <w:pPr>
        <w:spacing w:line="360" w:lineRule="auto"/>
        <w:jc w:val="both"/>
      </w:pPr>
    </w:p>
    <w:p w14:paraId="16CA31CF" w14:textId="41231A2C" w:rsidR="000459B3" w:rsidRDefault="000459B3" w:rsidP="000459B3">
      <w:pPr>
        <w:spacing w:line="360" w:lineRule="auto"/>
        <w:ind w:firstLine="709"/>
        <w:jc w:val="both"/>
        <w:rPr>
          <w:color w:val="000000"/>
        </w:rPr>
      </w:pPr>
      <w:r w:rsidRPr="000459B3">
        <w:rPr>
          <w:color w:val="000000"/>
        </w:rPr>
        <w:t xml:space="preserve">A Tabela 2 apresenta os resultados do método </w:t>
      </w:r>
      <w:proofErr w:type="spellStart"/>
      <w:r w:rsidRPr="000459B3">
        <w:rPr>
          <w:color w:val="000000"/>
        </w:rPr>
        <w:t>Naive</w:t>
      </w:r>
      <w:proofErr w:type="spellEnd"/>
      <w:r w:rsidRPr="000459B3">
        <w:rPr>
          <w:color w:val="000000"/>
        </w:rPr>
        <w:t>, que faz a projeção da tendência de acordo com o comportamento do lucro líquido no mesmo trimestre do ano anterior:</w:t>
      </w:r>
    </w:p>
    <w:p w14:paraId="486054DD" w14:textId="77777777" w:rsidR="0052351F" w:rsidRDefault="0052351F" w:rsidP="000459B3">
      <w:pPr>
        <w:spacing w:line="360" w:lineRule="auto"/>
        <w:ind w:firstLine="709"/>
        <w:jc w:val="both"/>
        <w:rPr>
          <w:color w:val="000000"/>
        </w:rPr>
      </w:pPr>
    </w:p>
    <w:p w14:paraId="1D64D681" w14:textId="1C6696B2" w:rsidR="002649BD" w:rsidRPr="000459B3" w:rsidRDefault="002649BD" w:rsidP="002649BD">
      <w:pPr>
        <w:spacing w:line="360" w:lineRule="auto"/>
        <w:ind w:firstLine="709"/>
        <w:jc w:val="center"/>
      </w:pPr>
      <w:r>
        <w:rPr>
          <w:color w:val="000000"/>
        </w:rPr>
        <w:t xml:space="preserve">Tabela 2 – </w:t>
      </w:r>
      <w:r w:rsidRPr="000459B3">
        <w:t xml:space="preserve">Método </w:t>
      </w:r>
      <w:proofErr w:type="spellStart"/>
      <w:r>
        <w:t>Naive</w:t>
      </w:r>
      <w:proofErr w:type="spellEnd"/>
      <w:r>
        <w:t xml:space="preserve"> na previsão do lucro líquido futuro</w:t>
      </w:r>
    </w:p>
    <w:p w14:paraId="32E11D07" w14:textId="77777777" w:rsidR="000459B3" w:rsidRDefault="000459B3" w:rsidP="000443C1">
      <w:pPr>
        <w:spacing w:line="360" w:lineRule="auto"/>
        <w:ind w:firstLine="709"/>
      </w:pPr>
    </w:p>
    <w:tbl>
      <w:tblPr>
        <w:tblW w:w="9395" w:type="dxa"/>
        <w:tblCellMar>
          <w:left w:w="0" w:type="dxa"/>
          <w:right w:w="0" w:type="dxa"/>
        </w:tblCellMar>
        <w:tblLook w:val="04A0" w:firstRow="1" w:lastRow="0" w:firstColumn="1" w:lastColumn="0" w:noHBand="0" w:noVBand="1"/>
      </w:tblPr>
      <w:tblGrid>
        <w:gridCol w:w="955"/>
        <w:gridCol w:w="938"/>
        <w:gridCol w:w="480"/>
        <w:gridCol w:w="414"/>
        <w:gridCol w:w="480"/>
        <w:gridCol w:w="480"/>
        <w:gridCol w:w="1747"/>
        <w:gridCol w:w="1054"/>
        <w:gridCol w:w="987"/>
        <w:gridCol w:w="780"/>
        <w:gridCol w:w="1080"/>
      </w:tblGrid>
      <w:tr w:rsidR="000459B3" w:rsidRPr="000459B3" w14:paraId="7ADB433B" w14:textId="77777777" w:rsidTr="005F33FF">
        <w:trPr>
          <w:trHeight w:val="254"/>
        </w:trPr>
        <w:tc>
          <w:tcPr>
            <w:tcW w:w="95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4EFF7AD5" w14:textId="77777777" w:rsidR="000459B3" w:rsidRPr="000459B3" w:rsidRDefault="000459B3" w:rsidP="000459B3">
            <w:r w:rsidRPr="000459B3">
              <w:rPr>
                <w:b/>
                <w:bCs/>
              </w:rPr>
              <w:t>Método</w:t>
            </w:r>
          </w:p>
        </w:tc>
        <w:tc>
          <w:tcPr>
            <w:tcW w:w="938"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3A1813D9" w14:textId="77777777" w:rsidR="000459B3" w:rsidRPr="000459B3" w:rsidRDefault="000459B3" w:rsidP="000459B3">
            <w:proofErr w:type="spellStart"/>
            <w:r w:rsidRPr="000459B3">
              <w:rPr>
                <w:b/>
                <w:bCs/>
              </w:rPr>
              <w:t>Periodo</w:t>
            </w:r>
            <w:proofErr w:type="spellEnd"/>
          </w:p>
        </w:tc>
        <w:tc>
          <w:tcPr>
            <w:tcW w:w="48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48BE36D6" w14:textId="77777777" w:rsidR="000459B3" w:rsidRPr="000459B3" w:rsidRDefault="000459B3" w:rsidP="000459B3">
            <w:r w:rsidRPr="000459B3">
              <w:rPr>
                <w:b/>
                <w:bCs/>
              </w:rPr>
              <w:t>TP</w:t>
            </w:r>
          </w:p>
        </w:tc>
        <w:tc>
          <w:tcPr>
            <w:tcW w:w="414"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444A82C3" w14:textId="77777777" w:rsidR="000459B3" w:rsidRPr="000459B3" w:rsidRDefault="000459B3" w:rsidP="000459B3">
            <w:r w:rsidRPr="000459B3">
              <w:rPr>
                <w:b/>
                <w:bCs/>
              </w:rPr>
              <w:t>FP</w:t>
            </w:r>
          </w:p>
        </w:tc>
        <w:tc>
          <w:tcPr>
            <w:tcW w:w="48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79875691" w14:textId="77777777" w:rsidR="000459B3" w:rsidRPr="000459B3" w:rsidRDefault="000459B3" w:rsidP="000459B3">
            <w:r w:rsidRPr="000459B3">
              <w:rPr>
                <w:b/>
                <w:bCs/>
              </w:rPr>
              <w:t>TN</w:t>
            </w:r>
          </w:p>
        </w:tc>
        <w:tc>
          <w:tcPr>
            <w:tcW w:w="48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5810EFD0" w14:textId="77777777" w:rsidR="000459B3" w:rsidRPr="000459B3" w:rsidRDefault="000459B3" w:rsidP="000459B3">
            <w:r w:rsidRPr="000459B3">
              <w:rPr>
                <w:b/>
                <w:bCs/>
              </w:rPr>
              <w:t>FN</w:t>
            </w:r>
          </w:p>
        </w:tc>
        <w:tc>
          <w:tcPr>
            <w:tcW w:w="1747"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1CCCD136" w14:textId="77777777" w:rsidR="000459B3" w:rsidRPr="000459B3" w:rsidRDefault="000459B3" w:rsidP="000459B3">
            <w:proofErr w:type="spellStart"/>
            <w:r w:rsidRPr="000459B3">
              <w:rPr>
                <w:b/>
                <w:bCs/>
              </w:rPr>
              <w:t>Total_Registros</w:t>
            </w:r>
            <w:proofErr w:type="spellEnd"/>
          </w:p>
        </w:tc>
        <w:tc>
          <w:tcPr>
            <w:tcW w:w="1054"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7882C581" w14:textId="77777777" w:rsidR="000459B3" w:rsidRPr="000459B3" w:rsidRDefault="000459B3" w:rsidP="000459B3">
            <w:proofErr w:type="spellStart"/>
            <w:r w:rsidRPr="000459B3">
              <w:rPr>
                <w:b/>
                <w:bCs/>
              </w:rPr>
              <w:t>Acuracia</w:t>
            </w:r>
            <w:proofErr w:type="spellEnd"/>
          </w:p>
        </w:tc>
        <w:tc>
          <w:tcPr>
            <w:tcW w:w="987"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4BDFCB3E" w14:textId="77777777" w:rsidR="000459B3" w:rsidRPr="000459B3" w:rsidRDefault="000459B3" w:rsidP="000459B3">
            <w:proofErr w:type="spellStart"/>
            <w:r w:rsidRPr="000459B3">
              <w:rPr>
                <w:b/>
                <w:bCs/>
              </w:rPr>
              <w:t>Precisao</w:t>
            </w:r>
            <w:proofErr w:type="spellEnd"/>
          </w:p>
        </w:tc>
        <w:tc>
          <w:tcPr>
            <w:tcW w:w="78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6384DA38" w14:textId="77777777" w:rsidR="000459B3" w:rsidRPr="000459B3" w:rsidRDefault="000459B3" w:rsidP="000459B3">
            <w:r w:rsidRPr="000459B3">
              <w:rPr>
                <w:b/>
                <w:bCs/>
              </w:rPr>
              <w:t>Recall</w:t>
            </w:r>
          </w:p>
        </w:tc>
        <w:tc>
          <w:tcPr>
            <w:tcW w:w="108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7AB4883B" w14:textId="77777777" w:rsidR="000459B3" w:rsidRPr="000459B3" w:rsidRDefault="000459B3" w:rsidP="000459B3">
            <w:r w:rsidRPr="000459B3">
              <w:rPr>
                <w:b/>
                <w:bCs/>
              </w:rPr>
              <w:t>F1_Score</w:t>
            </w:r>
          </w:p>
        </w:tc>
      </w:tr>
      <w:tr w:rsidR="005F33FF" w:rsidRPr="000459B3" w14:paraId="2F285653" w14:textId="77777777" w:rsidTr="005F33FF">
        <w:trPr>
          <w:trHeight w:val="277"/>
        </w:trPr>
        <w:tc>
          <w:tcPr>
            <w:tcW w:w="9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48AF1BC1" w14:textId="5897277C" w:rsidR="005F33FF" w:rsidRPr="000459B3" w:rsidRDefault="005F33FF" w:rsidP="005F33FF">
            <w:proofErr w:type="spellStart"/>
            <w:r w:rsidRPr="005F33FF">
              <w:rPr>
                <w:b/>
                <w:bCs/>
                <w:color w:val="000000"/>
              </w:rPr>
              <w:t>Naive</w:t>
            </w:r>
            <w:proofErr w:type="spellEnd"/>
          </w:p>
        </w:tc>
        <w:tc>
          <w:tcPr>
            <w:tcW w:w="938"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00C8958E" w14:textId="77777777" w:rsidR="005F33FF" w:rsidRPr="000459B3" w:rsidRDefault="005F33FF" w:rsidP="005F33FF"/>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1E2548" w14:textId="77777777" w:rsidR="005F33FF" w:rsidRPr="000459B3" w:rsidRDefault="005F33FF" w:rsidP="005F33FF"/>
        </w:tc>
        <w:tc>
          <w:tcPr>
            <w:tcW w:w="4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88F394" w14:textId="77777777" w:rsidR="005F33FF" w:rsidRPr="000459B3" w:rsidRDefault="005F33FF" w:rsidP="005F33FF"/>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F5517D" w14:textId="77777777" w:rsidR="005F33FF" w:rsidRPr="000459B3" w:rsidRDefault="005F33FF" w:rsidP="005F33FF"/>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440CF7" w14:textId="77777777" w:rsidR="005F33FF" w:rsidRPr="000459B3" w:rsidRDefault="005F33FF" w:rsidP="005F33FF"/>
        </w:tc>
        <w:tc>
          <w:tcPr>
            <w:tcW w:w="17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B2306D" w14:textId="77777777" w:rsidR="005F33FF" w:rsidRPr="000459B3" w:rsidRDefault="005F33FF" w:rsidP="005F33FF"/>
        </w:tc>
        <w:tc>
          <w:tcPr>
            <w:tcW w:w="1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F8B77D" w14:textId="77777777" w:rsidR="005F33FF" w:rsidRPr="000459B3" w:rsidRDefault="005F33FF" w:rsidP="005F33FF"/>
        </w:tc>
        <w:tc>
          <w:tcPr>
            <w:tcW w:w="9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A413D8" w14:textId="77777777" w:rsidR="005F33FF" w:rsidRPr="000459B3" w:rsidRDefault="005F33FF" w:rsidP="005F33FF"/>
        </w:tc>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9A32B7" w14:textId="77777777" w:rsidR="005F33FF" w:rsidRPr="000459B3" w:rsidRDefault="005F33FF" w:rsidP="005F33FF"/>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986A06" w14:textId="77777777" w:rsidR="005F33FF" w:rsidRPr="000459B3" w:rsidRDefault="005F33FF" w:rsidP="005F33FF"/>
        </w:tc>
      </w:tr>
      <w:tr w:rsidR="005F33FF" w:rsidRPr="000459B3" w14:paraId="4D07DCF7" w14:textId="77777777" w:rsidTr="005F33FF">
        <w:trPr>
          <w:trHeight w:val="254"/>
        </w:trPr>
        <w:tc>
          <w:tcPr>
            <w:tcW w:w="9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39848871" w14:textId="77777777" w:rsidR="005F33FF" w:rsidRPr="000459B3" w:rsidRDefault="005F33FF" w:rsidP="005F33FF"/>
        </w:tc>
        <w:tc>
          <w:tcPr>
            <w:tcW w:w="938"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2C732C2C" w14:textId="60A85CA7" w:rsidR="005F33FF" w:rsidRPr="000459B3" w:rsidRDefault="005F33FF" w:rsidP="005F33FF">
            <w:r w:rsidRPr="005F33FF">
              <w:rPr>
                <w:b/>
                <w:bCs/>
                <w:color w:val="000000"/>
              </w:rPr>
              <w:t>2023-12-31</w:t>
            </w:r>
          </w:p>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7254A5" w14:textId="6AFFABBE" w:rsidR="005F33FF" w:rsidRPr="000459B3" w:rsidRDefault="005F33FF" w:rsidP="005F33FF">
            <w:r w:rsidRPr="005F33FF">
              <w:rPr>
                <w:color w:val="000000"/>
              </w:rPr>
              <w:t>20</w:t>
            </w:r>
          </w:p>
        </w:tc>
        <w:tc>
          <w:tcPr>
            <w:tcW w:w="4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2634C8" w14:textId="765E65C0" w:rsidR="005F33FF" w:rsidRPr="000459B3" w:rsidRDefault="005F33FF" w:rsidP="005F33FF">
            <w:r w:rsidRPr="005F33FF">
              <w:rPr>
                <w:color w:val="000000"/>
              </w:rPr>
              <w:t>17</w:t>
            </w:r>
          </w:p>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C39347" w14:textId="2758CB41" w:rsidR="005F33FF" w:rsidRPr="000459B3" w:rsidRDefault="005F33FF" w:rsidP="005F33FF">
            <w:r w:rsidRPr="005F33FF">
              <w:rPr>
                <w:color w:val="000000"/>
              </w:rPr>
              <w:t>25</w:t>
            </w:r>
          </w:p>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F5F498" w14:textId="2FB0473A" w:rsidR="005F33FF" w:rsidRPr="000459B3" w:rsidRDefault="005F33FF" w:rsidP="005F33FF">
            <w:r w:rsidRPr="005F33FF">
              <w:rPr>
                <w:color w:val="000000"/>
              </w:rPr>
              <w:t>32</w:t>
            </w:r>
          </w:p>
        </w:tc>
        <w:tc>
          <w:tcPr>
            <w:tcW w:w="17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B530FA" w14:textId="2F9A2820" w:rsidR="005F33FF" w:rsidRPr="000459B3" w:rsidRDefault="005F33FF" w:rsidP="005F33FF">
            <w:r w:rsidRPr="005F33FF">
              <w:rPr>
                <w:color w:val="000000"/>
              </w:rPr>
              <w:t>94</w:t>
            </w:r>
          </w:p>
        </w:tc>
        <w:tc>
          <w:tcPr>
            <w:tcW w:w="1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24C4C7" w14:textId="13F93E0A" w:rsidR="005F33FF" w:rsidRPr="000459B3" w:rsidRDefault="005F33FF" w:rsidP="005F33FF">
            <w:r w:rsidRPr="005F33FF">
              <w:rPr>
                <w:color w:val="000000"/>
              </w:rPr>
              <w:t>0.4787</w:t>
            </w:r>
          </w:p>
        </w:tc>
        <w:tc>
          <w:tcPr>
            <w:tcW w:w="9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9DFDF5" w14:textId="7E5D17AD" w:rsidR="005F33FF" w:rsidRPr="000459B3" w:rsidRDefault="005F33FF" w:rsidP="005F33FF">
            <w:r w:rsidRPr="005F33FF">
              <w:rPr>
                <w:color w:val="000000"/>
              </w:rPr>
              <w:t>0.5405</w:t>
            </w:r>
          </w:p>
        </w:tc>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24568E" w14:textId="59928B1F" w:rsidR="005F33FF" w:rsidRPr="000459B3" w:rsidRDefault="005F33FF" w:rsidP="005F33FF">
            <w:r w:rsidRPr="005F33FF">
              <w:rPr>
                <w:color w:val="000000"/>
              </w:rPr>
              <w:t>0.3846</w:t>
            </w:r>
          </w:p>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19420D" w14:textId="43EE11DE" w:rsidR="005F33FF" w:rsidRPr="000459B3" w:rsidRDefault="005F33FF" w:rsidP="005F33FF">
            <w:r w:rsidRPr="005F33FF">
              <w:rPr>
                <w:color w:val="000000"/>
              </w:rPr>
              <w:t>0.4494</w:t>
            </w:r>
          </w:p>
        </w:tc>
      </w:tr>
      <w:tr w:rsidR="005F33FF" w:rsidRPr="000459B3" w14:paraId="312426E2" w14:textId="77777777" w:rsidTr="005F33FF">
        <w:trPr>
          <w:trHeight w:val="254"/>
        </w:trPr>
        <w:tc>
          <w:tcPr>
            <w:tcW w:w="9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41B4CD77" w14:textId="77777777" w:rsidR="005F33FF" w:rsidRPr="000459B3" w:rsidRDefault="005F33FF" w:rsidP="005F33FF"/>
        </w:tc>
        <w:tc>
          <w:tcPr>
            <w:tcW w:w="938"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503B30FC" w14:textId="18BEC3C0" w:rsidR="005F33FF" w:rsidRPr="000459B3" w:rsidRDefault="005F33FF" w:rsidP="005F33FF">
            <w:r w:rsidRPr="005F33FF">
              <w:rPr>
                <w:b/>
                <w:bCs/>
                <w:color w:val="000000"/>
              </w:rPr>
              <w:t>2024-03-31</w:t>
            </w:r>
          </w:p>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D31CD3" w14:textId="659207EF" w:rsidR="005F33FF" w:rsidRPr="000459B3" w:rsidRDefault="005F33FF" w:rsidP="005F33FF">
            <w:r w:rsidRPr="005F33FF">
              <w:rPr>
                <w:color w:val="000000"/>
              </w:rPr>
              <w:t>25</w:t>
            </w:r>
          </w:p>
        </w:tc>
        <w:tc>
          <w:tcPr>
            <w:tcW w:w="4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058600" w14:textId="7F5DCFD8" w:rsidR="005F33FF" w:rsidRPr="000459B3" w:rsidRDefault="005F33FF" w:rsidP="005F33FF">
            <w:r w:rsidRPr="005F33FF">
              <w:rPr>
                <w:color w:val="000000"/>
              </w:rPr>
              <w:t>12</w:t>
            </w:r>
          </w:p>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F25C16" w14:textId="6B7D54E1" w:rsidR="005F33FF" w:rsidRPr="000459B3" w:rsidRDefault="005F33FF" w:rsidP="005F33FF">
            <w:r w:rsidRPr="005F33FF">
              <w:rPr>
                <w:color w:val="000000"/>
              </w:rPr>
              <w:t>27</w:t>
            </w:r>
          </w:p>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C3604E" w14:textId="011211A5" w:rsidR="005F33FF" w:rsidRPr="000459B3" w:rsidRDefault="005F33FF" w:rsidP="005F33FF">
            <w:r w:rsidRPr="005F33FF">
              <w:rPr>
                <w:color w:val="000000"/>
              </w:rPr>
              <w:t>29</w:t>
            </w:r>
          </w:p>
        </w:tc>
        <w:tc>
          <w:tcPr>
            <w:tcW w:w="17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527688" w14:textId="64ADD4E0" w:rsidR="005F33FF" w:rsidRPr="000459B3" w:rsidRDefault="005F33FF" w:rsidP="005F33FF">
            <w:r w:rsidRPr="005F33FF">
              <w:rPr>
                <w:color w:val="000000"/>
              </w:rPr>
              <w:t>93</w:t>
            </w:r>
          </w:p>
        </w:tc>
        <w:tc>
          <w:tcPr>
            <w:tcW w:w="1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9A00AA" w14:textId="707268E8" w:rsidR="005F33FF" w:rsidRPr="000459B3" w:rsidRDefault="005F33FF" w:rsidP="005F33FF">
            <w:r w:rsidRPr="005F33FF">
              <w:rPr>
                <w:color w:val="000000"/>
              </w:rPr>
              <w:t>0.5591</w:t>
            </w:r>
          </w:p>
        </w:tc>
        <w:tc>
          <w:tcPr>
            <w:tcW w:w="9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1881FB" w14:textId="66E8F3EF" w:rsidR="005F33FF" w:rsidRPr="000459B3" w:rsidRDefault="005F33FF" w:rsidP="005F33FF">
            <w:r w:rsidRPr="005F33FF">
              <w:rPr>
                <w:color w:val="000000"/>
              </w:rPr>
              <w:t>0.6757</w:t>
            </w:r>
          </w:p>
        </w:tc>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3F365A" w14:textId="501216BB" w:rsidR="005F33FF" w:rsidRPr="000459B3" w:rsidRDefault="005F33FF" w:rsidP="005F33FF">
            <w:r w:rsidRPr="005F33FF">
              <w:rPr>
                <w:color w:val="000000"/>
              </w:rPr>
              <w:t>0.4630</w:t>
            </w:r>
          </w:p>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14EF11" w14:textId="2EF5EAED" w:rsidR="005F33FF" w:rsidRPr="000459B3" w:rsidRDefault="005F33FF" w:rsidP="005F33FF">
            <w:r w:rsidRPr="005F33FF">
              <w:rPr>
                <w:color w:val="000000"/>
              </w:rPr>
              <w:t>0.5495</w:t>
            </w:r>
          </w:p>
        </w:tc>
      </w:tr>
      <w:tr w:rsidR="005F33FF" w:rsidRPr="000459B3" w14:paraId="72A99F94" w14:textId="77777777" w:rsidTr="005F33FF">
        <w:trPr>
          <w:trHeight w:val="254"/>
        </w:trPr>
        <w:tc>
          <w:tcPr>
            <w:tcW w:w="9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52F47F6C" w14:textId="77777777" w:rsidR="005F33FF" w:rsidRPr="000459B3" w:rsidRDefault="005F33FF" w:rsidP="005F33FF"/>
        </w:tc>
        <w:tc>
          <w:tcPr>
            <w:tcW w:w="938"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08C92B7A" w14:textId="2C674BDC" w:rsidR="005F33FF" w:rsidRPr="000459B3" w:rsidRDefault="005F33FF" w:rsidP="005F33FF">
            <w:r w:rsidRPr="005F33FF">
              <w:rPr>
                <w:b/>
                <w:bCs/>
                <w:color w:val="000000"/>
              </w:rPr>
              <w:t>2024-06-30</w:t>
            </w:r>
          </w:p>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95A79C" w14:textId="5C3C9B49" w:rsidR="005F33FF" w:rsidRPr="000459B3" w:rsidRDefault="005F33FF" w:rsidP="005F33FF">
            <w:r w:rsidRPr="005F33FF">
              <w:rPr>
                <w:color w:val="000000"/>
              </w:rPr>
              <w:t>28</w:t>
            </w:r>
          </w:p>
        </w:tc>
        <w:tc>
          <w:tcPr>
            <w:tcW w:w="4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4BDFAB" w14:textId="4D630631" w:rsidR="005F33FF" w:rsidRPr="000459B3" w:rsidRDefault="005F33FF" w:rsidP="005F33FF">
            <w:r w:rsidRPr="005F33FF">
              <w:rPr>
                <w:color w:val="000000"/>
              </w:rPr>
              <w:t>12</w:t>
            </w:r>
          </w:p>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D06E59" w14:textId="49FD1C18" w:rsidR="005F33FF" w:rsidRPr="000459B3" w:rsidRDefault="005F33FF" w:rsidP="005F33FF">
            <w:r w:rsidRPr="005F33FF">
              <w:rPr>
                <w:color w:val="000000"/>
              </w:rPr>
              <w:t>25</w:t>
            </w:r>
          </w:p>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263442" w14:textId="39CDACDD" w:rsidR="005F33FF" w:rsidRPr="000459B3" w:rsidRDefault="005F33FF" w:rsidP="005F33FF">
            <w:r w:rsidRPr="005F33FF">
              <w:rPr>
                <w:color w:val="000000"/>
              </w:rPr>
              <w:t>28</w:t>
            </w:r>
          </w:p>
        </w:tc>
        <w:tc>
          <w:tcPr>
            <w:tcW w:w="17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AF9F58" w14:textId="5C128109" w:rsidR="005F33FF" w:rsidRPr="000459B3" w:rsidRDefault="005F33FF" w:rsidP="005F33FF">
            <w:r w:rsidRPr="005F33FF">
              <w:rPr>
                <w:color w:val="000000"/>
              </w:rPr>
              <w:t>93</w:t>
            </w:r>
          </w:p>
        </w:tc>
        <w:tc>
          <w:tcPr>
            <w:tcW w:w="1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80C4DE" w14:textId="420220A2" w:rsidR="005F33FF" w:rsidRPr="000459B3" w:rsidRDefault="005F33FF" w:rsidP="005F33FF">
            <w:r w:rsidRPr="005F33FF">
              <w:rPr>
                <w:color w:val="000000"/>
              </w:rPr>
              <w:t>0.5699</w:t>
            </w:r>
          </w:p>
        </w:tc>
        <w:tc>
          <w:tcPr>
            <w:tcW w:w="9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0D4094" w14:textId="3C847C71" w:rsidR="005F33FF" w:rsidRPr="000459B3" w:rsidRDefault="005F33FF" w:rsidP="005F33FF">
            <w:r w:rsidRPr="005F33FF">
              <w:rPr>
                <w:color w:val="000000"/>
              </w:rPr>
              <w:t>0.7000</w:t>
            </w:r>
          </w:p>
        </w:tc>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7355FF" w14:textId="39DFEDE1" w:rsidR="005F33FF" w:rsidRPr="000459B3" w:rsidRDefault="005F33FF" w:rsidP="005F33FF">
            <w:r w:rsidRPr="005F33FF">
              <w:rPr>
                <w:color w:val="000000"/>
              </w:rPr>
              <w:t>0.5000</w:t>
            </w:r>
          </w:p>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B6BE26" w14:textId="779AA140" w:rsidR="005F33FF" w:rsidRPr="000459B3" w:rsidRDefault="005F33FF" w:rsidP="005F33FF">
            <w:r w:rsidRPr="005F33FF">
              <w:rPr>
                <w:color w:val="000000"/>
              </w:rPr>
              <w:t>0.5833</w:t>
            </w:r>
          </w:p>
        </w:tc>
      </w:tr>
      <w:tr w:rsidR="005F33FF" w:rsidRPr="000459B3" w14:paraId="0243CE7F" w14:textId="77777777" w:rsidTr="005F33FF">
        <w:trPr>
          <w:trHeight w:val="254"/>
        </w:trPr>
        <w:tc>
          <w:tcPr>
            <w:tcW w:w="9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705BE0A2" w14:textId="77777777" w:rsidR="005F33FF" w:rsidRPr="000459B3" w:rsidRDefault="005F33FF" w:rsidP="005F33FF"/>
        </w:tc>
        <w:tc>
          <w:tcPr>
            <w:tcW w:w="938"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0FC58809" w14:textId="79A41EAF" w:rsidR="005F33FF" w:rsidRPr="000459B3" w:rsidRDefault="005F33FF" w:rsidP="005F33FF">
            <w:r w:rsidRPr="005F33FF">
              <w:rPr>
                <w:b/>
                <w:bCs/>
                <w:color w:val="000000"/>
              </w:rPr>
              <w:t>2024-09-30</w:t>
            </w:r>
          </w:p>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008B60" w14:textId="5569C601" w:rsidR="005F33FF" w:rsidRPr="000459B3" w:rsidRDefault="005F33FF" w:rsidP="005F33FF">
            <w:r w:rsidRPr="005F33FF">
              <w:rPr>
                <w:color w:val="000000"/>
              </w:rPr>
              <w:t>30</w:t>
            </w:r>
          </w:p>
        </w:tc>
        <w:tc>
          <w:tcPr>
            <w:tcW w:w="4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EFAE01" w14:textId="3EC2EA28" w:rsidR="005F33FF" w:rsidRPr="000459B3" w:rsidRDefault="005F33FF" w:rsidP="005F33FF">
            <w:r w:rsidRPr="005F33FF">
              <w:rPr>
                <w:color w:val="000000"/>
              </w:rPr>
              <w:t>16</w:t>
            </w:r>
          </w:p>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F324D3" w14:textId="00D7DFCD" w:rsidR="005F33FF" w:rsidRPr="000459B3" w:rsidRDefault="005F33FF" w:rsidP="005F33FF">
            <w:r w:rsidRPr="005F33FF">
              <w:rPr>
                <w:color w:val="000000"/>
              </w:rPr>
              <w:t>18</w:t>
            </w:r>
          </w:p>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D85892" w14:textId="540EA810" w:rsidR="005F33FF" w:rsidRPr="000459B3" w:rsidRDefault="005F33FF" w:rsidP="005F33FF">
            <w:r w:rsidRPr="005F33FF">
              <w:rPr>
                <w:color w:val="000000"/>
              </w:rPr>
              <w:t>29</w:t>
            </w:r>
          </w:p>
        </w:tc>
        <w:tc>
          <w:tcPr>
            <w:tcW w:w="17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CA8912" w14:textId="605F37A0" w:rsidR="005F33FF" w:rsidRPr="000459B3" w:rsidRDefault="005F33FF" w:rsidP="005F33FF">
            <w:r w:rsidRPr="005F33FF">
              <w:rPr>
                <w:color w:val="000000"/>
              </w:rPr>
              <w:t>93</w:t>
            </w:r>
          </w:p>
        </w:tc>
        <w:tc>
          <w:tcPr>
            <w:tcW w:w="1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F94712" w14:textId="7229FE65" w:rsidR="005F33FF" w:rsidRPr="000459B3" w:rsidRDefault="005F33FF" w:rsidP="005F33FF">
            <w:r w:rsidRPr="005F33FF">
              <w:rPr>
                <w:color w:val="000000"/>
              </w:rPr>
              <w:t>0.5161</w:t>
            </w:r>
          </w:p>
        </w:tc>
        <w:tc>
          <w:tcPr>
            <w:tcW w:w="9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2889B2" w14:textId="44AD4510" w:rsidR="005F33FF" w:rsidRPr="000459B3" w:rsidRDefault="005F33FF" w:rsidP="005F33FF">
            <w:r w:rsidRPr="005F33FF">
              <w:rPr>
                <w:color w:val="000000"/>
              </w:rPr>
              <w:t>0.6522</w:t>
            </w:r>
          </w:p>
        </w:tc>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372F2E" w14:textId="05455102" w:rsidR="005F33FF" w:rsidRPr="000459B3" w:rsidRDefault="005F33FF" w:rsidP="005F33FF">
            <w:r w:rsidRPr="005F33FF">
              <w:rPr>
                <w:color w:val="000000"/>
              </w:rPr>
              <w:t>0.5085</w:t>
            </w:r>
          </w:p>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19D66D" w14:textId="1D184947" w:rsidR="005F33FF" w:rsidRPr="000459B3" w:rsidRDefault="005F33FF" w:rsidP="005F33FF">
            <w:r w:rsidRPr="005F33FF">
              <w:rPr>
                <w:color w:val="000000"/>
              </w:rPr>
              <w:t>0.5714</w:t>
            </w:r>
          </w:p>
        </w:tc>
      </w:tr>
      <w:tr w:rsidR="005F33FF" w:rsidRPr="000459B3" w14:paraId="6608BD07" w14:textId="77777777" w:rsidTr="005F33FF">
        <w:trPr>
          <w:trHeight w:val="254"/>
        </w:trPr>
        <w:tc>
          <w:tcPr>
            <w:tcW w:w="9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7E5588C4" w14:textId="77777777" w:rsidR="005F33FF" w:rsidRPr="000459B3" w:rsidRDefault="005F33FF" w:rsidP="005F33FF"/>
        </w:tc>
        <w:tc>
          <w:tcPr>
            <w:tcW w:w="938"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326CD4F9" w14:textId="2AF2C0E1" w:rsidR="005F33FF" w:rsidRPr="000459B3" w:rsidRDefault="005F33FF" w:rsidP="005F33FF">
            <w:r w:rsidRPr="005F33FF">
              <w:rPr>
                <w:b/>
                <w:bCs/>
                <w:color w:val="000000"/>
              </w:rPr>
              <w:t>2024-12-31</w:t>
            </w:r>
          </w:p>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331220" w14:textId="146B1243" w:rsidR="005F33FF" w:rsidRPr="000459B3" w:rsidRDefault="005F33FF" w:rsidP="005F33FF">
            <w:r w:rsidRPr="005F33FF">
              <w:rPr>
                <w:color w:val="000000"/>
              </w:rPr>
              <w:t>34</w:t>
            </w:r>
          </w:p>
        </w:tc>
        <w:tc>
          <w:tcPr>
            <w:tcW w:w="4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4B1BE9" w14:textId="53D25A5E" w:rsidR="005F33FF" w:rsidRPr="000459B3" w:rsidRDefault="005F33FF" w:rsidP="005F33FF">
            <w:r w:rsidRPr="005F33FF">
              <w:rPr>
                <w:color w:val="000000"/>
              </w:rPr>
              <w:t>15</w:t>
            </w:r>
          </w:p>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7A7BA9" w14:textId="34B4683B" w:rsidR="005F33FF" w:rsidRPr="000459B3" w:rsidRDefault="005F33FF" w:rsidP="005F33FF">
            <w:r w:rsidRPr="005F33FF">
              <w:rPr>
                <w:color w:val="000000"/>
              </w:rPr>
              <w:t>20</w:t>
            </w:r>
          </w:p>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E6B6D9" w14:textId="54982502" w:rsidR="005F33FF" w:rsidRPr="000459B3" w:rsidRDefault="005F33FF" w:rsidP="005F33FF">
            <w:r w:rsidRPr="005F33FF">
              <w:rPr>
                <w:color w:val="000000"/>
              </w:rPr>
              <w:t>24</w:t>
            </w:r>
          </w:p>
        </w:tc>
        <w:tc>
          <w:tcPr>
            <w:tcW w:w="17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015C02" w14:textId="3AD5188C" w:rsidR="005F33FF" w:rsidRPr="000459B3" w:rsidRDefault="005F33FF" w:rsidP="005F33FF">
            <w:r w:rsidRPr="005F33FF">
              <w:rPr>
                <w:color w:val="000000"/>
              </w:rPr>
              <w:t>93</w:t>
            </w:r>
          </w:p>
        </w:tc>
        <w:tc>
          <w:tcPr>
            <w:tcW w:w="1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335C8C" w14:textId="6989AE55" w:rsidR="005F33FF" w:rsidRPr="000459B3" w:rsidRDefault="005F33FF" w:rsidP="005F33FF">
            <w:r w:rsidRPr="005F33FF">
              <w:rPr>
                <w:color w:val="000000"/>
              </w:rPr>
              <w:t>0.5806</w:t>
            </w:r>
          </w:p>
        </w:tc>
        <w:tc>
          <w:tcPr>
            <w:tcW w:w="9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721398" w14:textId="18804FE4" w:rsidR="005F33FF" w:rsidRPr="000459B3" w:rsidRDefault="005F33FF" w:rsidP="005F33FF">
            <w:r w:rsidRPr="005F33FF">
              <w:rPr>
                <w:color w:val="000000"/>
              </w:rPr>
              <w:t>0.6939</w:t>
            </w:r>
          </w:p>
        </w:tc>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66728D" w14:textId="5B93C76F" w:rsidR="005F33FF" w:rsidRPr="000459B3" w:rsidRDefault="005F33FF" w:rsidP="005F33FF">
            <w:r w:rsidRPr="005F33FF">
              <w:rPr>
                <w:color w:val="000000"/>
              </w:rPr>
              <w:t>0.5862</w:t>
            </w:r>
          </w:p>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457E3D" w14:textId="4FCFE02B" w:rsidR="005F33FF" w:rsidRPr="000459B3" w:rsidRDefault="005F33FF" w:rsidP="005F33FF">
            <w:r w:rsidRPr="005F33FF">
              <w:rPr>
                <w:color w:val="000000"/>
              </w:rPr>
              <w:t>0.6355</w:t>
            </w:r>
          </w:p>
        </w:tc>
      </w:tr>
      <w:tr w:rsidR="005F33FF" w:rsidRPr="000459B3" w14:paraId="1E2FADD3" w14:textId="77777777" w:rsidTr="005F33FF">
        <w:trPr>
          <w:trHeight w:val="254"/>
        </w:trPr>
        <w:tc>
          <w:tcPr>
            <w:tcW w:w="9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7848B1B2" w14:textId="77777777" w:rsidR="005F33FF" w:rsidRPr="000459B3" w:rsidRDefault="005F33FF" w:rsidP="005F33FF"/>
        </w:tc>
        <w:tc>
          <w:tcPr>
            <w:tcW w:w="938"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17D5F90C" w14:textId="13F8BB97" w:rsidR="005F33FF" w:rsidRPr="000459B3" w:rsidRDefault="005F33FF" w:rsidP="005F33FF">
            <w:r w:rsidRPr="005F33FF">
              <w:rPr>
                <w:b/>
                <w:bCs/>
                <w:color w:val="000000"/>
              </w:rPr>
              <w:t>Total Geral</w:t>
            </w:r>
          </w:p>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BFECBF" w14:textId="0B78DD47" w:rsidR="005F33FF" w:rsidRPr="000459B3" w:rsidRDefault="005F33FF" w:rsidP="005F33FF">
            <w:r w:rsidRPr="005F33FF">
              <w:rPr>
                <w:color w:val="000000"/>
              </w:rPr>
              <w:t>137</w:t>
            </w:r>
          </w:p>
        </w:tc>
        <w:tc>
          <w:tcPr>
            <w:tcW w:w="4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EA1562" w14:textId="0A31013E" w:rsidR="005F33FF" w:rsidRPr="000459B3" w:rsidRDefault="005F33FF" w:rsidP="005F33FF">
            <w:r w:rsidRPr="005F33FF">
              <w:rPr>
                <w:color w:val="000000"/>
              </w:rPr>
              <w:t>72</w:t>
            </w:r>
          </w:p>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431AB5" w14:textId="219070B6" w:rsidR="005F33FF" w:rsidRPr="000459B3" w:rsidRDefault="005F33FF" w:rsidP="005F33FF">
            <w:r w:rsidRPr="005F33FF">
              <w:rPr>
                <w:color w:val="000000"/>
              </w:rPr>
              <w:t>115</w:t>
            </w:r>
          </w:p>
        </w:tc>
        <w:tc>
          <w:tcPr>
            <w:tcW w:w="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645DE1" w14:textId="767D2974" w:rsidR="005F33FF" w:rsidRPr="000459B3" w:rsidRDefault="005F33FF" w:rsidP="005F33FF">
            <w:r w:rsidRPr="005F33FF">
              <w:rPr>
                <w:color w:val="000000"/>
              </w:rPr>
              <w:t>142</w:t>
            </w:r>
          </w:p>
        </w:tc>
        <w:tc>
          <w:tcPr>
            <w:tcW w:w="17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726F8F" w14:textId="7E50CBAD" w:rsidR="005F33FF" w:rsidRPr="000459B3" w:rsidRDefault="005F33FF" w:rsidP="005F33FF">
            <w:r w:rsidRPr="005F33FF">
              <w:rPr>
                <w:color w:val="000000"/>
              </w:rPr>
              <w:t>466</w:t>
            </w:r>
          </w:p>
        </w:tc>
        <w:tc>
          <w:tcPr>
            <w:tcW w:w="1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2E8D3A" w14:textId="09784BFC" w:rsidR="005F33FF" w:rsidRPr="000459B3" w:rsidRDefault="005F33FF" w:rsidP="005F33FF">
            <w:r w:rsidRPr="005F33FF">
              <w:rPr>
                <w:color w:val="000000"/>
              </w:rPr>
              <w:t>0.5408</w:t>
            </w:r>
          </w:p>
        </w:tc>
        <w:tc>
          <w:tcPr>
            <w:tcW w:w="9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ECC077" w14:textId="2F7143BF" w:rsidR="005F33FF" w:rsidRPr="000459B3" w:rsidRDefault="005F33FF" w:rsidP="005F33FF">
            <w:r w:rsidRPr="005F33FF">
              <w:rPr>
                <w:color w:val="000000"/>
              </w:rPr>
              <w:t>0.6555</w:t>
            </w:r>
          </w:p>
        </w:tc>
        <w:tc>
          <w:tcPr>
            <w:tcW w:w="7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A05944" w14:textId="7C36561A" w:rsidR="005F33FF" w:rsidRPr="000459B3" w:rsidRDefault="005F33FF" w:rsidP="005F33FF">
            <w:r w:rsidRPr="005F33FF">
              <w:rPr>
                <w:color w:val="000000"/>
              </w:rPr>
              <w:t>0.4910</w:t>
            </w:r>
          </w:p>
        </w:t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8D5CD8" w14:textId="3F2C7789" w:rsidR="005F33FF" w:rsidRPr="000459B3" w:rsidRDefault="005F33FF" w:rsidP="005F33FF">
            <w:r w:rsidRPr="005F33FF">
              <w:rPr>
                <w:color w:val="000000"/>
              </w:rPr>
              <w:t>0.5615</w:t>
            </w:r>
          </w:p>
        </w:tc>
      </w:tr>
    </w:tbl>
    <w:p w14:paraId="32392FE1" w14:textId="77777777" w:rsidR="00F2362C" w:rsidRDefault="00F2362C">
      <w:pPr>
        <w:spacing w:line="259" w:lineRule="auto"/>
      </w:pPr>
    </w:p>
    <w:p w14:paraId="19D02C0F" w14:textId="77777777" w:rsidR="000459B3" w:rsidRPr="000459B3" w:rsidRDefault="000459B3" w:rsidP="000459B3">
      <w:pPr>
        <w:spacing w:line="360" w:lineRule="auto"/>
        <w:ind w:firstLine="709"/>
        <w:jc w:val="both"/>
      </w:pPr>
      <w:r w:rsidRPr="000459B3">
        <w:lastRenderedPageBreak/>
        <w:t>Os resultados mostram que:</w:t>
      </w:r>
    </w:p>
    <w:p w14:paraId="623706C0" w14:textId="59349174" w:rsidR="000459B3" w:rsidRPr="000459B3" w:rsidRDefault="000459B3" w:rsidP="000459B3">
      <w:pPr>
        <w:pStyle w:val="PargrafodaLista"/>
        <w:numPr>
          <w:ilvl w:val="0"/>
          <w:numId w:val="13"/>
        </w:numPr>
        <w:spacing w:after="0" w:line="360" w:lineRule="auto"/>
        <w:rPr>
          <w:kern w:val="0"/>
          <w:lang w:val="pt-BR" w:eastAsia="pt-BR"/>
          <w14:ligatures w14:val="none"/>
        </w:rPr>
      </w:pPr>
      <w:r w:rsidRPr="000459B3">
        <w:rPr>
          <w:kern w:val="0"/>
          <w:lang w:val="pt-BR" w:eastAsia="pt-BR"/>
          <w14:ligatures w14:val="none"/>
        </w:rPr>
        <w:t>A </w:t>
      </w:r>
      <w:r w:rsidRPr="000459B3">
        <w:rPr>
          <w:b/>
          <w:bCs/>
          <w:kern w:val="0"/>
          <w:lang w:val="pt-BR" w:eastAsia="pt-BR"/>
          <w14:ligatures w14:val="none"/>
        </w:rPr>
        <w:t>acurácia</w:t>
      </w:r>
      <w:r w:rsidRPr="000459B3">
        <w:rPr>
          <w:kern w:val="0"/>
          <w:lang w:val="pt-BR" w:eastAsia="pt-BR"/>
          <w14:ligatures w14:val="none"/>
        </w:rPr>
        <w:t xml:space="preserve"> global do método </w:t>
      </w:r>
      <w:proofErr w:type="spellStart"/>
      <w:r w:rsidRPr="000459B3">
        <w:rPr>
          <w:kern w:val="0"/>
          <w:lang w:val="pt-BR" w:eastAsia="pt-BR"/>
          <w14:ligatures w14:val="none"/>
        </w:rPr>
        <w:t>Naive</w:t>
      </w:r>
      <w:proofErr w:type="spellEnd"/>
      <w:r w:rsidRPr="000459B3">
        <w:rPr>
          <w:kern w:val="0"/>
          <w:lang w:val="pt-BR" w:eastAsia="pt-BR"/>
          <w14:ligatures w14:val="none"/>
        </w:rPr>
        <w:t xml:space="preserve"> foi de cerca de </w:t>
      </w:r>
      <w:r w:rsidRPr="000459B3">
        <w:rPr>
          <w:b/>
          <w:bCs/>
          <w:kern w:val="0"/>
          <w:lang w:val="pt-BR" w:eastAsia="pt-BR"/>
          <w14:ligatures w14:val="none"/>
        </w:rPr>
        <w:t>54,0</w:t>
      </w:r>
      <w:r w:rsidR="00F24848">
        <w:rPr>
          <w:b/>
          <w:bCs/>
          <w:kern w:val="0"/>
          <w:lang w:val="pt-BR" w:eastAsia="pt-BR"/>
          <w14:ligatures w14:val="none"/>
        </w:rPr>
        <w:t>8</w:t>
      </w:r>
      <w:r w:rsidRPr="000459B3">
        <w:rPr>
          <w:b/>
          <w:bCs/>
          <w:kern w:val="0"/>
          <w:lang w:val="pt-BR" w:eastAsia="pt-BR"/>
          <w14:ligatures w14:val="none"/>
        </w:rPr>
        <w:t>%</w:t>
      </w:r>
      <w:r w:rsidRPr="000459B3">
        <w:rPr>
          <w:kern w:val="0"/>
          <w:lang w:val="pt-BR" w:eastAsia="pt-BR"/>
          <w14:ligatures w14:val="none"/>
        </w:rPr>
        <w:t>, ligeiramente inferior ao método O3-mini-high.</w:t>
      </w:r>
    </w:p>
    <w:p w14:paraId="740AE2A4" w14:textId="36B73428" w:rsidR="000459B3" w:rsidRPr="000459B3" w:rsidRDefault="000459B3" w:rsidP="000459B3">
      <w:pPr>
        <w:pStyle w:val="PargrafodaLista"/>
        <w:numPr>
          <w:ilvl w:val="0"/>
          <w:numId w:val="13"/>
        </w:numPr>
        <w:spacing w:after="0" w:line="360" w:lineRule="auto"/>
        <w:rPr>
          <w:kern w:val="0"/>
          <w:lang w:val="pt-BR" w:eastAsia="pt-BR"/>
          <w14:ligatures w14:val="none"/>
        </w:rPr>
      </w:pPr>
      <w:r w:rsidRPr="000459B3">
        <w:rPr>
          <w:kern w:val="0"/>
          <w:lang w:val="pt-BR" w:eastAsia="pt-BR"/>
          <w14:ligatures w14:val="none"/>
        </w:rPr>
        <w:t>A </w:t>
      </w:r>
      <w:r w:rsidRPr="000459B3">
        <w:rPr>
          <w:b/>
          <w:bCs/>
          <w:kern w:val="0"/>
          <w:lang w:val="pt-BR" w:eastAsia="pt-BR"/>
          <w14:ligatures w14:val="none"/>
        </w:rPr>
        <w:t>precisão</w:t>
      </w:r>
      <w:r w:rsidRPr="000459B3">
        <w:rPr>
          <w:kern w:val="0"/>
          <w:lang w:val="pt-BR" w:eastAsia="pt-BR"/>
          <w14:ligatures w14:val="none"/>
        </w:rPr>
        <w:t> de </w:t>
      </w:r>
      <w:r w:rsidRPr="000459B3">
        <w:rPr>
          <w:b/>
          <w:bCs/>
          <w:kern w:val="0"/>
          <w:lang w:val="pt-BR" w:eastAsia="pt-BR"/>
          <w14:ligatures w14:val="none"/>
        </w:rPr>
        <w:t>6</w:t>
      </w:r>
      <w:r w:rsidR="00F24848">
        <w:rPr>
          <w:b/>
          <w:bCs/>
          <w:kern w:val="0"/>
          <w:lang w:val="pt-BR" w:eastAsia="pt-BR"/>
          <w14:ligatures w14:val="none"/>
        </w:rPr>
        <w:t>5</w:t>
      </w:r>
      <w:r w:rsidRPr="000459B3">
        <w:rPr>
          <w:b/>
          <w:bCs/>
          <w:kern w:val="0"/>
          <w:lang w:val="pt-BR" w:eastAsia="pt-BR"/>
          <w14:ligatures w14:val="none"/>
        </w:rPr>
        <w:t>,</w:t>
      </w:r>
      <w:r w:rsidR="00F24848">
        <w:rPr>
          <w:b/>
          <w:bCs/>
          <w:kern w:val="0"/>
          <w:lang w:val="pt-BR" w:eastAsia="pt-BR"/>
          <w14:ligatures w14:val="none"/>
        </w:rPr>
        <w:t>55</w:t>
      </w:r>
      <w:r w:rsidRPr="000459B3">
        <w:rPr>
          <w:b/>
          <w:bCs/>
          <w:kern w:val="0"/>
          <w:lang w:val="pt-BR" w:eastAsia="pt-BR"/>
          <w14:ligatures w14:val="none"/>
        </w:rPr>
        <w:t>%</w:t>
      </w:r>
      <w:r w:rsidRPr="000459B3">
        <w:rPr>
          <w:kern w:val="0"/>
          <w:lang w:val="pt-BR" w:eastAsia="pt-BR"/>
          <w14:ligatures w14:val="none"/>
        </w:rPr>
        <w:t> é curiosamente superior à do modelo O3-mini-high (6</w:t>
      </w:r>
      <w:r w:rsidR="00F24848">
        <w:rPr>
          <w:kern w:val="0"/>
          <w:lang w:val="pt-BR" w:eastAsia="pt-BR"/>
          <w14:ligatures w14:val="none"/>
        </w:rPr>
        <w:t>4</w:t>
      </w:r>
      <w:r w:rsidRPr="000459B3">
        <w:rPr>
          <w:kern w:val="0"/>
          <w:lang w:val="pt-BR" w:eastAsia="pt-BR"/>
          <w14:ligatures w14:val="none"/>
        </w:rPr>
        <w:t>,</w:t>
      </w:r>
      <w:r w:rsidR="00F24848">
        <w:rPr>
          <w:kern w:val="0"/>
          <w:lang w:val="pt-BR" w:eastAsia="pt-BR"/>
          <w14:ligatures w14:val="none"/>
        </w:rPr>
        <w:t>63</w:t>
      </w:r>
      <w:r w:rsidRPr="000459B3">
        <w:rPr>
          <w:kern w:val="0"/>
          <w:lang w:val="pt-BR" w:eastAsia="pt-BR"/>
          <w14:ligatures w14:val="none"/>
        </w:rPr>
        <w:t xml:space="preserve">%). Isso significa que, quando o </w:t>
      </w:r>
      <w:proofErr w:type="spellStart"/>
      <w:r w:rsidRPr="000459B3">
        <w:rPr>
          <w:kern w:val="0"/>
          <w:lang w:val="pt-BR" w:eastAsia="pt-BR"/>
          <w14:ligatures w14:val="none"/>
        </w:rPr>
        <w:t>Naive</w:t>
      </w:r>
      <w:proofErr w:type="spellEnd"/>
      <w:r w:rsidRPr="000459B3">
        <w:rPr>
          <w:kern w:val="0"/>
          <w:lang w:val="pt-BR" w:eastAsia="pt-BR"/>
          <w14:ligatures w14:val="none"/>
        </w:rPr>
        <w:t xml:space="preserve"> prevê “alta”, ele acerta em uma proporção maior dos casos de “alta” do que o O3-mini-high. Porém, isso vem ao custo de um </w:t>
      </w:r>
      <w:r w:rsidRPr="000459B3">
        <w:rPr>
          <w:b/>
          <w:bCs/>
          <w:kern w:val="0"/>
          <w:lang w:val="pt-BR" w:eastAsia="pt-BR"/>
          <w14:ligatures w14:val="none"/>
        </w:rPr>
        <w:t>recall</w:t>
      </w:r>
      <w:r w:rsidRPr="000459B3">
        <w:rPr>
          <w:kern w:val="0"/>
          <w:lang w:val="pt-BR" w:eastAsia="pt-BR"/>
          <w14:ligatures w14:val="none"/>
        </w:rPr>
        <w:t> menor, de </w:t>
      </w:r>
      <w:r w:rsidRPr="000459B3">
        <w:rPr>
          <w:b/>
          <w:bCs/>
          <w:kern w:val="0"/>
          <w:lang w:val="pt-BR" w:eastAsia="pt-BR"/>
          <w14:ligatures w14:val="none"/>
        </w:rPr>
        <w:t>49,39%</w:t>
      </w:r>
      <w:r w:rsidRPr="000459B3">
        <w:rPr>
          <w:kern w:val="0"/>
          <w:lang w:val="pt-BR" w:eastAsia="pt-BR"/>
          <w14:ligatures w14:val="none"/>
        </w:rPr>
        <w:t xml:space="preserve">, indicando que o </w:t>
      </w:r>
      <w:proofErr w:type="spellStart"/>
      <w:r w:rsidRPr="000459B3">
        <w:rPr>
          <w:kern w:val="0"/>
          <w:lang w:val="pt-BR" w:eastAsia="pt-BR"/>
          <w14:ligatures w14:val="none"/>
        </w:rPr>
        <w:t>Naive</w:t>
      </w:r>
      <w:proofErr w:type="spellEnd"/>
      <w:r w:rsidRPr="000459B3">
        <w:rPr>
          <w:kern w:val="0"/>
          <w:lang w:val="pt-BR" w:eastAsia="pt-BR"/>
          <w14:ligatures w14:val="none"/>
        </w:rPr>
        <w:t xml:space="preserve"> não consegue detectar muitas das altas reais.</w:t>
      </w:r>
    </w:p>
    <w:p w14:paraId="60A5A72F" w14:textId="0D06E9C9" w:rsidR="000459B3" w:rsidRPr="000459B3" w:rsidRDefault="000459B3" w:rsidP="000459B3">
      <w:pPr>
        <w:pStyle w:val="PargrafodaLista"/>
        <w:numPr>
          <w:ilvl w:val="0"/>
          <w:numId w:val="13"/>
        </w:numPr>
        <w:spacing w:after="0" w:line="360" w:lineRule="auto"/>
        <w:rPr>
          <w:kern w:val="0"/>
          <w:lang w:val="pt-BR" w:eastAsia="pt-BR"/>
          <w14:ligatures w14:val="none"/>
        </w:rPr>
      </w:pPr>
      <w:r w:rsidRPr="000459B3">
        <w:rPr>
          <w:kern w:val="0"/>
          <w:lang w:val="pt-BR" w:eastAsia="pt-BR"/>
          <w14:ligatures w14:val="none"/>
        </w:rPr>
        <w:t>O </w:t>
      </w:r>
      <w:r w:rsidRPr="000459B3">
        <w:rPr>
          <w:b/>
          <w:bCs/>
          <w:kern w:val="0"/>
          <w:lang w:val="pt-BR" w:eastAsia="pt-BR"/>
          <w14:ligatures w14:val="none"/>
        </w:rPr>
        <w:t>F1-Score</w:t>
      </w:r>
      <w:r w:rsidRPr="000459B3">
        <w:rPr>
          <w:kern w:val="0"/>
          <w:lang w:val="pt-BR" w:eastAsia="pt-BR"/>
          <w14:ligatures w14:val="none"/>
        </w:rPr>
        <w:t> de </w:t>
      </w:r>
      <w:r w:rsidRPr="000459B3">
        <w:rPr>
          <w:b/>
          <w:bCs/>
          <w:kern w:val="0"/>
          <w:lang w:val="pt-BR" w:eastAsia="pt-BR"/>
          <w14:ligatures w14:val="none"/>
        </w:rPr>
        <w:t>5</w:t>
      </w:r>
      <w:r w:rsidR="00F24848">
        <w:rPr>
          <w:b/>
          <w:bCs/>
          <w:kern w:val="0"/>
          <w:lang w:val="pt-BR" w:eastAsia="pt-BR"/>
          <w14:ligatures w14:val="none"/>
        </w:rPr>
        <w:t>6</w:t>
      </w:r>
      <w:r w:rsidRPr="000459B3">
        <w:rPr>
          <w:b/>
          <w:bCs/>
          <w:kern w:val="0"/>
          <w:lang w:val="pt-BR" w:eastAsia="pt-BR"/>
          <w14:ligatures w14:val="none"/>
        </w:rPr>
        <w:t>,</w:t>
      </w:r>
      <w:r w:rsidR="00F24848">
        <w:rPr>
          <w:b/>
          <w:bCs/>
          <w:kern w:val="0"/>
          <w:lang w:val="pt-BR" w:eastAsia="pt-BR"/>
          <w14:ligatures w14:val="none"/>
        </w:rPr>
        <w:t>15</w:t>
      </w:r>
      <w:r w:rsidRPr="000459B3">
        <w:rPr>
          <w:b/>
          <w:bCs/>
          <w:kern w:val="0"/>
          <w:lang w:val="pt-BR" w:eastAsia="pt-BR"/>
          <w14:ligatures w14:val="none"/>
        </w:rPr>
        <w:t>%</w:t>
      </w:r>
      <w:r w:rsidRPr="000459B3">
        <w:rPr>
          <w:kern w:val="0"/>
          <w:lang w:val="pt-BR" w:eastAsia="pt-BR"/>
          <w14:ligatures w14:val="none"/>
        </w:rPr>
        <w:t> é consideravelmente menor que o do O3-mini-high (7</w:t>
      </w:r>
      <w:r w:rsidR="00F24848">
        <w:rPr>
          <w:kern w:val="0"/>
          <w:lang w:val="pt-BR" w:eastAsia="pt-BR"/>
          <w14:ligatures w14:val="none"/>
        </w:rPr>
        <w:t>7</w:t>
      </w:r>
      <w:r w:rsidRPr="000459B3">
        <w:rPr>
          <w:kern w:val="0"/>
          <w:lang w:val="pt-BR" w:eastAsia="pt-BR"/>
          <w14:ligatures w14:val="none"/>
        </w:rPr>
        <w:t>,4</w:t>
      </w:r>
      <w:r w:rsidR="00F24848">
        <w:rPr>
          <w:kern w:val="0"/>
          <w:lang w:val="pt-BR" w:eastAsia="pt-BR"/>
          <w14:ligatures w14:val="none"/>
        </w:rPr>
        <w:t>5</w:t>
      </w:r>
      <w:r w:rsidRPr="000459B3">
        <w:rPr>
          <w:kern w:val="0"/>
          <w:lang w:val="pt-BR" w:eastAsia="pt-BR"/>
          <w14:ligatures w14:val="none"/>
        </w:rPr>
        <w:t xml:space="preserve">%), sugerindo que o método </w:t>
      </w:r>
      <w:proofErr w:type="spellStart"/>
      <w:r w:rsidRPr="000459B3">
        <w:rPr>
          <w:kern w:val="0"/>
          <w:lang w:val="pt-BR" w:eastAsia="pt-BR"/>
          <w14:ligatures w14:val="none"/>
        </w:rPr>
        <w:t>Naive</w:t>
      </w:r>
      <w:proofErr w:type="spellEnd"/>
      <w:r w:rsidRPr="000459B3">
        <w:rPr>
          <w:kern w:val="0"/>
          <w:lang w:val="pt-BR" w:eastAsia="pt-BR"/>
          <w14:ligatures w14:val="none"/>
        </w:rPr>
        <w:t xml:space="preserve"> é menos equilibrado entre Precisão e Recall.</w:t>
      </w:r>
    </w:p>
    <w:p w14:paraId="4E0BAEC8" w14:textId="77777777" w:rsidR="000459B3" w:rsidRDefault="000459B3" w:rsidP="000459B3">
      <w:pPr>
        <w:spacing w:line="360" w:lineRule="auto"/>
        <w:ind w:firstLine="709"/>
      </w:pPr>
      <w:r w:rsidRPr="000459B3">
        <w:t xml:space="preserve">Esses resultados indicam que o modelo O3-mini-high supera o método </w:t>
      </w:r>
      <w:proofErr w:type="spellStart"/>
      <w:r w:rsidRPr="000459B3">
        <w:t>Naive</w:t>
      </w:r>
      <w:proofErr w:type="spellEnd"/>
      <w:r w:rsidRPr="000459B3">
        <w:t xml:space="preserve"> no geral, principalmente por apresentar um recall muito maior. Isso sugere que a abordagem baseada em múltiplas variáveis (O3-mini-high) consegue capturar mais fatores que influenciam o comportamento do lucro líquido, em contraste com a estratégia simples de olhar apenas para o trimestre anterior e o atual.</w:t>
      </w:r>
    </w:p>
    <w:p w14:paraId="2DBCE77F" w14:textId="77777777" w:rsidR="000459B3" w:rsidRDefault="000459B3" w:rsidP="000459B3">
      <w:pPr>
        <w:spacing w:line="360" w:lineRule="auto"/>
        <w:ind w:firstLine="709"/>
      </w:pPr>
    </w:p>
    <w:p w14:paraId="18794334" w14:textId="247EAD14" w:rsidR="007F2AF1" w:rsidRDefault="007F2AF1" w:rsidP="007F2AF1">
      <w:pPr>
        <w:pStyle w:val="Ttulo2"/>
        <w:ind w:left="0" w:firstLine="0"/>
      </w:pPr>
      <w:bookmarkStart w:id="14" w:name="_Toc194592230"/>
      <w:r w:rsidRPr="000459B3">
        <w:t>4.</w:t>
      </w:r>
      <w:r w:rsidR="0052351F">
        <w:t>3</w:t>
      </w:r>
      <w:r w:rsidRPr="000459B3">
        <w:t xml:space="preserve"> </w:t>
      </w:r>
      <w:r>
        <w:t>Cálculo AUC do modelo O3-Mini-High</w:t>
      </w:r>
      <w:bookmarkEnd w:id="14"/>
    </w:p>
    <w:p w14:paraId="6268C35E" w14:textId="77777777" w:rsidR="007F2AF1" w:rsidRDefault="007F2AF1" w:rsidP="007F2AF1"/>
    <w:p w14:paraId="3BB6C351" w14:textId="0CF3F63E" w:rsidR="007F2AF1" w:rsidRDefault="007F2AF1" w:rsidP="002649BD">
      <w:pPr>
        <w:spacing w:line="360" w:lineRule="auto"/>
        <w:ind w:firstLine="709"/>
        <w:jc w:val="both"/>
        <w:rPr>
          <w:color w:val="000000"/>
        </w:rPr>
      </w:pPr>
      <w:r>
        <w:rPr>
          <w:color w:val="000000"/>
        </w:rPr>
        <w:t xml:space="preserve">Na análise dos resultados do AUC para o modelo O3-mini-high, observa-se que os valores se mantêm, na maior parte dos períodos, </w:t>
      </w:r>
      <w:r w:rsidR="00670986">
        <w:rPr>
          <w:color w:val="000000"/>
        </w:rPr>
        <w:t>levemente acima</w:t>
      </w:r>
      <w:r>
        <w:rPr>
          <w:color w:val="000000"/>
        </w:rPr>
        <w:t xml:space="preserve"> de 0,5, com um valor médio de </w:t>
      </w:r>
      <w:r w:rsidR="00670986" w:rsidRPr="00F24848">
        <w:rPr>
          <w:color w:val="000000"/>
        </w:rPr>
        <w:t>0.5385</w:t>
      </w:r>
      <w:r>
        <w:rPr>
          <w:color w:val="000000"/>
        </w:rPr>
        <w:t>. Esse desempenho do AUC indica que a capacidade do modelo para ranquear as instâncias — isto é, para atribuir graus de confiança que permitam distinguir adequadamente entre casos positivos e negativos — é limitada.</w:t>
      </w:r>
    </w:p>
    <w:p w14:paraId="6D6FD1DD" w14:textId="0643EA68" w:rsidR="007F2AF1" w:rsidRDefault="007F2AF1" w:rsidP="002649BD">
      <w:pPr>
        <w:spacing w:line="360" w:lineRule="auto"/>
        <w:ind w:firstLine="709"/>
        <w:jc w:val="both"/>
        <w:rPr>
          <w:color w:val="000000"/>
        </w:rPr>
      </w:pPr>
      <w:r>
        <w:rPr>
          <w:color w:val="000000"/>
        </w:rPr>
        <w:t>É importante notar que, embora o modelo apresente um recall elevado (por exemplo, um recall geral de 9</w:t>
      </w:r>
      <w:r w:rsidR="00670986">
        <w:rPr>
          <w:color w:val="000000"/>
        </w:rPr>
        <w:t>6</w:t>
      </w:r>
      <w:r>
        <w:rPr>
          <w:color w:val="000000"/>
        </w:rPr>
        <w:t>,6</w:t>
      </w:r>
      <w:r w:rsidR="00670986">
        <w:rPr>
          <w:color w:val="000000"/>
        </w:rPr>
        <w:t>1</w:t>
      </w:r>
      <w:r>
        <w:rPr>
          <w:color w:val="000000"/>
        </w:rPr>
        <w:t>%), esse resultado pode ser, em parte, consequência do fato de o modelo estar prevendo um número excessivo de positivos. Em outras palavras, o alto recall pode estar associado a um viés na predição, onde o modelo "</w:t>
      </w:r>
      <w:r w:rsidR="002649BD">
        <w:rPr>
          <w:color w:val="000000"/>
        </w:rPr>
        <w:t>arrisca</w:t>
      </w:r>
      <w:r>
        <w:rPr>
          <w:color w:val="000000"/>
        </w:rPr>
        <w:t>" mais positivos, aumentando a sensibilidade, mas também elevando o número de falsos positivos. Esse comportamento explicaria, em parte, o desempenho insatisfatório no AUC, já que, para uma boa capacidade de ranqueamento, espera-se que as previsões de confiança reflitam, de forma mais acurada, a verdadeira probabilidade dos eventos positivos.</w:t>
      </w:r>
    </w:p>
    <w:p w14:paraId="614440E9" w14:textId="77777777" w:rsidR="002649BD" w:rsidRDefault="002649BD" w:rsidP="002649BD">
      <w:pPr>
        <w:spacing w:line="360" w:lineRule="auto"/>
        <w:ind w:firstLine="709"/>
        <w:jc w:val="both"/>
        <w:rPr>
          <w:color w:val="000000"/>
        </w:rPr>
      </w:pPr>
    </w:p>
    <w:p w14:paraId="283A0F30" w14:textId="77777777" w:rsidR="002649BD" w:rsidRDefault="002649BD" w:rsidP="002649BD">
      <w:pPr>
        <w:spacing w:line="360" w:lineRule="auto"/>
        <w:ind w:firstLine="709"/>
        <w:jc w:val="both"/>
        <w:rPr>
          <w:color w:val="000000"/>
        </w:rPr>
      </w:pPr>
    </w:p>
    <w:p w14:paraId="0A602CDF" w14:textId="77777777" w:rsidR="002649BD" w:rsidRDefault="002649BD" w:rsidP="002649BD">
      <w:pPr>
        <w:spacing w:line="360" w:lineRule="auto"/>
        <w:ind w:firstLine="709"/>
        <w:jc w:val="both"/>
        <w:rPr>
          <w:color w:val="000000"/>
        </w:rPr>
      </w:pPr>
    </w:p>
    <w:p w14:paraId="51F5E7F8" w14:textId="77777777" w:rsidR="002649BD" w:rsidRDefault="002649BD" w:rsidP="002649BD">
      <w:pPr>
        <w:spacing w:line="360" w:lineRule="auto"/>
        <w:jc w:val="both"/>
        <w:rPr>
          <w:color w:val="000000"/>
        </w:rPr>
      </w:pPr>
    </w:p>
    <w:p w14:paraId="423A847F" w14:textId="3E704264" w:rsidR="002649BD" w:rsidRDefault="002649BD" w:rsidP="002649BD">
      <w:pPr>
        <w:spacing w:line="360" w:lineRule="auto"/>
        <w:ind w:firstLine="709"/>
        <w:jc w:val="center"/>
        <w:rPr>
          <w:color w:val="000000"/>
        </w:rPr>
      </w:pPr>
      <w:r>
        <w:rPr>
          <w:color w:val="000000"/>
        </w:rPr>
        <w:lastRenderedPageBreak/>
        <w:t>Tabela 3 – Resultados AUC sobre as previsões do modelo O3-Mini-High</w:t>
      </w:r>
    </w:p>
    <w:tbl>
      <w:tblPr>
        <w:tblW w:w="0" w:type="auto"/>
        <w:jc w:val="center"/>
        <w:tblCellMar>
          <w:left w:w="0" w:type="dxa"/>
          <w:right w:w="0" w:type="dxa"/>
        </w:tblCellMar>
        <w:tblLook w:val="04A0" w:firstRow="1" w:lastRow="0" w:firstColumn="1" w:lastColumn="0" w:noHBand="0" w:noVBand="1"/>
      </w:tblPr>
      <w:tblGrid>
        <w:gridCol w:w="1388"/>
        <w:gridCol w:w="1011"/>
        <w:gridCol w:w="2830"/>
      </w:tblGrid>
      <w:tr w:rsidR="002649BD" w14:paraId="05DD435E" w14:textId="77777777" w:rsidTr="002649BD">
        <w:trPr>
          <w:trHeight w:val="341"/>
          <w:jc w:val="center"/>
        </w:trPr>
        <w:tc>
          <w:tcPr>
            <w:tcW w:w="1388"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35F422A2" w14:textId="77777777" w:rsidR="002649BD" w:rsidRPr="002649BD" w:rsidRDefault="002649BD">
            <w:pPr>
              <w:pStyle w:val="NormalWeb"/>
              <w:spacing w:before="0" w:beforeAutospacing="0" w:after="0" w:afterAutospacing="0"/>
            </w:pPr>
            <w:proofErr w:type="spellStart"/>
            <w:r w:rsidRPr="002649BD">
              <w:rPr>
                <w:b/>
                <w:bCs/>
                <w:color w:val="000000"/>
              </w:rPr>
              <w:t>Periodo</w:t>
            </w:r>
            <w:proofErr w:type="spellEnd"/>
          </w:p>
        </w:tc>
        <w:tc>
          <w:tcPr>
            <w:tcW w:w="1011"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71E16316" w14:textId="77777777" w:rsidR="002649BD" w:rsidRPr="002649BD" w:rsidRDefault="002649BD">
            <w:pPr>
              <w:pStyle w:val="NormalWeb"/>
              <w:spacing w:before="0" w:beforeAutospacing="0" w:after="0" w:afterAutospacing="0"/>
            </w:pPr>
            <w:r w:rsidRPr="002649BD">
              <w:rPr>
                <w:b/>
                <w:bCs/>
                <w:color w:val="000000"/>
              </w:rPr>
              <w:t>AUC</w:t>
            </w:r>
          </w:p>
        </w:tc>
        <w:tc>
          <w:tcPr>
            <w:tcW w:w="283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6EA332B5" w14:textId="7662C0B6" w:rsidR="002649BD" w:rsidRPr="002649BD" w:rsidRDefault="002649BD">
            <w:pPr>
              <w:pStyle w:val="NormalWeb"/>
              <w:spacing w:before="0" w:beforeAutospacing="0" w:after="0" w:afterAutospacing="0"/>
            </w:pPr>
            <w:proofErr w:type="spellStart"/>
            <w:r w:rsidRPr="002649BD">
              <w:rPr>
                <w:b/>
                <w:bCs/>
                <w:color w:val="000000"/>
              </w:rPr>
              <w:t>Num</w:t>
            </w:r>
            <w:r>
              <w:rPr>
                <w:b/>
                <w:bCs/>
                <w:color w:val="000000"/>
              </w:rPr>
              <w:t>_Empresas</w:t>
            </w:r>
            <w:r w:rsidRPr="002649BD">
              <w:rPr>
                <w:b/>
                <w:bCs/>
                <w:color w:val="000000"/>
              </w:rPr>
              <w:t>_AUC</w:t>
            </w:r>
            <w:proofErr w:type="spellEnd"/>
          </w:p>
        </w:tc>
      </w:tr>
      <w:tr w:rsidR="00F24848" w14:paraId="5FE18A72" w14:textId="77777777" w:rsidTr="002649BD">
        <w:trPr>
          <w:trHeight w:val="372"/>
          <w:jc w:val="center"/>
        </w:trPr>
        <w:tc>
          <w:tcPr>
            <w:tcW w:w="1388"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146E1922" w14:textId="77777777" w:rsidR="00F24848" w:rsidRPr="002649BD" w:rsidRDefault="00F24848" w:rsidP="00F24848">
            <w:pPr>
              <w:pStyle w:val="NormalWeb"/>
              <w:spacing w:before="0" w:beforeAutospacing="0" w:after="0" w:afterAutospacing="0"/>
            </w:pPr>
            <w:r w:rsidRPr="002649BD">
              <w:rPr>
                <w:b/>
                <w:bCs/>
                <w:color w:val="000000"/>
              </w:rPr>
              <w:t>2023-12-31</w:t>
            </w:r>
          </w:p>
        </w:tc>
        <w:tc>
          <w:tcPr>
            <w:tcW w:w="1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C6F8BA" w14:textId="42F27008" w:rsidR="00F24848" w:rsidRPr="00F24848" w:rsidRDefault="00F24848" w:rsidP="00F24848">
            <w:pPr>
              <w:pStyle w:val="NormalWeb"/>
              <w:spacing w:before="0" w:beforeAutospacing="0" w:after="0" w:afterAutospacing="0"/>
            </w:pPr>
            <w:r w:rsidRPr="00F24848">
              <w:rPr>
                <w:color w:val="000000"/>
              </w:rPr>
              <w:t>0.5041</w:t>
            </w:r>
          </w:p>
        </w:tc>
        <w:tc>
          <w:tcPr>
            <w:tcW w:w="2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40ED70" w14:textId="1209899B" w:rsidR="00F24848" w:rsidRPr="00F24848" w:rsidRDefault="00F24848" w:rsidP="00F24848">
            <w:pPr>
              <w:pStyle w:val="NormalWeb"/>
              <w:spacing w:before="0" w:beforeAutospacing="0" w:after="0" w:afterAutospacing="0"/>
            </w:pPr>
            <w:r w:rsidRPr="00F24848">
              <w:rPr>
                <w:color w:val="000000"/>
              </w:rPr>
              <w:t>88</w:t>
            </w:r>
          </w:p>
        </w:tc>
      </w:tr>
      <w:tr w:rsidR="00F24848" w14:paraId="20EAAE39" w14:textId="77777777" w:rsidTr="002649BD">
        <w:trPr>
          <w:trHeight w:val="341"/>
          <w:jc w:val="center"/>
        </w:trPr>
        <w:tc>
          <w:tcPr>
            <w:tcW w:w="1388"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6A89306C" w14:textId="77777777" w:rsidR="00F24848" w:rsidRPr="002649BD" w:rsidRDefault="00F24848" w:rsidP="00F24848">
            <w:pPr>
              <w:pStyle w:val="NormalWeb"/>
              <w:spacing w:before="0" w:beforeAutospacing="0" w:after="0" w:afterAutospacing="0"/>
            </w:pPr>
            <w:r w:rsidRPr="002649BD">
              <w:rPr>
                <w:b/>
                <w:bCs/>
                <w:color w:val="000000"/>
              </w:rPr>
              <w:t>2024-03-31</w:t>
            </w:r>
          </w:p>
        </w:tc>
        <w:tc>
          <w:tcPr>
            <w:tcW w:w="1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13867D" w14:textId="2049D1C1" w:rsidR="00F24848" w:rsidRPr="00F24848" w:rsidRDefault="00F24848" w:rsidP="00F24848">
            <w:pPr>
              <w:pStyle w:val="NormalWeb"/>
              <w:spacing w:before="0" w:beforeAutospacing="0" w:after="0" w:afterAutospacing="0"/>
            </w:pPr>
            <w:r w:rsidRPr="00F24848">
              <w:rPr>
                <w:color w:val="000000"/>
              </w:rPr>
              <w:t>0.5517</w:t>
            </w:r>
          </w:p>
        </w:tc>
        <w:tc>
          <w:tcPr>
            <w:tcW w:w="2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1B286E" w14:textId="3715FA0C" w:rsidR="00F24848" w:rsidRPr="00F24848" w:rsidRDefault="00F24848" w:rsidP="00F24848">
            <w:pPr>
              <w:pStyle w:val="NormalWeb"/>
              <w:spacing w:before="0" w:beforeAutospacing="0" w:after="0" w:afterAutospacing="0"/>
            </w:pPr>
            <w:r w:rsidRPr="00F24848">
              <w:rPr>
                <w:color w:val="000000"/>
              </w:rPr>
              <w:t>90</w:t>
            </w:r>
          </w:p>
        </w:tc>
      </w:tr>
      <w:tr w:rsidR="00F24848" w14:paraId="667AA6BF" w14:textId="77777777" w:rsidTr="002649BD">
        <w:trPr>
          <w:trHeight w:val="341"/>
          <w:jc w:val="center"/>
        </w:trPr>
        <w:tc>
          <w:tcPr>
            <w:tcW w:w="1388"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662A8544" w14:textId="77777777" w:rsidR="00F24848" w:rsidRPr="002649BD" w:rsidRDefault="00F24848" w:rsidP="00F24848">
            <w:pPr>
              <w:pStyle w:val="NormalWeb"/>
              <w:spacing w:before="0" w:beforeAutospacing="0" w:after="0" w:afterAutospacing="0"/>
            </w:pPr>
            <w:r w:rsidRPr="002649BD">
              <w:rPr>
                <w:b/>
                <w:bCs/>
                <w:color w:val="000000"/>
              </w:rPr>
              <w:t>2024-06-30</w:t>
            </w:r>
          </w:p>
        </w:tc>
        <w:tc>
          <w:tcPr>
            <w:tcW w:w="1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476343" w14:textId="702102E3" w:rsidR="00F24848" w:rsidRPr="00F24848" w:rsidRDefault="00F24848" w:rsidP="00F24848">
            <w:pPr>
              <w:pStyle w:val="NormalWeb"/>
              <w:spacing w:before="0" w:beforeAutospacing="0" w:after="0" w:afterAutospacing="0"/>
            </w:pPr>
            <w:r w:rsidRPr="00F24848">
              <w:rPr>
                <w:color w:val="000000"/>
              </w:rPr>
              <w:t>0.4988</w:t>
            </w:r>
          </w:p>
        </w:tc>
        <w:tc>
          <w:tcPr>
            <w:tcW w:w="2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B7C7D9" w14:textId="18B6528B" w:rsidR="00F24848" w:rsidRPr="00F24848" w:rsidRDefault="00F24848" w:rsidP="00F24848">
            <w:pPr>
              <w:pStyle w:val="NormalWeb"/>
              <w:spacing w:before="0" w:beforeAutospacing="0" w:after="0" w:afterAutospacing="0"/>
            </w:pPr>
            <w:r w:rsidRPr="00F24848">
              <w:rPr>
                <w:color w:val="000000"/>
              </w:rPr>
              <w:t>93</w:t>
            </w:r>
          </w:p>
        </w:tc>
      </w:tr>
      <w:tr w:rsidR="00F24848" w14:paraId="4DBC38BB" w14:textId="77777777" w:rsidTr="002649BD">
        <w:trPr>
          <w:trHeight w:val="341"/>
          <w:jc w:val="center"/>
        </w:trPr>
        <w:tc>
          <w:tcPr>
            <w:tcW w:w="1388"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0A5BE234" w14:textId="77777777" w:rsidR="00F24848" w:rsidRPr="002649BD" w:rsidRDefault="00F24848" w:rsidP="00F24848">
            <w:pPr>
              <w:pStyle w:val="NormalWeb"/>
              <w:spacing w:before="0" w:beforeAutospacing="0" w:after="0" w:afterAutospacing="0"/>
            </w:pPr>
            <w:r w:rsidRPr="002649BD">
              <w:rPr>
                <w:b/>
                <w:bCs/>
                <w:color w:val="000000"/>
              </w:rPr>
              <w:t>2024-09-30</w:t>
            </w:r>
          </w:p>
        </w:tc>
        <w:tc>
          <w:tcPr>
            <w:tcW w:w="1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019F30" w14:textId="584F24DF" w:rsidR="00F24848" w:rsidRPr="00F24848" w:rsidRDefault="00F24848" w:rsidP="00F24848">
            <w:pPr>
              <w:pStyle w:val="NormalWeb"/>
              <w:spacing w:before="0" w:beforeAutospacing="0" w:after="0" w:afterAutospacing="0"/>
            </w:pPr>
            <w:r w:rsidRPr="00F24848">
              <w:rPr>
                <w:color w:val="000000"/>
              </w:rPr>
              <w:t>0.5189</w:t>
            </w:r>
          </w:p>
        </w:tc>
        <w:tc>
          <w:tcPr>
            <w:tcW w:w="2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44B40E" w14:textId="211A639F" w:rsidR="00F24848" w:rsidRPr="00F24848" w:rsidRDefault="00F24848" w:rsidP="00F24848">
            <w:pPr>
              <w:pStyle w:val="NormalWeb"/>
              <w:spacing w:before="0" w:beforeAutospacing="0" w:after="0" w:afterAutospacing="0"/>
            </w:pPr>
            <w:r w:rsidRPr="00F24848">
              <w:rPr>
                <w:color w:val="000000"/>
              </w:rPr>
              <w:t>90</w:t>
            </w:r>
          </w:p>
        </w:tc>
      </w:tr>
      <w:tr w:rsidR="00F24848" w14:paraId="6F81C5BA" w14:textId="77777777" w:rsidTr="002649BD">
        <w:trPr>
          <w:trHeight w:val="341"/>
          <w:jc w:val="center"/>
        </w:trPr>
        <w:tc>
          <w:tcPr>
            <w:tcW w:w="1388"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48D93EE4" w14:textId="77777777" w:rsidR="00F24848" w:rsidRPr="002649BD" w:rsidRDefault="00F24848" w:rsidP="00F24848">
            <w:pPr>
              <w:pStyle w:val="NormalWeb"/>
              <w:spacing w:before="0" w:beforeAutospacing="0" w:after="0" w:afterAutospacing="0"/>
            </w:pPr>
            <w:r w:rsidRPr="002649BD">
              <w:rPr>
                <w:b/>
                <w:bCs/>
                <w:color w:val="000000"/>
              </w:rPr>
              <w:t>2024-12-31</w:t>
            </w:r>
          </w:p>
        </w:tc>
        <w:tc>
          <w:tcPr>
            <w:tcW w:w="1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4E8C51" w14:textId="7BF8F044" w:rsidR="00F24848" w:rsidRPr="00F24848" w:rsidRDefault="00F24848" w:rsidP="00F24848">
            <w:pPr>
              <w:pStyle w:val="NormalWeb"/>
              <w:spacing w:before="0" w:beforeAutospacing="0" w:after="0" w:afterAutospacing="0"/>
            </w:pPr>
            <w:r w:rsidRPr="00F24848">
              <w:rPr>
                <w:color w:val="000000"/>
              </w:rPr>
              <w:t>0.5499</w:t>
            </w:r>
          </w:p>
        </w:tc>
        <w:tc>
          <w:tcPr>
            <w:tcW w:w="2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69D0F3" w14:textId="3BA93F83" w:rsidR="00F24848" w:rsidRPr="00F24848" w:rsidRDefault="00F24848" w:rsidP="00F24848">
            <w:pPr>
              <w:pStyle w:val="NormalWeb"/>
              <w:spacing w:before="0" w:beforeAutospacing="0" w:after="0" w:afterAutospacing="0"/>
            </w:pPr>
            <w:r w:rsidRPr="00F24848">
              <w:rPr>
                <w:color w:val="000000"/>
              </w:rPr>
              <w:t>91</w:t>
            </w:r>
          </w:p>
        </w:tc>
      </w:tr>
      <w:tr w:rsidR="00F24848" w14:paraId="2C55DA20" w14:textId="77777777" w:rsidTr="002649BD">
        <w:trPr>
          <w:trHeight w:val="341"/>
          <w:jc w:val="center"/>
        </w:trPr>
        <w:tc>
          <w:tcPr>
            <w:tcW w:w="1388"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608B6D66" w14:textId="77777777" w:rsidR="00F24848" w:rsidRPr="002649BD" w:rsidRDefault="00F24848" w:rsidP="00F24848">
            <w:pPr>
              <w:pStyle w:val="NormalWeb"/>
              <w:spacing w:before="0" w:beforeAutospacing="0" w:after="0" w:afterAutospacing="0"/>
            </w:pPr>
            <w:r w:rsidRPr="002649BD">
              <w:rPr>
                <w:b/>
                <w:bCs/>
                <w:color w:val="000000"/>
              </w:rPr>
              <w:t>Total Geral</w:t>
            </w:r>
          </w:p>
        </w:tc>
        <w:tc>
          <w:tcPr>
            <w:tcW w:w="1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F0D392" w14:textId="1104D131" w:rsidR="00F24848" w:rsidRPr="00F24848" w:rsidRDefault="00F24848" w:rsidP="00F24848">
            <w:pPr>
              <w:pStyle w:val="NormalWeb"/>
              <w:spacing w:before="0" w:beforeAutospacing="0" w:after="0" w:afterAutospacing="0"/>
            </w:pPr>
            <w:r w:rsidRPr="00F24848">
              <w:rPr>
                <w:color w:val="000000"/>
              </w:rPr>
              <w:t>0.5385</w:t>
            </w:r>
          </w:p>
        </w:tc>
        <w:tc>
          <w:tcPr>
            <w:tcW w:w="2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F168FF" w14:textId="117AF733" w:rsidR="00F24848" w:rsidRPr="00F24848" w:rsidRDefault="00F24848" w:rsidP="00F24848">
            <w:pPr>
              <w:pStyle w:val="NormalWeb"/>
              <w:spacing w:before="0" w:beforeAutospacing="0" w:after="0" w:afterAutospacing="0"/>
            </w:pPr>
            <w:r w:rsidRPr="00F24848">
              <w:rPr>
                <w:color w:val="000000"/>
              </w:rPr>
              <w:t>452</w:t>
            </w:r>
          </w:p>
        </w:tc>
      </w:tr>
    </w:tbl>
    <w:p w14:paraId="621C77C6" w14:textId="77777777" w:rsidR="002649BD" w:rsidRDefault="002649BD" w:rsidP="002649BD">
      <w:pPr>
        <w:spacing w:line="360" w:lineRule="auto"/>
        <w:ind w:firstLine="709"/>
        <w:jc w:val="both"/>
        <w:rPr>
          <w:color w:val="000000"/>
        </w:rPr>
      </w:pPr>
    </w:p>
    <w:p w14:paraId="66236722" w14:textId="77777777" w:rsidR="002649BD" w:rsidRDefault="002649BD" w:rsidP="002649BD">
      <w:pPr>
        <w:spacing w:line="360" w:lineRule="auto"/>
        <w:ind w:firstLine="709"/>
        <w:jc w:val="both"/>
        <w:rPr>
          <w:color w:val="000000"/>
        </w:rPr>
      </w:pPr>
      <w:r>
        <w:rPr>
          <w:color w:val="000000"/>
        </w:rPr>
        <w:t>Essa discrepância entre o alto recall e o baixo AUC sugere que o modelo, ao prever um número elevado de casos positivos, consegue captar a maioria dos eventos de alta, porém a confiança atribuída a essas previsões não discrimina de forma eficaz entre os casos verdadeiramente positivos e os falsos positivos. Em resumo, o elevado recall pode ser, em parte, um reflexo de uma estratégia de predição tendenciosa para o positivo, o que impacta negativamente a qualidade da ordenação das previsões – aspecto capturado pelo AUC.</w:t>
      </w:r>
    </w:p>
    <w:p w14:paraId="773880B4" w14:textId="3DCF328B" w:rsidR="002649BD" w:rsidRDefault="002649BD" w:rsidP="002649BD">
      <w:pPr>
        <w:spacing w:line="360" w:lineRule="auto"/>
        <w:ind w:firstLine="709"/>
        <w:jc w:val="both"/>
        <w:rPr>
          <w:color w:val="000000"/>
        </w:rPr>
      </w:pPr>
      <w:r>
        <w:rPr>
          <w:color w:val="000000"/>
        </w:rPr>
        <w:t>Portanto, a hipótese levantada é que o modelo O3-mini-high pode estar priorizando a sensibilidade excessivamente, resultando em</w:t>
      </w:r>
      <w:r w:rsidR="000E4B5D">
        <w:rPr>
          <w:color w:val="000000"/>
        </w:rPr>
        <w:t xml:space="preserve"> atribuir valores aleatórios</w:t>
      </w:r>
      <w:r>
        <w:rPr>
          <w:color w:val="000000"/>
        </w:rPr>
        <w:t xml:space="preserve"> ao classificar muitos casos como positivos, o que, embora melhore o recall, compromete a capacidade de ranqueamento e a confiança das predições, conforme demonstrado pelos baixos valores de AUC. Essa constatação aponta para a necessidade de um ajuste na calibração do modelo, de modo que se consiga um equilíbrio mais adequado entre a identificação dos casos positivos e a qualidade das predições de confiança.</w:t>
      </w:r>
    </w:p>
    <w:p w14:paraId="6DEF6A20" w14:textId="77777777" w:rsidR="0052351F" w:rsidRDefault="0052351F" w:rsidP="0052351F">
      <w:pPr>
        <w:spacing w:line="360" w:lineRule="auto"/>
        <w:jc w:val="both"/>
        <w:rPr>
          <w:color w:val="000000"/>
        </w:rPr>
      </w:pPr>
    </w:p>
    <w:p w14:paraId="3D94293E" w14:textId="77777777" w:rsidR="0052351F" w:rsidRDefault="0052351F" w:rsidP="0052351F">
      <w:pPr>
        <w:spacing w:line="360" w:lineRule="auto"/>
        <w:jc w:val="both"/>
        <w:rPr>
          <w:color w:val="000000"/>
        </w:rPr>
      </w:pPr>
    </w:p>
    <w:p w14:paraId="5B038FA8" w14:textId="0B5BF180" w:rsidR="0052351F" w:rsidRDefault="0052351F" w:rsidP="0052351F">
      <w:pPr>
        <w:pStyle w:val="Ttulo2"/>
        <w:ind w:left="0" w:firstLine="0"/>
      </w:pPr>
      <w:bookmarkStart w:id="15" w:name="_Toc194592231"/>
      <w:r w:rsidRPr="000459B3">
        <w:t>4.</w:t>
      </w:r>
      <w:r>
        <w:t>4</w:t>
      </w:r>
      <w:r w:rsidRPr="000459B3">
        <w:t xml:space="preserve"> </w:t>
      </w:r>
      <w:r>
        <w:t>Performance das ações com base nas previsões do modelo O3-Mini-High</w:t>
      </w:r>
      <w:bookmarkEnd w:id="15"/>
    </w:p>
    <w:p w14:paraId="780FBCA5" w14:textId="77777777" w:rsidR="0052351F" w:rsidRDefault="0052351F" w:rsidP="0052351F"/>
    <w:p w14:paraId="37B1C961" w14:textId="77777777" w:rsidR="0052351F" w:rsidRDefault="0052351F" w:rsidP="0052351F"/>
    <w:p w14:paraId="2CDE0115" w14:textId="467584B4" w:rsidR="0052351F" w:rsidRPr="00C0024A" w:rsidRDefault="00C0024A" w:rsidP="00C0024A">
      <w:pPr>
        <w:spacing w:line="360" w:lineRule="auto"/>
        <w:ind w:firstLine="709"/>
        <w:jc w:val="both"/>
      </w:pPr>
      <w:r w:rsidRPr="00C0024A">
        <w:rPr>
          <w:color w:val="000000"/>
        </w:rPr>
        <w:t>O Gráfico 1 ilustra a</w:t>
      </w:r>
      <w:r w:rsidRPr="00C0024A">
        <w:rPr>
          <w:rStyle w:val="apple-converted-space"/>
        </w:rPr>
        <w:t> </w:t>
      </w:r>
      <w:r w:rsidRPr="00C0024A">
        <w:rPr>
          <w:rStyle w:val="Forte"/>
          <w:b w:val="0"/>
          <w:bCs w:val="0"/>
        </w:rPr>
        <w:t>performance acumulada</w:t>
      </w:r>
      <w:r w:rsidRPr="00C0024A">
        <w:rPr>
          <w:rStyle w:val="apple-converted-space"/>
          <w:b/>
          <w:bCs/>
        </w:rPr>
        <w:t> </w:t>
      </w:r>
      <w:r w:rsidRPr="00C0024A">
        <w:rPr>
          <w:color w:val="000000"/>
        </w:rPr>
        <w:t>de uma carteira de ações construída com base nas previsões do modelo O3-Mini-High, no período de 06/02/2023 a 27/05/2024, em comparação com três referências de mercado: o</w:t>
      </w:r>
      <w:r w:rsidRPr="00C0024A">
        <w:rPr>
          <w:rStyle w:val="apple-converted-space"/>
        </w:rPr>
        <w:t> </w:t>
      </w:r>
      <w:r w:rsidRPr="00C0024A">
        <w:rPr>
          <w:rStyle w:val="Forte"/>
          <w:b w:val="0"/>
          <w:bCs w:val="0"/>
        </w:rPr>
        <w:t>BOVA11</w:t>
      </w:r>
      <w:r w:rsidRPr="00C0024A">
        <w:rPr>
          <w:color w:val="000000"/>
        </w:rPr>
        <w:t>(proxy do Ibovespa), o</w:t>
      </w:r>
      <w:r w:rsidRPr="00C0024A">
        <w:rPr>
          <w:rStyle w:val="apple-converted-space"/>
        </w:rPr>
        <w:t> </w:t>
      </w:r>
      <w:r w:rsidRPr="00C0024A">
        <w:rPr>
          <w:rStyle w:val="Forte"/>
          <w:b w:val="0"/>
          <w:bCs w:val="0"/>
        </w:rPr>
        <w:t>BRAX11</w:t>
      </w:r>
      <w:r w:rsidRPr="00C0024A">
        <w:rPr>
          <w:rStyle w:val="apple-converted-space"/>
        </w:rPr>
        <w:t> </w:t>
      </w:r>
      <w:r w:rsidRPr="00C0024A">
        <w:rPr>
          <w:color w:val="000000"/>
        </w:rPr>
        <w:t>(representativo do IBRX 100) e a</w:t>
      </w:r>
      <w:r w:rsidRPr="00C0024A">
        <w:rPr>
          <w:rStyle w:val="apple-converted-space"/>
        </w:rPr>
        <w:t> </w:t>
      </w:r>
      <w:r w:rsidRPr="00C0024A">
        <w:rPr>
          <w:rStyle w:val="Forte"/>
          <w:b w:val="0"/>
          <w:bCs w:val="0"/>
        </w:rPr>
        <w:t>Taxa Livre de Risco</w:t>
      </w:r>
      <w:r w:rsidRPr="00C0024A">
        <w:rPr>
          <w:rStyle w:val="apple-converted-space"/>
          <w:b/>
          <w:bCs/>
        </w:rPr>
        <w:t> </w:t>
      </w:r>
      <w:r w:rsidRPr="00C0024A">
        <w:rPr>
          <w:color w:val="000000"/>
        </w:rPr>
        <w:t>de 12,75% ao ano.</w:t>
      </w:r>
    </w:p>
    <w:p w14:paraId="5AE33F63" w14:textId="77777777" w:rsidR="0052351F" w:rsidRDefault="0052351F" w:rsidP="0052351F">
      <w:pPr>
        <w:spacing w:line="360" w:lineRule="auto"/>
        <w:jc w:val="both"/>
        <w:rPr>
          <w:color w:val="000000"/>
        </w:rPr>
      </w:pPr>
    </w:p>
    <w:p w14:paraId="21647468" w14:textId="77777777" w:rsidR="007F2AF1" w:rsidRDefault="007F2AF1" w:rsidP="007F2AF1"/>
    <w:p w14:paraId="302607A7" w14:textId="3632910B" w:rsidR="0052351F" w:rsidRDefault="0052351F" w:rsidP="0052351F">
      <w:pPr>
        <w:jc w:val="center"/>
      </w:pPr>
      <w:proofErr w:type="spellStart"/>
      <w:r>
        <w:lastRenderedPageBreak/>
        <w:t>Grafico</w:t>
      </w:r>
      <w:proofErr w:type="spellEnd"/>
      <w:r>
        <w:t xml:space="preserve"> 1 – Otimização via </w:t>
      </w:r>
      <w:proofErr w:type="spellStart"/>
      <w:r>
        <w:t>Makowitz</w:t>
      </w:r>
      <w:proofErr w:type="spellEnd"/>
      <w:r>
        <w:t xml:space="preserve"> com base nas previsões de “Melhora” do modelo O3-Mini-High</w:t>
      </w:r>
    </w:p>
    <w:p w14:paraId="120BABC4" w14:textId="77777777" w:rsidR="007F2AF1" w:rsidRDefault="007F2AF1" w:rsidP="007F2AF1"/>
    <w:p w14:paraId="19328777" w14:textId="6614F9B7" w:rsidR="007F2AF1" w:rsidRPr="007F2AF1" w:rsidRDefault="0052351F" w:rsidP="007F2AF1">
      <w:r>
        <w:rPr>
          <w:noProof/>
          <w14:ligatures w14:val="standardContextual"/>
        </w:rPr>
        <w:drawing>
          <wp:inline distT="0" distB="0" distL="0" distR="0" wp14:anchorId="4DBCD000" wp14:editId="4CF319F4">
            <wp:extent cx="5765165" cy="3301365"/>
            <wp:effectExtent l="0" t="0" r="635" b="635"/>
            <wp:docPr id="340034913" name="Imagem 4" descr="Gráfico, Gráfico de linh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034913" name="Imagem 4" descr="Gráfico, Gráfico de linhas&#10;&#10;O conteúdo gerado por IA pode estar incorre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5165" cy="3301365"/>
                    </a:xfrm>
                    <a:prstGeom prst="rect">
                      <a:avLst/>
                    </a:prstGeom>
                  </pic:spPr>
                </pic:pic>
              </a:graphicData>
            </a:graphic>
          </wp:inline>
        </w:drawing>
      </w:r>
    </w:p>
    <w:p w14:paraId="67184660" w14:textId="77777777" w:rsidR="000459B3" w:rsidRPr="000459B3" w:rsidRDefault="000459B3" w:rsidP="007F2AF1">
      <w:pPr>
        <w:spacing w:line="360" w:lineRule="auto"/>
        <w:jc w:val="both"/>
      </w:pPr>
    </w:p>
    <w:p w14:paraId="7CECCBD0" w14:textId="77777777" w:rsidR="00C0024A" w:rsidRDefault="00C0024A" w:rsidP="00C0024A">
      <w:pPr>
        <w:spacing w:line="360" w:lineRule="auto"/>
        <w:ind w:firstLine="709"/>
        <w:jc w:val="both"/>
        <w:rPr>
          <w:color w:val="000000"/>
        </w:rPr>
      </w:pPr>
      <w:r>
        <w:rPr>
          <w:color w:val="000000"/>
        </w:rPr>
        <w:t>Observa-se que a carteira, mesmo considerando um custo operacional de 0,1%, apresenta uma trajetória ascendente e se mantém</w:t>
      </w:r>
      <w:r>
        <w:rPr>
          <w:rStyle w:val="apple-converted-space"/>
        </w:rPr>
        <w:t> </w:t>
      </w:r>
      <w:r w:rsidRPr="00C0024A">
        <w:rPr>
          <w:rStyle w:val="Forte"/>
          <w:b w:val="0"/>
          <w:bCs w:val="0"/>
        </w:rPr>
        <w:t>consistentemente acima</w:t>
      </w:r>
      <w:r>
        <w:rPr>
          <w:rStyle w:val="apple-converted-space"/>
        </w:rPr>
        <w:t> </w:t>
      </w:r>
      <w:r>
        <w:rPr>
          <w:color w:val="000000"/>
        </w:rPr>
        <w:t>dos dois índices acionários ao longo de grande parte do horizonte analisado. Esse resultado sugere que as previsões do modelo O3-Mini-High, quando utilizadas para selecionar e rebalancear os ativos, geraram um retorno acumulado superior ao do Ibovespa (BOVA11) e ao do IBRX 100 (BRAX11). Adicionalmente, a carteira supera a curva de crescimento da taxa livre de risco, indicando que o</w:t>
      </w:r>
      <w:r>
        <w:rPr>
          <w:rStyle w:val="apple-converted-space"/>
        </w:rPr>
        <w:t> </w:t>
      </w:r>
      <w:r w:rsidRPr="00C0024A">
        <w:rPr>
          <w:rStyle w:val="Forte"/>
          <w:b w:val="0"/>
          <w:bCs w:val="0"/>
        </w:rPr>
        <w:t>prêmio pelo risco</w:t>
      </w:r>
      <w:r>
        <w:rPr>
          <w:rStyle w:val="apple-converted-space"/>
        </w:rPr>
        <w:t> </w:t>
      </w:r>
      <w:r>
        <w:rPr>
          <w:color w:val="000000"/>
        </w:rPr>
        <w:t>assumido foi compensado por um retorno significativamente maior.</w:t>
      </w:r>
    </w:p>
    <w:p w14:paraId="2353D6FC" w14:textId="77777777" w:rsidR="00C0024A" w:rsidRDefault="00C0024A" w:rsidP="00C0024A">
      <w:pPr>
        <w:spacing w:line="360" w:lineRule="auto"/>
        <w:ind w:firstLine="709"/>
        <w:jc w:val="both"/>
        <w:rPr>
          <w:color w:val="000000"/>
        </w:rPr>
      </w:pPr>
      <w:r>
        <w:rPr>
          <w:color w:val="000000"/>
        </w:rPr>
        <w:t>É importante notar que, embora não estejam explicitadas métricas de</w:t>
      </w:r>
      <w:r>
        <w:rPr>
          <w:rStyle w:val="apple-converted-space"/>
        </w:rPr>
        <w:t> </w:t>
      </w:r>
      <w:r w:rsidRPr="00C0024A">
        <w:rPr>
          <w:rStyle w:val="Forte"/>
          <w:b w:val="0"/>
          <w:bCs w:val="0"/>
        </w:rPr>
        <w:t>volatilidade</w:t>
      </w:r>
      <w:r>
        <w:rPr>
          <w:rStyle w:val="apple-converted-space"/>
        </w:rPr>
        <w:t> </w:t>
      </w:r>
      <w:r>
        <w:rPr>
          <w:color w:val="000000"/>
        </w:rPr>
        <w:t>no gráfico, a análise visual sugere uma estabilidade relativa da carteira frente a possíveis oscilações mais intensas dos benchmarks. Em termos práticos, isso pode significar que a estratégia de alocação baseada nas previsões do O3-Mini-High não apenas se mostra capaz de capturar momentos de valorização do mercado, mas também de mitigar, ao menos parcialmente, eventuais períodos de queda.</w:t>
      </w:r>
    </w:p>
    <w:p w14:paraId="4E07A965" w14:textId="77777777" w:rsidR="008627BA" w:rsidRDefault="00C0024A" w:rsidP="008627BA">
      <w:pPr>
        <w:spacing w:line="360" w:lineRule="auto"/>
        <w:ind w:firstLine="709"/>
        <w:jc w:val="both"/>
        <w:rPr>
          <w:color w:val="000000"/>
        </w:rPr>
      </w:pPr>
      <w:r>
        <w:rPr>
          <w:color w:val="000000"/>
        </w:rPr>
        <w:t xml:space="preserve">Dessa forma, os resultados observados na Figura 4.4 reforçam o potencial do modelo O3-Mini-High em fornecer subsídios para a montagem de uma carteira de ações com desempenho superior aos índices de mercado e à taxa livre de risco, validando, em parte, a </w:t>
      </w:r>
      <w:r>
        <w:rPr>
          <w:color w:val="000000"/>
        </w:rPr>
        <w:lastRenderedPageBreak/>
        <w:t>proposta de utilização de previsões de lucro líquido futuro como critério de seleção e alocação de ativos.</w:t>
      </w:r>
      <w:bookmarkStart w:id="16" w:name="_Toc194592232"/>
    </w:p>
    <w:p w14:paraId="1531B9F3" w14:textId="77777777" w:rsidR="008627BA" w:rsidRDefault="008627BA" w:rsidP="008627BA">
      <w:pPr>
        <w:spacing w:line="360" w:lineRule="auto"/>
        <w:jc w:val="both"/>
        <w:rPr>
          <w:color w:val="000000"/>
        </w:rPr>
      </w:pPr>
    </w:p>
    <w:p w14:paraId="42D9D3A0" w14:textId="77777777" w:rsidR="008627BA" w:rsidRDefault="00000000" w:rsidP="008627BA">
      <w:pPr>
        <w:spacing w:line="360" w:lineRule="auto"/>
        <w:jc w:val="both"/>
      </w:pPr>
      <w:r>
        <w:t>5 CONCLUSÃO</w:t>
      </w:r>
      <w:bookmarkEnd w:id="16"/>
      <w:r>
        <w:t xml:space="preserve"> </w:t>
      </w:r>
    </w:p>
    <w:p w14:paraId="280E7A49" w14:textId="77777777" w:rsidR="008627BA" w:rsidRDefault="008627BA" w:rsidP="008627BA">
      <w:pPr>
        <w:spacing w:line="360" w:lineRule="auto"/>
        <w:jc w:val="both"/>
      </w:pPr>
    </w:p>
    <w:p w14:paraId="641769DF" w14:textId="77777777" w:rsidR="008627BA" w:rsidRDefault="00CF2255" w:rsidP="008627BA">
      <w:pPr>
        <w:spacing w:line="360" w:lineRule="auto"/>
        <w:jc w:val="both"/>
        <w:rPr>
          <w:rFonts w:ascii="Palatino Linotype" w:eastAsia="Palatino Linotype" w:hAnsi="Palatino Linotype" w:cs="Palatino Linotype"/>
          <w:sz w:val="22"/>
        </w:rPr>
      </w:pPr>
      <w:r w:rsidRPr="00CF2255">
        <w:rPr>
          <w:rFonts w:ascii="Palatino Linotype" w:eastAsia="Palatino Linotype" w:hAnsi="Palatino Linotype" w:cs="Palatino Linotype"/>
          <w:sz w:val="22"/>
        </w:rPr>
        <w:t xml:space="preserve">Este trabalho explorou a fronteira entre inteligência artificial e análise financeira, investigando se modelos </w:t>
      </w:r>
      <w:proofErr w:type="spellStart"/>
      <w:r w:rsidRPr="00CF2255">
        <w:rPr>
          <w:rFonts w:ascii="Palatino Linotype" w:eastAsia="Palatino Linotype" w:hAnsi="Palatino Linotype" w:cs="Palatino Linotype"/>
          <w:sz w:val="22"/>
        </w:rPr>
        <w:t>LLMs</w:t>
      </w:r>
      <w:proofErr w:type="spellEnd"/>
      <w:r w:rsidRPr="00CF2255">
        <w:rPr>
          <w:rFonts w:ascii="Palatino Linotype" w:eastAsia="Palatino Linotype" w:hAnsi="Palatino Linotype" w:cs="Palatino Linotype"/>
          <w:sz w:val="22"/>
        </w:rPr>
        <w:t>, especificamente o ChatGPT o3-mini-high, podem rivalizar com analistas humanos na previsão de resultados financeiros e otimização de carteiras de investimento.</w:t>
      </w:r>
      <w:r>
        <w:rPr>
          <w:rFonts w:ascii="Palatino Linotype" w:eastAsia="Palatino Linotype" w:hAnsi="Palatino Linotype" w:cs="Palatino Linotype"/>
          <w:sz w:val="22"/>
        </w:rPr>
        <w:t xml:space="preserve"> </w:t>
      </w:r>
      <w:r w:rsidRPr="00CF2255">
        <w:rPr>
          <w:rFonts w:ascii="Palatino Linotype" w:eastAsia="Palatino Linotype" w:hAnsi="Palatino Linotype" w:cs="Palatino Linotype"/>
          <w:sz w:val="22"/>
        </w:rPr>
        <w:t xml:space="preserve">A metodologia adotada, combinando técnicas avançadas de </w:t>
      </w:r>
      <w:r w:rsidRPr="00CF2255">
        <w:rPr>
          <w:rFonts w:ascii="Palatino Linotype" w:eastAsia="Palatino Linotype" w:hAnsi="Palatino Linotype" w:cs="Palatino Linotype"/>
          <w:i/>
          <w:iCs/>
          <w:sz w:val="22"/>
        </w:rPr>
        <w:t xml:space="preserve">prompt </w:t>
      </w:r>
      <w:proofErr w:type="spellStart"/>
      <w:r w:rsidRPr="00CF2255">
        <w:rPr>
          <w:rFonts w:ascii="Palatino Linotype" w:eastAsia="Palatino Linotype" w:hAnsi="Palatino Linotype" w:cs="Palatino Linotype"/>
          <w:i/>
          <w:iCs/>
          <w:sz w:val="22"/>
        </w:rPr>
        <w:t>engineering</w:t>
      </w:r>
      <w:proofErr w:type="spellEnd"/>
      <w:r w:rsidRPr="00CF2255">
        <w:rPr>
          <w:rFonts w:ascii="Palatino Linotype" w:eastAsia="Palatino Linotype" w:hAnsi="Palatino Linotype" w:cs="Palatino Linotype"/>
          <w:sz w:val="22"/>
        </w:rPr>
        <w:t xml:space="preserve"> com métricas rigorosas de avaliação, representa um avanço importante na literatura. Entretanto, é crucial reconhecer as limitações inerentes ao estudo.</w:t>
      </w:r>
    </w:p>
    <w:p w14:paraId="08EDD7B1" w14:textId="77777777" w:rsidR="008627BA" w:rsidRDefault="00CF2255" w:rsidP="008627BA">
      <w:pPr>
        <w:spacing w:line="360" w:lineRule="auto"/>
        <w:jc w:val="both"/>
        <w:rPr>
          <w:rFonts w:ascii="Palatino Linotype" w:eastAsia="Palatino Linotype" w:hAnsi="Palatino Linotype" w:cs="Palatino Linotype"/>
          <w:sz w:val="22"/>
        </w:rPr>
      </w:pPr>
      <w:r w:rsidRPr="00CF2255">
        <w:rPr>
          <w:rFonts w:ascii="Palatino Linotype" w:eastAsia="Palatino Linotype" w:hAnsi="Palatino Linotype" w:cs="Palatino Linotype"/>
          <w:sz w:val="22"/>
        </w:rPr>
        <w:t xml:space="preserve">Primeiramente, os </w:t>
      </w:r>
      <w:proofErr w:type="spellStart"/>
      <w:r w:rsidRPr="00CF2255">
        <w:rPr>
          <w:rFonts w:ascii="Palatino Linotype" w:eastAsia="Palatino Linotype" w:hAnsi="Palatino Linotype" w:cs="Palatino Linotype"/>
          <w:sz w:val="22"/>
        </w:rPr>
        <w:t>LLMs</w:t>
      </w:r>
      <w:proofErr w:type="spellEnd"/>
      <w:r w:rsidRPr="00CF2255">
        <w:rPr>
          <w:rFonts w:ascii="Palatino Linotype" w:eastAsia="Palatino Linotype" w:hAnsi="Palatino Linotype" w:cs="Palatino Linotype"/>
          <w:sz w:val="22"/>
        </w:rPr>
        <w:t xml:space="preserve">, apesar de sua sofisticação, ainda enfrentam desafios significativos em cálculos sequenciais complexos, conforme apontado por Wang e </w:t>
      </w:r>
      <w:proofErr w:type="spellStart"/>
      <w:r w:rsidRPr="00CF2255">
        <w:rPr>
          <w:rFonts w:ascii="Palatino Linotype" w:eastAsia="Palatino Linotype" w:hAnsi="Palatino Linotype" w:cs="Palatino Linotype"/>
          <w:sz w:val="22"/>
        </w:rPr>
        <w:t>Brorsson</w:t>
      </w:r>
      <w:proofErr w:type="spellEnd"/>
      <w:r w:rsidRPr="00CF2255">
        <w:rPr>
          <w:rFonts w:ascii="Palatino Linotype" w:eastAsia="Palatino Linotype" w:hAnsi="Palatino Linotype" w:cs="Palatino Linotype"/>
          <w:sz w:val="22"/>
        </w:rPr>
        <w:t xml:space="preserve"> (2025). A dependência exclusiva desses modelos para decisões financeiras pode ser problemática, especialmente em cenários de mercado atípicos ou durante eventos econômicos sem precedentes históricos.</w:t>
      </w:r>
    </w:p>
    <w:p w14:paraId="13E8093D" w14:textId="77777777" w:rsidR="008627BA" w:rsidRDefault="00CF2255" w:rsidP="008627BA">
      <w:pPr>
        <w:spacing w:line="360" w:lineRule="auto"/>
        <w:jc w:val="both"/>
        <w:rPr>
          <w:rFonts w:ascii="Palatino Linotype" w:eastAsia="Palatino Linotype" w:hAnsi="Palatino Linotype" w:cs="Palatino Linotype"/>
          <w:sz w:val="22"/>
        </w:rPr>
      </w:pPr>
      <w:r w:rsidRPr="00CF2255">
        <w:rPr>
          <w:rFonts w:ascii="Palatino Linotype" w:eastAsia="Palatino Linotype" w:hAnsi="Palatino Linotype" w:cs="Palatino Linotype"/>
          <w:sz w:val="22"/>
        </w:rPr>
        <w:t>Outra limitação relevante refere-se à natureza determinística das previsões financeiras. Como demonstrado por Bernard et al. (2024), a confiança dos modelos na atribuição de nomenclaturas financeiras varia significativamente, indicando que informações extraordinárias podem não ser adequadamente processadas, resultando em atrasos na formação de preços após divulgações.</w:t>
      </w:r>
    </w:p>
    <w:p w14:paraId="7092805D" w14:textId="77777777" w:rsidR="008627BA" w:rsidRDefault="00CF2255" w:rsidP="008627BA">
      <w:pPr>
        <w:spacing w:line="360" w:lineRule="auto"/>
        <w:jc w:val="both"/>
        <w:rPr>
          <w:rFonts w:ascii="Palatino Linotype" w:eastAsia="Palatino Linotype" w:hAnsi="Palatino Linotype" w:cs="Palatino Linotype"/>
          <w:sz w:val="22"/>
        </w:rPr>
      </w:pPr>
      <w:r w:rsidRPr="00CF2255">
        <w:rPr>
          <w:rFonts w:ascii="Palatino Linotype" w:eastAsia="Palatino Linotype" w:hAnsi="Palatino Linotype" w:cs="Palatino Linotype"/>
          <w:sz w:val="22"/>
        </w:rPr>
        <w:t>Adicionalmente, o estudo se concentra em um período específico e em empresas brasileiras de grande capitalização, o que limita a generalização dos resultados para outros mercados, períodos ou categorias de empresas. A validação cruzada em diferentes contextos econômicos seria fundamental para confirmar a robustez das conclusões.</w:t>
      </w:r>
    </w:p>
    <w:p w14:paraId="300070CC" w14:textId="77777777" w:rsidR="008627BA" w:rsidRDefault="00CF2255" w:rsidP="008627BA">
      <w:pPr>
        <w:spacing w:line="360" w:lineRule="auto"/>
        <w:jc w:val="both"/>
        <w:rPr>
          <w:rFonts w:ascii="Palatino Linotype" w:eastAsia="Palatino Linotype" w:hAnsi="Palatino Linotype" w:cs="Palatino Linotype"/>
          <w:sz w:val="22"/>
        </w:rPr>
      </w:pPr>
      <w:r w:rsidRPr="00CF2255">
        <w:rPr>
          <w:rFonts w:ascii="Palatino Linotype" w:eastAsia="Palatino Linotype" w:hAnsi="Palatino Linotype" w:cs="Palatino Linotype"/>
          <w:sz w:val="22"/>
        </w:rPr>
        <w:t xml:space="preserve">O trabalho também apresenta limitações metodológicas quanto à </w:t>
      </w:r>
      <w:proofErr w:type="spellStart"/>
      <w:r w:rsidRPr="00CF2255">
        <w:rPr>
          <w:rFonts w:ascii="Palatino Linotype" w:eastAsia="Palatino Linotype" w:hAnsi="Palatino Linotype" w:cs="Palatino Linotype"/>
          <w:sz w:val="22"/>
        </w:rPr>
        <w:t>interpretabilidade</w:t>
      </w:r>
      <w:proofErr w:type="spellEnd"/>
      <w:r w:rsidRPr="00CF2255">
        <w:rPr>
          <w:rFonts w:ascii="Palatino Linotype" w:eastAsia="Palatino Linotype" w:hAnsi="Palatino Linotype" w:cs="Palatino Linotype"/>
          <w:sz w:val="22"/>
        </w:rPr>
        <w:t xml:space="preserve"> das decisões tomadas pelo modelo. Diferentemente dos analistas humanos, que podem explicar detalhadamente seu raciocínio e adaptar suas análises a novos contextos rapidamente, os </w:t>
      </w:r>
      <w:proofErr w:type="spellStart"/>
      <w:r w:rsidRPr="00CF2255">
        <w:rPr>
          <w:rFonts w:ascii="Palatino Linotype" w:eastAsia="Palatino Linotype" w:hAnsi="Palatino Linotype" w:cs="Palatino Linotype"/>
          <w:sz w:val="22"/>
        </w:rPr>
        <w:t>LLMs</w:t>
      </w:r>
      <w:proofErr w:type="spellEnd"/>
      <w:r w:rsidRPr="00CF2255">
        <w:rPr>
          <w:rFonts w:ascii="Palatino Linotype" w:eastAsia="Palatino Linotype" w:hAnsi="Palatino Linotype" w:cs="Palatino Linotype"/>
          <w:sz w:val="22"/>
        </w:rPr>
        <w:t xml:space="preserve"> operam como "caixas-pretas" em determinados aspectos, o que pode comprometer a confiabilidade em cenários críticos de mercado.</w:t>
      </w:r>
    </w:p>
    <w:p w14:paraId="43BA9333" w14:textId="77777777" w:rsidR="008627BA" w:rsidRDefault="00CF2255" w:rsidP="008627BA">
      <w:pPr>
        <w:spacing w:line="360" w:lineRule="auto"/>
        <w:jc w:val="both"/>
        <w:rPr>
          <w:rFonts w:ascii="Palatino Linotype" w:eastAsia="Palatino Linotype" w:hAnsi="Palatino Linotype" w:cs="Palatino Linotype"/>
          <w:sz w:val="22"/>
        </w:rPr>
      </w:pPr>
      <w:r w:rsidRPr="00CF2255">
        <w:rPr>
          <w:rFonts w:ascii="Palatino Linotype" w:eastAsia="Palatino Linotype" w:hAnsi="Palatino Linotype" w:cs="Palatino Linotype"/>
          <w:sz w:val="22"/>
        </w:rPr>
        <w:lastRenderedPageBreak/>
        <w:t xml:space="preserve">Para pesquisas futuras, seria valioso explorar abordagens híbridas que combinem a capacidade de processamento dos </w:t>
      </w:r>
      <w:proofErr w:type="spellStart"/>
      <w:r w:rsidRPr="00CF2255">
        <w:rPr>
          <w:rFonts w:ascii="Palatino Linotype" w:eastAsia="Palatino Linotype" w:hAnsi="Palatino Linotype" w:cs="Palatino Linotype"/>
          <w:sz w:val="22"/>
        </w:rPr>
        <w:t>LLMs</w:t>
      </w:r>
      <w:proofErr w:type="spellEnd"/>
      <w:r w:rsidRPr="00CF2255">
        <w:rPr>
          <w:rFonts w:ascii="Palatino Linotype" w:eastAsia="Palatino Linotype" w:hAnsi="Palatino Linotype" w:cs="Palatino Linotype"/>
          <w:sz w:val="22"/>
        </w:rPr>
        <w:t xml:space="preserve"> com a expertise contextual e o julgamento crítico de profissionais humanos. Além disso, a incorporação de dados alternativos e o desenvolvimento de métricas mais sofisticadas para avaliar a qualidade das análises poderiam enriquecer significativamente o campo.</w:t>
      </w:r>
    </w:p>
    <w:p w14:paraId="24321CA8" w14:textId="49A7C197" w:rsidR="006E0BBB" w:rsidRDefault="00CF2255" w:rsidP="008627BA">
      <w:pPr>
        <w:spacing w:line="360" w:lineRule="auto"/>
        <w:jc w:val="both"/>
      </w:pPr>
      <w:r w:rsidRPr="00CF2255">
        <w:rPr>
          <w:rFonts w:ascii="Palatino Linotype" w:eastAsia="Palatino Linotype" w:hAnsi="Palatino Linotype" w:cs="Palatino Linotype"/>
          <w:sz w:val="22"/>
        </w:rPr>
        <w:t xml:space="preserve">Em última análise, este trabalho não sugere uma substituição completa dos analistas financeiros humanos, mas indica um futuro </w:t>
      </w:r>
      <w:proofErr w:type="gramStart"/>
      <w:r w:rsidRPr="00CF2255">
        <w:rPr>
          <w:rFonts w:ascii="Palatino Linotype" w:eastAsia="Palatino Linotype" w:hAnsi="Palatino Linotype" w:cs="Palatino Linotype"/>
          <w:sz w:val="22"/>
        </w:rPr>
        <w:t>onde</w:t>
      </w:r>
      <w:proofErr w:type="gramEnd"/>
      <w:r w:rsidRPr="00CF2255">
        <w:rPr>
          <w:rFonts w:ascii="Palatino Linotype" w:eastAsia="Palatino Linotype" w:hAnsi="Palatino Linotype" w:cs="Palatino Linotype"/>
          <w:sz w:val="22"/>
        </w:rPr>
        <w:t xml:space="preserve"> esses profissionais possam ampliar suas capacidades utilizando </w:t>
      </w:r>
      <w:proofErr w:type="spellStart"/>
      <w:r w:rsidRPr="00CF2255">
        <w:rPr>
          <w:rFonts w:ascii="Palatino Linotype" w:eastAsia="Palatino Linotype" w:hAnsi="Palatino Linotype" w:cs="Palatino Linotype"/>
          <w:sz w:val="22"/>
        </w:rPr>
        <w:t>LLMs</w:t>
      </w:r>
      <w:proofErr w:type="spellEnd"/>
      <w:r w:rsidRPr="00CF2255">
        <w:rPr>
          <w:rFonts w:ascii="Palatino Linotype" w:eastAsia="Palatino Linotype" w:hAnsi="Palatino Linotype" w:cs="Palatino Linotype"/>
          <w:sz w:val="22"/>
        </w:rPr>
        <w:t xml:space="preserve"> como ferramentas poderosas de apoio à decisão, potencialmente transformando a natureza da profissão e democratizando o acesso a análises financeiras de qualidade.</w:t>
      </w:r>
      <w:r w:rsidR="00F2362C" w:rsidRPr="006E0BBB">
        <w:rPr>
          <w:rFonts w:ascii="Palatino Linotype" w:eastAsia="Palatino Linotype" w:hAnsi="Palatino Linotype" w:cs="Palatino Linotype"/>
          <w:sz w:val="22"/>
        </w:rPr>
        <w:br w:type="page"/>
      </w:r>
      <w:bookmarkStart w:id="17" w:name="_Toc194592233"/>
      <w:r w:rsidR="006E0BBB">
        <w:rPr>
          <w:rFonts w:ascii="Palatino Linotype" w:eastAsia="Palatino Linotype" w:hAnsi="Palatino Linotype" w:cs="Palatino Linotype"/>
          <w:sz w:val="22"/>
        </w:rPr>
        <w:lastRenderedPageBreak/>
        <w:t xml:space="preserve">6 </w:t>
      </w:r>
      <w:r w:rsidR="006E0BBB">
        <w:t>REFERÊNCIAS BIBLIOGRÁFICAS</w:t>
      </w:r>
      <w:bookmarkEnd w:id="17"/>
      <w:r w:rsidR="006E0BBB">
        <w:t xml:space="preserve"> </w:t>
      </w:r>
    </w:p>
    <w:p w14:paraId="494CEDE9" w14:textId="3487C810" w:rsidR="00A25CD1" w:rsidRPr="00CF2255" w:rsidRDefault="00A25CD1" w:rsidP="007503B5">
      <w:pPr>
        <w:spacing w:before="100" w:beforeAutospacing="1" w:after="100" w:afterAutospacing="1"/>
        <w:rPr>
          <w:lang w:val="en-US"/>
        </w:rPr>
      </w:pPr>
      <w:r>
        <w:rPr>
          <w:b/>
          <w:bCs/>
        </w:rPr>
        <w:t>ABATE</w:t>
      </w:r>
      <w:r w:rsidRPr="00A25CD1">
        <w:rPr>
          <w:b/>
          <w:bCs/>
        </w:rPr>
        <w:t xml:space="preserve">, G., </w:t>
      </w:r>
      <w:r>
        <w:rPr>
          <w:b/>
          <w:bCs/>
        </w:rPr>
        <w:t>BONAFINI</w:t>
      </w:r>
      <w:r w:rsidRPr="00A25CD1">
        <w:rPr>
          <w:b/>
          <w:bCs/>
        </w:rPr>
        <w:t xml:space="preserve">, T., &amp; </w:t>
      </w:r>
      <w:r>
        <w:rPr>
          <w:b/>
          <w:bCs/>
        </w:rPr>
        <w:t>FERRARI</w:t>
      </w:r>
      <w:r w:rsidRPr="00A25CD1">
        <w:rPr>
          <w:b/>
          <w:bCs/>
        </w:rPr>
        <w:t>, P.</w:t>
      </w:r>
      <w:r w:rsidRPr="00A25CD1">
        <w:t xml:space="preserve"> (2022). </w:t>
      </w:r>
      <w:r w:rsidRPr="00A25CD1">
        <w:rPr>
          <w:i/>
          <w:iCs/>
          <w:lang w:val="en-US"/>
        </w:rPr>
        <w:t>Portfolio constraints: An empirical analysis</w:t>
      </w:r>
      <w:r w:rsidRPr="00A25CD1">
        <w:rPr>
          <w:lang w:val="en-US"/>
        </w:rPr>
        <w:t xml:space="preserve">. </w:t>
      </w:r>
      <w:r w:rsidRPr="00CF2255">
        <w:rPr>
          <w:lang w:val="en-US"/>
        </w:rPr>
        <w:t>International Journal of Financial Studies, 10(1), 9. </w:t>
      </w:r>
      <w:hyperlink r:id="rId9" w:tgtFrame="_new" w:history="1">
        <w:r w:rsidRPr="00CF2255">
          <w:rPr>
            <w:color w:val="0000FF"/>
            <w:u w:val="single"/>
            <w:lang w:val="en-US"/>
          </w:rPr>
          <w:t>https://doi.org/10.3390/ijfs10010009</w:t>
        </w:r>
      </w:hyperlink>
    </w:p>
    <w:p w14:paraId="324127DB" w14:textId="6226681C" w:rsidR="007503B5" w:rsidRPr="007503B5" w:rsidRDefault="007503B5" w:rsidP="007503B5">
      <w:pPr>
        <w:spacing w:before="100" w:beforeAutospacing="1" w:after="100" w:afterAutospacing="1"/>
      </w:pPr>
      <w:r w:rsidRPr="007503B5">
        <w:rPr>
          <w:b/>
          <w:bCs/>
          <w:lang w:val="en-US"/>
        </w:rPr>
        <w:t>ALDRIDGE, Irene.</w:t>
      </w:r>
      <w:r w:rsidRPr="007503B5">
        <w:rPr>
          <w:lang w:val="en-US"/>
        </w:rPr>
        <w:t> The AI Revolution: From Linear Regression to ChatGPT and Beyond and How It All Connects to Finance. </w:t>
      </w:r>
      <w:r w:rsidRPr="007503B5">
        <w:rPr>
          <w:i/>
          <w:iCs/>
          <w:lang w:val="en-US"/>
        </w:rPr>
        <w:t>The Journal of Portfolio Management</w:t>
      </w:r>
      <w:r w:rsidRPr="007503B5">
        <w:rPr>
          <w:lang w:val="en-US"/>
        </w:rPr>
        <w:t xml:space="preserve">, v.49, n.9, p.64–77, 2023. DOI: 10.3905/jpm.2023.1.519. </w:t>
      </w:r>
      <w:r w:rsidRPr="007503B5">
        <w:t>Disponível em: https://doi.org/10.3905/jpm.2023.1.519. Acesso em: 25 mar. 2025. [Artigo de periódico]</w:t>
      </w:r>
    </w:p>
    <w:p w14:paraId="08A2C1F2" w14:textId="498D7FA4" w:rsidR="007503B5" w:rsidRPr="007503B5" w:rsidRDefault="007503B5" w:rsidP="007503B5">
      <w:pPr>
        <w:spacing w:before="100" w:beforeAutospacing="1" w:after="100" w:afterAutospacing="1"/>
      </w:pPr>
      <w:r w:rsidRPr="007503B5">
        <w:rPr>
          <w:b/>
          <w:bCs/>
          <w:lang w:val="en-US"/>
        </w:rPr>
        <w:t xml:space="preserve">ALI, </w:t>
      </w:r>
      <w:proofErr w:type="spellStart"/>
      <w:r w:rsidRPr="007503B5">
        <w:rPr>
          <w:b/>
          <w:bCs/>
          <w:lang w:val="en-US"/>
        </w:rPr>
        <w:t>Hassnian</w:t>
      </w:r>
      <w:proofErr w:type="spellEnd"/>
      <w:r w:rsidRPr="007503B5">
        <w:rPr>
          <w:b/>
          <w:bCs/>
          <w:lang w:val="en-US"/>
        </w:rPr>
        <w:t>; AYSAN, Ahmet Faruk.</w:t>
      </w:r>
      <w:r w:rsidRPr="007503B5">
        <w:rPr>
          <w:lang w:val="en-US"/>
        </w:rPr>
        <w:t xml:space="preserve"> What Will ChatGPT Revolutionize in Financial Industry? </w:t>
      </w:r>
      <w:r w:rsidRPr="007503B5">
        <w:t>[Trabalho técnico]. Rochester, NY: SSRN, 28 mar. 2023. DOI: 10.2139/ssrn.4403372. Disponível em: https://papers.ssrn.com/abstract=4403372. Acesso em: 25 mar. 2025. [Trabalho técnico]</w:t>
      </w:r>
    </w:p>
    <w:p w14:paraId="66F71C08" w14:textId="25946904" w:rsidR="007503B5" w:rsidRPr="007503B5" w:rsidRDefault="007503B5" w:rsidP="007503B5">
      <w:pPr>
        <w:spacing w:before="100" w:beforeAutospacing="1" w:after="100" w:afterAutospacing="1"/>
      </w:pPr>
      <w:r w:rsidRPr="00CF2255">
        <w:rPr>
          <w:b/>
          <w:bCs/>
        </w:rPr>
        <w:t>ALLEN, Darcy W. E. </w:t>
      </w:r>
      <w:r w:rsidRPr="00CF2255">
        <w:rPr>
          <w:b/>
          <w:bCs/>
          <w:i/>
          <w:iCs/>
        </w:rPr>
        <w:t>et al</w:t>
      </w:r>
      <w:r w:rsidRPr="00CF2255">
        <w:rPr>
          <w:b/>
          <w:bCs/>
        </w:rPr>
        <w:t>.</w:t>
      </w:r>
      <w:r w:rsidRPr="00CF2255">
        <w:t> </w:t>
      </w:r>
      <w:r w:rsidRPr="007503B5">
        <w:rPr>
          <w:lang w:val="en-US"/>
        </w:rPr>
        <w:t xml:space="preserve">Large Language Models Reduce Agency Costs. </w:t>
      </w:r>
      <w:r w:rsidRPr="007503B5">
        <w:t>[Trabalho técnico]. Rochester, NY: SSRN, 4 maio 2023. DOI: 10.2139/ssrn.4437679. Disponível em: https://papers.ssrn.com/abstract=4437679. Acesso em: 25 mar. 2025. [Trabalho técnico]</w:t>
      </w:r>
    </w:p>
    <w:p w14:paraId="30FB44CF" w14:textId="4FD7D1B2" w:rsidR="007503B5" w:rsidRPr="00CF2255" w:rsidRDefault="007503B5" w:rsidP="007503B5">
      <w:pPr>
        <w:spacing w:before="100" w:beforeAutospacing="1" w:after="100" w:afterAutospacing="1"/>
        <w:rPr>
          <w:lang w:val="en-US"/>
        </w:rPr>
      </w:pPr>
      <w:r w:rsidRPr="007503B5">
        <w:rPr>
          <w:b/>
          <w:bCs/>
        </w:rPr>
        <w:t>ALMEIDA, José; GONÇALVES, Tiago Cruz.</w:t>
      </w:r>
      <w:r w:rsidRPr="007503B5">
        <w:t> </w:t>
      </w:r>
      <w:r w:rsidRPr="007503B5">
        <w:rPr>
          <w:lang w:val="en-US"/>
        </w:rPr>
        <w:t>The AI Revolution: Are Crypto Markets More Efficient after ChatGPT 3? </w:t>
      </w:r>
      <w:r w:rsidRPr="007503B5">
        <w:rPr>
          <w:i/>
          <w:iCs/>
          <w:lang w:val="en-US"/>
        </w:rPr>
        <w:t>Finance Research Letters</w:t>
      </w:r>
      <w:r w:rsidRPr="007503B5">
        <w:rPr>
          <w:lang w:val="en-US"/>
        </w:rPr>
        <w:t xml:space="preserve">, v.66, 2024. DOI: 10.1016/j.frl.2024.105608. </w:t>
      </w:r>
      <w:proofErr w:type="spellStart"/>
      <w:r w:rsidRPr="007503B5">
        <w:rPr>
          <w:lang w:val="en-US"/>
        </w:rPr>
        <w:t>Disponível</w:t>
      </w:r>
      <w:proofErr w:type="spellEnd"/>
      <w:r w:rsidRPr="007503B5">
        <w:rPr>
          <w:lang w:val="en-US"/>
        </w:rPr>
        <w:t xml:space="preserve"> </w:t>
      </w:r>
      <w:proofErr w:type="spellStart"/>
      <w:r w:rsidRPr="007503B5">
        <w:rPr>
          <w:lang w:val="en-US"/>
        </w:rPr>
        <w:t>em</w:t>
      </w:r>
      <w:proofErr w:type="spellEnd"/>
      <w:r w:rsidRPr="007503B5">
        <w:rPr>
          <w:lang w:val="en-US"/>
        </w:rPr>
        <w:t xml:space="preserve">: https://doi.org/10.1016/j.frl.2024.105608. </w:t>
      </w:r>
      <w:proofErr w:type="spellStart"/>
      <w:r w:rsidRPr="00CF2255">
        <w:rPr>
          <w:lang w:val="en-US"/>
        </w:rPr>
        <w:t>Acesso</w:t>
      </w:r>
      <w:proofErr w:type="spellEnd"/>
      <w:r w:rsidRPr="00CF2255">
        <w:rPr>
          <w:lang w:val="en-US"/>
        </w:rPr>
        <w:t xml:space="preserve"> </w:t>
      </w:r>
      <w:proofErr w:type="spellStart"/>
      <w:r w:rsidRPr="00CF2255">
        <w:rPr>
          <w:lang w:val="en-US"/>
        </w:rPr>
        <w:t>em</w:t>
      </w:r>
      <w:proofErr w:type="spellEnd"/>
      <w:r w:rsidRPr="00CF2255">
        <w:rPr>
          <w:lang w:val="en-US"/>
        </w:rPr>
        <w:t xml:space="preserve">: 25 </w:t>
      </w:r>
      <w:proofErr w:type="gramStart"/>
      <w:r w:rsidRPr="00CF2255">
        <w:rPr>
          <w:lang w:val="en-US"/>
        </w:rPr>
        <w:t>mar</w:t>
      </w:r>
      <w:proofErr w:type="gramEnd"/>
      <w:r w:rsidRPr="00CF2255">
        <w:rPr>
          <w:lang w:val="en-US"/>
        </w:rPr>
        <w:t>. 2025. [</w:t>
      </w:r>
      <w:proofErr w:type="spellStart"/>
      <w:r w:rsidRPr="00CF2255">
        <w:rPr>
          <w:lang w:val="en-US"/>
        </w:rPr>
        <w:t>Artigo</w:t>
      </w:r>
      <w:proofErr w:type="spellEnd"/>
      <w:r w:rsidRPr="00CF2255">
        <w:rPr>
          <w:lang w:val="en-US"/>
        </w:rPr>
        <w:t xml:space="preserve"> de </w:t>
      </w:r>
      <w:proofErr w:type="spellStart"/>
      <w:r w:rsidRPr="00CF2255">
        <w:rPr>
          <w:lang w:val="en-US"/>
        </w:rPr>
        <w:t>periódico</w:t>
      </w:r>
      <w:proofErr w:type="spellEnd"/>
      <w:r w:rsidRPr="00CF2255">
        <w:rPr>
          <w:lang w:val="en-US"/>
        </w:rPr>
        <w:t>]</w:t>
      </w:r>
    </w:p>
    <w:p w14:paraId="328B943D" w14:textId="549E16A6" w:rsidR="007503B5" w:rsidRPr="00CF2255" w:rsidRDefault="007503B5" w:rsidP="007503B5">
      <w:pPr>
        <w:spacing w:before="100" w:beforeAutospacing="1" w:after="100" w:afterAutospacing="1"/>
        <w:rPr>
          <w:lang w:val="en-US"/>
        </w:rPr>
      </w:pPr>
      <w:r w:rsidRPr="00CF2255">
        <w:rPr>
          <w:b/>
          <w:bCs/>
          <w:lang w:val="en-US"/>
        </w:rPr>
        <w:t>ANTE, Lennart; DEMIR, Ender.</w:t>
      </w:r>
      <w:r w:rsidRPr="00CF2255">
        <w:rPr>
          <w:lang w:val="en-US"/>
        </w:rPr>
        <w:t> </w:t>
      </w:r>
      <w:r w:rsidRPr="007503B5">
        <w:rPr>
          <w:lang w:val="en-US"/>
        </w:rPr>
        <w:t>The ChatGPT effect on AI-themed cryptocurrencies. </w:t>
      </w:r>
      <w:r w:rsidRPr="007503B5">
        <w:rPr>
          <w:i/>
          <w:iCs/>
          <w:lang w:val="en-US"/>
        </w:rPr>
        <w:t>Economics and Business Letters</w:t>
      </w:r>
      <w:r w:rsidRPr="007503B5">
        <w:rPr>
          <w:lang w:val="en-US"/>
        </w:rPr>
        <w:t xml:space="preserve">, v.13, n.1, p.29–38, 2024. </w:t>
      </w:r>
      <w:r w:rsidRPr="00CF2255">
        <w:t xml:space="preserve">DOI: 10.17811/ebl.13.1.2024.29-38. Disponível em: https://doi.org/10.17811/ebl.13.1.2024.29-38. </w:t>
      </w:r>
      <w:r w:rsidRPr="007503B5">
        <w:t xml:space="preserve">Acesso em: 25 mar. 2025. </w:t>
      </w:r>
      <w:r w:rsidRPr="00CF2255">
        <w:rPr>
          <w:lang w:val="en-US"/>
        </w:rPr>
        <w:t>[</w:t>
      </w:r>
      <w:proofErr w:type="spellStart"/>
      <w:r w:rsidRPr="00CF2255">
        <w:rPr>
          <w:lang w:val="en-US"/>
        </w:rPr>
        <w:t>Artigo</w:t>
      </w:r>
      <w:proofErr w:type="spellEnd"/>
      <w:r w:rsidRPr="00CF2255">
        <w:rPr>
          <w:lang w:val="en-US"/>
        </w:rPr>
        <w:t xml:space="preserve"> de </w:t>
      </w:r>
      <w:proofErr w:type="spellStart"/>
      <w:r w:rsidRPr="00CF2255">
        <w:rPr>
          <w:lang w:val="en-US"/>
        </w:rPr>
        <w:t>periódico</w:t>
      </w:r>
      <w:proofErr w:type="spellEnd"/>
      <w:r w:rsidRPr="00CF2255">
        <w:rPr>
          <w:lang w:val="en-US"/>
        </w:rPr>
        <w:t>]</w:t>
      </w:r>
    </w:p>
    <w:p w14:paraId="1294907B" w14:textId="2CAAD61E" w:rsidR="00A25CD1" w:rsidRPr="00CF2255" w:rsidRDefault="00A25CD1" w:rsidP="007503B5">
      <w:pPr>
        <w:spacing w:before="100" w:beforeAutospacing="1" w:after="100" w:afterAutospacing="1"/>
        <w:rPr>
          <w:lang w:val="en-US"/>
        </w:rPr>
      </w:pPr>
      <w:r>
        <w:rPr>
          <w:b/>
          <w:bCs/>
          <w:lang w:val="en-US"/>
        </w:rPr>
        <w:t>BEHR</w:t>
      </w:r>
      <w:r w:rsidRPr="00A25CD1">
        <w:rPr>
          <w:b/>
          <w:bCs/>
          <w:lang w:val="en-US"/>
        </w:rPr>
        <w:t xml:space="preserve">, P., </w:t>
      </w:r>
      <w:r>
        <w:rPr>
          <w:b/>
          <w:bCs/>
          <w:lang w:val="en-US"/>
        </w:rPr>
        <w:t>GUETTLER</w:t>
      </w:r>
      <w:r w:rsidRPr="00A25CD1">
        <w:rPr>
          <w:b/>
          <w:bCs/>
          <w:lang w:val="en-US"/>
        </w:rPr>
        <w:t xml:space="preserve">, A., &amp; </w:t>
      </w:r>
      <w:r>
        <w:rPr>
          <w:b/>
          <w:bCs/>
          <w:lang w:val="en-US"/>
        </w:rPr>
        <w:t>MIEBS</w:t>
      </w:r>
      <w:r w:rsidRPr="00A25CD1">
        <w:rPr>
          <w:b/>
          <w:bCs/>
          <w:lang w:val="en-US"/>
        </w:rPr>
        <w:t>, F.</w:t>
      </w:r>
      <w:r w:rsidRPr="00A25CD1">
        <w:rPr>
          <w:lang w:val="en-US"/>
        </w:rPr>
        <w:t xml:space="preserve"> (2012).</w:t>
      </w:r>
      <w:r w:rsidRPr="00A25CD1">
        <w:rPr>
          <w:rStyle w:val="apple-converted-space"/>
          <w:lang w:val="en-US"/>
        </w:rPr>
        <w:t> </w:t>
      </w:r>
      <w:r w:rsidRPr="00A25CD1">
        <w:rPr>
          <w:rStyle w:val="nfase"/>
          <w:lang w:val="en-US"/>
        </w:rPr>
        <w:t>On portfolio optimization: Imposing the right constraints</w:t>
      </w:r>
      <w:r w:rsidRPr="00A25CD1">
        <w:rPr>
          <w:lang w:val="en-US"/>
        </w:rPr>
        <w:t xml:space="preserve">. </w:t>
      </w:r>
      <w:r w:rsidRPr="00CF2255">
        <w:rPr>
          <w:lang w:val="en-US"/>
        </w:rPr>
        <w:t>SSRN Electronic Journal.</w:t>
      </w:r>
      <w:r w:rsidRPr="00CF2255">
        <w:rPr>
          <w:rStyle w:val="apple-converted-space"/>
          <w:lang w:val="en-US"/>
        </w:rPr>
        <w:t> </w:t>
      </w:r>
      <w:hyperlink r:id="rId10" w:tgtFrame="_new" w:history="1">
        <w:r w:rsidRPr="00CF2255">
          <w:rPr>
            <w:rStyle w:val="Hyperlink"/>
            <w:lang w:val="en-US"/>
          </w:rPr>
          <w:t>http://ssrn.com/abstract=1618756</w:t>
        </w:r>
      </w:hyperlink>
    </w:p>
    <w:p w14:paraId="2FC2B63D" w14:textId="5826692F" w:rsidR="007503B5" w:rsidRPr="007503B5" w:rsidRDefault="007503B5" w:rsidP="007503B5">
      <w:pPr>
        <w:spacing w:before="100" w:beforeAutospacing="1" w:after="100" w:afterAutospacing="1"/>
      </w:pPr>
      <w:r w:rsidRPr="00CF2255">
        <w:rPr>
          <w:b/>
          <w:bCs/>
          <w:lang w:val="en-US"/>
        </w:rPr>
        <w:t>BERTOMEU, Jeremy </w:t>
      </w:r>
      <w:r w:rsidRPr="00CF2255">
        <w:rPr>
          <w:b/>
          <w:bCs/>
          <w:i/>
          <w:iCs/>
          <w:lang w:val="en-US"/>
        </w:rPr>
        <w:t>et al</w:t>
      </w:r>
      <w:r w:rsidRPr="00CF2255">
        <w:rPr>
          <w:b/>
          <w:bCs/>
          <w:lang w:val="en-US"/>
        </w:rPr>
        <w:t>.</w:t>
      </w:r>
      <w:r w:rsidRPr="00CF2255">
        <w:rPr>
          <w:lang w:val="en-US"/>
        </w:rPr>
        <w:t> </w:t>
      </w:r>
      <w:r w:rsidRPr="007503B5">
        <w:rPr>
          <w:lang w:val="en-US"/>
        </w:rPr>
        <w:t>The Impact of Generative AI on Information Processing: Evidence from the Ban of ChatGPT in Italy. </w:t>
      </w:r>
      <w:r w:rsidRPr="007503B5">
        <w:rPr>
          <w:i/>
          <w:iCs/>
          <w:lang w:val="en-US"/>
        </w:rPr>
        <w:t>Journal of Accounting and Economics</w:t>
      </w:r>
      <w:r w:rsidRPr="007503B5">
        <w:rPr>
          <w:lang w:val="en-US"/>
        </w:rPr>
        <w:t xml:space="preserve">, no </w:t>
      </w:r>
      <w:proofErr w:type="spellStart"/>
      <w:r w:rsidRPr="007503B5">
        <w:rPr>
          <w:lang w:val="en-US"/>
        </w:rPr>
        <w:t>prelo</w:t>
      </w:r>
      <w:proofErr w:type="spellEnd"/>
      <w:r w:rsidRPr="007503B5">
        <w:rPr>
          <w:lang w:val="en-US"/>
        </w:rPr>
        <w:t xml:space="preserve">, 2025. DOI: 10.2139/ssrn.5118661. </w:t>
      </w:r>
      <w:proofErr w:type="spellStart"/>
      <w:r w:rsidRPr="007503B5">
        <w:rPr>
          <w:lang w:val="en-US"/>
        </w:rPr>
        <w:t>Disponível</w:t>
      </w:r>
      <w:proofErr w:type="spellEnd"/>
      <w:r w:rsidRPr="007503B5">
        <w:rPr>
          <w:lang w:val="en-US"/>
        </w:rPr>
        <w:t xml:space="preserve"> </w:t>
      </w:r>
      <w:proofErr w:type="spellStart"/>
      <w:r w:rsidRPr="007503B5">
        <w:rPr>
          <w:lang w:val="en-US"/>
        </w:rPr>
        <w:t>em</w:t>
      </w:r>
      <w:proofErr w:type="spellEnd"/>
      <w:r w:rsidRPr="007503B5">
        <w:rPr>
          <w:lang w:val="en-US"/>
        </w:rPr>
        <w:t xml:space="preserve">: https://papers.ssrn.com/abstract=5118661. </w:t>
      </w:r>
      <w:r w:rsidRPr="007503B5">
        <w:t>Acesso em: 25 mar. 2025. [Artigo de periódico no prelo]</w:t>
      </w:r>
    </w:p>
    <w:p w14:paraId="5BD5FFFA" w14:textId="6142BBAB" w:rsidR="007503B5" w:rsidRPr="007503B5" w:rsidRDefault="007503B5" w:rsidP="007503B5">
      <w:pPr>
        <w:spacing w:before="100" w:beforeAutospacing="1" w:after="100" w:afterAutospacing="1"/>
      </w:pPr>
      <w:r w:rsidRPr="00CF2255">
        <w:rPr>
          <w:b/>
          <w:bCs/>
        </w:rPr>
        <w:t xml:space="preserve">DONG, </w:t>
      </w:r>
      <w:proofErr w:type="spellStart"/>
      <w:r w:rsidRPr="00CF2255">
        <w:rPr>
          <w:b/>
          <w:bCs/>
        </w:rPr>
        <w:t>Mengming</w:t>
      </w:r>
      <w:proofErr w:type="spellEnd"/>
      <w:r w:rsidRPr="00CF2255">
        <w:rPr>
          <w:b/>
          <w:bCs/>
        </w:rPr>
        <w:t xml:space="preserve"> Michael; STRATOPOULOS, </w:t>
      </w:r>
      <w:proofErr w:type="spellStart"/>
      <w:r w:rsidRPr="00CF2255">
        <w:rPr>
          <w:b/>
          <w:bCs/>
        </w:rPr>
        <w:t>Theophanis</w:t>
      </w:r>
      <w:proofErr w:type="spellEnd"/>
      <w:r w:rsidRPr="00CF2255">
        <w:rPr>
          <w:b/>
          <w:bCs/>
        </w:rPr>
        <w:t xml:space="preserve"> C.; WANG, Victor </w:t>
      </w:r>
      <w:proofErr w:type="spellStart"/>
      <w:r w:rsidRPr="00CF2255">
        <w:rPr>
          <w:b/>
          <w:bCs/>
        </w:rPr>
        <w:t>Xiaoqi</w:t>
      </w:r>
      <w:proofErr w:type="spellEnd"/>
      <w:r w:rsidRPr="00CF2255">
        <w:rPr>
          <w:b/>
          <w:bCs/>
        </w:rPr>
        <w:t>.</w:t>
      </w:r>
      <w:r w:rsidRPr="00CF2255">
        <w:t> </w:t>
      </w:r>
      <w:r w:rsidRPr="007503B5">
        <w:rPr>
          <w:lang w:val="en-US"/>
        </w:rPr>
        <w:t xml:space="preserve">A Scoping Review of ChatGPT Research in Accounting and Finance. </w:t>
      </w:r>
      <w:r w:rsidRPr="007503B5">
        <w:t>[Trabalho técnico]. Rochester, NY: SSRN, dez. 2023. DOI: 10.2139/ssrn.4680203. Disponível em: https://papers.ssrn.com/abstract=4680203. Acesso em: 25 mar. 2025. [Trabalho técnico]</w:t>
      </w:r>
    </w:p>
    <w:p w14:paraId="3BC9EE0A" w14:textId="4F328C71" w:rsidR="007503B5" w:rsidRPr="007503B5" w:rsidRDefault="007503B5" w:rsidP="007503B5">
      <w:pPr>
        <w:spacing w:before="100" w:beforeAutospacing="1" w:after="100" w:afterAutospacing="1"/>
      </w:pPr>
      <w:r w:rsidRPr="007503B5">
        <w:rPr>
          <w:b/>
          <w:bCs/>
        </w:rPr>
        <w:t>FAIRHURST, Douglas J.; GREENE, Daniel.</w:t>
      </w:r>
      <w:r w:rsidRPr="007503B5">
        <w:t> </w:t>
      </w:r>
      <w:r w:rsidRPr="007503B5">
        <w:rPr>
          <w:lang w:val="en-US"/>
        </w:rPr>
        <w:t>How Much Does ChatGPT Know About Finance? </w:t>
      </w:r>
      <w:r w:rsidRPr="007503B5">
        <w:rPr>
          <w:i/>
          <w:iCs/>
        </w:rPr>
        <w:t xml:space="preserve">Financial </w:t>
      </w:r>
      <w:proofErr w:type="spellStart"/>
      <w:r w:rsidRPr="007503B5">
        <w:rPr>
          <w:i/>
          <w:iCs/>
        </w:rPr>
        <w:t>Analysts</w:t>
      </w:r>
      <w:proofErr w:type="spellEnd"/>
      <w:r w:rsidRPr="007503B5">
        <w:rPr>
          <w:i/>
          <w:iCs/>
        </w:rPr>
        <w:t xml:space="preserve"> </w:t>
      </w:r>
      <w:proofErr w:type="spellStart"/>
      <w:r w:rsidRPr="007503B5">
        <w:rPr>
          <w:i/>
          <w:iCs/>
        </w:rPr>
        <w:t>Journal</w:t>
      </w:r>
      <w:proofErr w:type="spellEnd"/>
      <w:r w:rsidRPr="007503B5">
        <w:t>, no prelo, 2024. DOI: 10.2139/ssrn.4974976. Disponível em: https://papers.ssrn.com/abstract=4974976. Acesso em: 25 mar. 2025. [Artigo de periódico no prelo]</w:t>
      </w:r>
    </w:p>
    <w:p w14:paraId="4CBDD5C4" w14:textId="721C9FFC" w:rsidR="007503B5" w:rsidRPr="007503B5" w:rsidRDefault="007503B5" w:rsidP="007503B5">
      <w:pPr>
        <w:spacing w:before="100" w:beforeAutospacing="1" w:after="100" w:afterAutospacing="1"/>
      </w:pPr>
      <w:r w:rsidRPr="007503B5">
        <w:rPr>
          <w:b/>
          <w:bCs/>
        </w:rPr>
        <w:lastRenderedPageBreak/>
        <w:t xml:space="preserve">HANSEN, Anne </w:t>
      </w:r>
      <w:proofErr w:type="spellStart"/>
      <w:r w:rsidRPr="007503B5">
        <w:rPr>
          <w:b/>
          <w:bCs/>
        </w:rPr>
        <w:t>Lundgaard</w:t>
      </w:r>
      <w:proofErr w:type="spellEnd"/>
      <w:r w:rsidRPr="007503B5">
        <w:rPr>
          <w:b/>
          <w:bCs/>
        </w:rPr>
        <w:t>; KAZINNIK, Sophia.</w:t>
      </w:r>
      <w:r w:rsidRPr="007503B5">
        <w:t> </w:t>
      </w:r>
      <w:proofErr w:type="spellStart"/>
      <w:r w:rsidRPr="007503B5">
        <w:t>Can</w:t>
      </w:r>
      <w:proofErr w:type="spellEnd"/>
      <w:r w:rsidRPr="007503B5">
        <w:t xml:space="preserve"> ChatGPT </w:t>
      </w:r>
      <w:proofErr w:type="spellStart"/>
      <w:r w:rsidRPr="007503B5">
        <w:t>Decipher</w:t>
      </w:r>
      <w:proofErr w:type="spellEnd"/>
      <w:r w:rsidRPr="007503B5">
        <w:t xml:space="preserve"> </w:t>
      </w:r>
      <w:proofErr w:type="spellStart"/>
      <w:r w:rsidRPr="007503B5">
        <w:t>Fedspeak</w:t>
      </w:r>
      <w:proofErr w:type="spellEnd"/>
      <w:r w:rsidRPr="007503B5">
        <w:t xml:space="preserve">? [Apresentação em conferência]. </w:t>
      </w:r>
      <w:proofErr w:type="spellStart"/>
      <w:r w:rsidRPr="007503B5">
        <w:rPr>
          <w:lang w:val="en-US"/>
        </w:rPr>
        <w:t>Apresentado</w:t>
      </w:r>
      <w:proofErr w:type="spellEnd"/>
      <w:r w:rsidRPr="007503B5">
        <w:rPr>
          <w:lang w:val="en-US"/>
        </w:rPr>
        <w:t xml:space="preserve"> </w:t>
      </w:r>
      <w:proofErr w:type="spellStart"/>
      <w:r w:rsidRPr="007503B5">
        <w:rPr>
          <w:lang w:val="en-US"/>
        </w:rPr>
        <w:t>em</w:t>
      </w:r>
      <w:proofErr w:type="spellEnd"/>
      <w:r w:rsidRPr="007503B5">
        <w:rPr>
          <w:lang w:val="en-US"/>
        </w:rPr>
        <w:t>: </w:t>
      </w:r>
      <w:r w:rsidRPr="007503B5">
        <w:rPr>
          <w:i/>
          <w:iCs/>
          <w:lang w:val="en-US"/>
        </w:rPr>
        <w:t>The Fourth New York Fed Conference on FinTech: Artificial Intelligence and Digital Assets</w:t>
      </w:r>
      <w:r w:rsidRPr="007503B5">
        <w:rPr>
          <w:lang w:val="en-US"/>
        </w:rPr>
        <w:t xml:space="preserve">, Nova York, 29 set. 2023. </w:t>
      </w:r>
      <w:r w:rsidRPr="007503B5">
        <w:t>Disponível em: https://www.newyorkfed.org/medialibrary/media/research/conference/2023/FinTech/5_400pm_Hansen_slides_Kazinnik.pdf. Acesso em: 25 mar. 2025. [Apresentação em conferência]</w:t>
      </w:r>
    </w:p>
    <w:p w14:paraId="29BE9BC4" w14:textId="42A94EE2" w:rsidR="007503B5" w:rsidRPr="007503B5" w:rsidRDefault="007503B5" w:rsidP="007503B5">
      <w:pPr>
        <w:spacing w:before="100" w:beforeAutospacing="1" w:after="100" w:afterAutospacing="1"/>
        <w:rPr>
          <w:lang w:val="en-US"/>
        </w:rPr>
      </w:pPr>
      <w:r w:rsidRPr="00CF2255">
        <w:rPr>
          <w:b/>
          <w:bCs/>
        </w:rPr>
        <w:t xml:space="preserve">JHA, </w:t>
      </w:r>
      <w:proofErr w:type="spellStart"/>
      <w:r w:rsidRPr="00CF2255">
        <w:rPr>
          <w:b/>
          <w:bCs/>
        </w:rPr>
        <w:t>Manish</w:t>
      </w:r>
      <w:proofErr w:type="spellEnd"/>
      <w:r w:rsidRPr="00CF2255">
        <w:rPr>
          <w:b/>
          <w:bCs/>
        </w:rPr>
        <w:t> </w:t>
      </w:r>
      <w:r w:rsidRPr="00CF2255">
        <w:rPr>
          <w:b/>
          <w:bCs/>
          <w:i/>
          <w:iCs/>
        </w:rPr>
        <w:t>et al</w:t>
      </w:r>
      <w:r w:rsidRPr="00CF2255">
        <w:rPr>
          <w:b/>
          <w:bCs/>
        </w:rPr>
        <w:t>.</w:t>
      </w:r>
      <w:r w:rsidRPr="00CF2255">
        <w:t xml:space="preserve"> ChatGPT </w:t>
      </w:r>
      <w:proofErr w:type="spellStart"/>
      <w:r w:rsidRPr="00CF2255">
        <w:t>and</w:t>
      </w:r>
      <w:proofErr w:type="spellEnd"/>
      <w:r w:rsidRPr="00CF2255">
        <w:t xml:space="preserve"> Corporate Policies. </w:t>
      </w:r>
      <w:r w:rsidRPr="007503B5">
        <w:t xml:space="preserve">[Trabalho técnico]. Rochester, NY: SSRN, 28 fev. 2025. DOI: 10.2139/ssrn.4521096. Disponível em: https://papers.ssrn.com/abstract=4521096. Acesso em: 25 mar. 2025. </w:t>
      </w:r>
      <w:r w:rsidRPr="007503B5">
        <w:rPr>
          <w:lang w:val="en-US"/>
        </w:rPr>
        <w:t>[</w:t>
      </w:r>
      <w:proofErr w:type="spellStart"/>
      <w:r w:rsidRPr="007503B5">
        <w:rPr>
          <w:lang w:val="en-US"/>
        </w:rPr>
        <w:t>Trabalho</w:t>
      </w:r>
      <w:proofErr w:type="spellEnd"/>
      <w:r w:rsidRPr="007503B5">
        <w:rPr>
          <w:lang w:val="en-US"/>
        </w:rPr>
        <w:t xml:space="preserve"> </w:t>
      </w:r>
      <w:proofErr w:type="spellStart"/>
      <w:r w:rsidRPr="007503B5">
        <w:rPr>
          <w:lang w:val="en-US"/>
        </w:rPr>
        <w:t>técnico</w:t>
      </w:r>
      <w:proofErr w:type="spellEnd"/>
      <w:r w:rsidRPr="007503B5">
        <w:rPr>
          <w:lang w:val="en-US"/>
        </w:rPr>
        <w:t>]</w:t>
      </w:r>
    </w:p>
    <w:p w14:paraId="106A86B2" w14:textId="3ECF0AA1" w:rsidR="007503B5" w:rsidRPr="00CF2255" w:rsidRDefault="007503B5" w:rsidP="007503B5">
      <w:pPr>
        <w:spacing w:before="100" w:beforeAutospacing="1" w:after="100" w:afterAutospacing="1"/>
        <w:rPr>
          <w:lang w:val="en-US"/>
        </w:rPr>
      </w:pPr>
      <w:r w:rsidRPr="007503B5">
        <w:rPr>
          <w:b/>
          <w:bCs/>
          <w:lang w:val="en-US"/>
        </w:rPr>
        <w:t>KIM, Alex G.; MUHN, Maximilian; NIKOLAEV, Valeri V.</w:t>
      </w:r>
      <w:r w:rsidRPr="007503B5">
        <w:rPr>
          <w:lang w:val="en-US"/>
        </w:rPr>
        <w:t xml:space="preserve"> Bloated Disclosures: Can ChatGPT Help Investors Process Information? </w:t>
      </w:r>
      <w:r w:rsidRPr="00CF2255">
        <w:t xml:space="preserve">[Trabalho técnico]. Rochester, NY: SSRN, 27 ago. 2024. DOI: 10.2139/ssrn.4425527. </w:t>
      </w:r>
      <w:r w:rsidRPr="007503B5">
        <w:t xml:space="preserve">Disponível em: https://papers.ssrn.com/abstract=4425527. </w:t>
      </w:r>
      <w:proofErr w:type="spellStart"/>
      <w:r w:rsidRPr="00CF2255">
        <w:rPr>
          <w:lang w:val="en-US"/>
        </w:rPr>
        <w:t>Acesso</w:t>
      </w:r>
      <w:proofErr w:type="spellEnd"/>
      <w:r w:rsidRPr="00CF2255">
        <w:rPr>
          <w:lang w:val="en-US"/>
        </w:rPr>
        <w:t xml:space="preserve"> </w:t>
      </w:r>
      <w:proofErr w:type="spellStart"/>
      <w:r w:rsidRPr="00CF2255">
        <w:rPr>
          <w:lang w:val="en-US"/>
        </w:rPr>
        <w:t>em</w:t>
      </w:r>
      <w:proofErr w:type="spellEnd"/>
      <w:r w:rsidRPr="00CF2255">
        <w:rPr>
          <w:lang w:val="en-US"/>
        </w:rPr>
        <w:t xml:space="preserve">: 25 </w:t>
      </w:r>
      <w:proofErr w:type="gramStart"/>
      <w:r w:rsidRPr="00CF2255">
        <w:rPr>
          <w:lang w:val="en-US"/>
        </w:rPr>
        <w:t>mar</w:t>
      </w:r>
      <w:proofErr w:type="gramEnd"/>
      <w:r w:rsidRPr="00CF2255">
        <w:rPr>
          <w:lang w:val="en-US"/>
        </w:rPr>
        <w:t>. 2025. [</w:t>
      </w:r>
      <w:proofErr w:type="spellStart"/>
      <w:r w:rsidRPr="00CF2255">
        <w:rPr>
          <w:lang w:val="en-US"/>
        </w:rPr>
        <w:t>Trabalho</w:t>
      </w:r>
      <w:proofErr w:type="spellEnd"/>
      <w:r w:rsidRPr="00CF2255">
        <w:rPr>
          <w:lang w:val="en-US"/>
        </w:rPr>
        <w:t xml:space="preserve"> </w:t>
      </w:r>
      <w:proofErr w:type="spellStart"/>
      <w:r w:rsidRPr="00CF2255">
        <w:rPr>
          <w:lang w:val="en-US"/>
        </w:rPr>
        <w:t>técnico</w:t>
      </w:r>
      <w:proofErr w:type="spellEnd"/>
      <w:r w:rsidRPr="00CF2255">
        <w:rPr>
          <w:lang w:val="en-US"/>
        </w:rPr>
        <w:t>]</w:t>
      </w:r>
    </w:p>
    <w:p w14:paraId="61BE21FE" w14:textId="27D79CA1" w:rsidR="007503B5" w:rsidRPr="00CF2255" w:rsidRDefault="007503B5" w:rsidP="007503B5">
      <w:pPr>
        <w:spacing w:before="100" w:beforeAutospacing="1" w:after="100" w:afterAutospacing="1"/>
      </w:pPr>
      <w:r w:rsidRPr="00CF2255">
        <w:rPr>
          <w:b/>
          <w:bCs/>
          <w:lang w:val="en-US"/>
        </w:rPr>
        <w:t>KIM, Jang Ho.</w:t>
      </w:r>
      <w:r w:rsidRPr="007503B5">
        <w:rPr>
          <w:lang w:val="en-US"/>
        </w:rPr>
        <w:t> What if ChatGPT were a quant asset manager. </w:t>
      </w:r>
      <w:r w:rsidRPr="007503B5">
        <w:rPr>
          <w:i/>
          <w:iCs/>
          <w:lang w:val="en-US"/>
        </w:rPr>
        <w:t>Finance Research Letters</w:t>
      </w:r>
      <w:r w:rsidRPr="007503B5">
        <w:rPr>
          <w:lang w:val="en-US"/>
        </w:rPr>
        <w:t xml:space="preserve">, v.58, 2023. </w:t>
      </w:r>
      <w:r w:rsidRPr="00CF2255">
        <w:t xml:space="preserve">DOI: 10.1016/j.frl.2023.104580. </w:t>
      </w:r>
      <w:r w:rsidRPr="007503B5">
        <w:t xml:space="preserve">Disponível em: https://doi.org/10.1016/j.frl.2023.104580. Acesso em: 25 mar. 2025. </w:t>
      </w:r>
      <w:r w:rsidRPr="00CF2255">
        <w:t>[Artigo de periódico]</w:t>
      </w:r>
    </w:p>
    <w:p w14:paraId="562B0A7A" w14:textId="15A093AC" w:rsidR="007503B5" w:rsidRPr="007503B5" w:rsidRDefault="007503B5" w:rsidP="007503B5">
      <w:pPr>
        <w:spacing w:before="100" w:beforeAutospacing="1" w:after="100" w:afterAutospacing="1"/>
        <w:rPr>
          <w:lang w:val="en-US"/>
        </w:rPr>
      </w:pPr>
      <w:r w:rsidRPr="00CF2255">
        <w:rPr>
          <w:b/>
          <w:bCs/>
        </w:rPr>
        <w:t>LOPEZ-LIRA, Alexander; TANG, Yuan.</w:t>
      </w:r>
      <w:r w:rsidRPr="00CF2255">
        <w:t> </w:t>
      </w:r>
      <w:r w:rsidRPr="007503B5">
        <w:rPr>
          <w:lang w:val="en-US"/>
        </w:rPr>
        <w:t xml:space="preserve">Can ChatGPT Forecast Stock Price Movements? </w:t>
      </w:r>
      <w:proofErr w:type="spellStart"/>
      <w:r w:rsidRPr="00CF2255">
        <w:t>Return</w:t>
      </w:r>
      <w:proofErr w:type="spellEnd"/>
      <w:r w:rsidRPr="00CF2255">
        <w:t xml:space="preserve"> </w:t>
      </w:r>
      <w:proofErr w:type="spellStart"/>
      <w:r w:rsidRPr="00CF2255">
        <w:t>Predictability</w:t>
      </w:r>
      <w:proofErr w:type="spellEnd"/>
      <w:r w:rsidRPr="00CF2255">
        <w:t xml:space="preserve"> </w:t>
      </w:r>
      <w:proofErr w:type="spellStart"/>
      <w:r w:rsidRPr="00CF2255">
        <w:t>and</w:t>
      </w:r>
      <w:proofErr w:type="spellEnd"/>
      <w:r w:rsidRPr="00CF2255">
        <w:t xml:space="preserve"> Large </w:t>
      </w:r>
      <w:proofErr w:type="spellStart"/>
      <w:r w:rsidRPr="00CF2255">
        <w:t>Language</w:t>
      </w:r>
      <w:proofErr w:type="spellEnd"/>
      <w:r w:rsidRPr="00CF2255">
        <w:t xml:space="preserve"> Models. </w:t>
      </w:r>
      <w:r w:rsidRPr="007503B5">
        <w:t xml:space="preserve">[Pré-publicação]. arXiv:2304.07619, 2023. Disponível em: https://arxiv.org/abs/2304.07619. Acesso em: 25 mar. 2025. </w:t>
      </w:r>
      <w:r w:rsidRPr="007503B5">
        <w:rPr>
          <w:lang w:val="en-US"/>
        </w:rPr>
        <w:t>[Pré-</w:t>
      </w:r>
      <w:proofErr w:type="spellStart"/>
      <w:r w:rsidRPr="007503B5">
        <w:rPr>
          <w:lang w:val="en-US"/>
        </w:rPr>
        <w:t>publicação</w:t>
      </w:r>
      <w:proofErr w:type="spellEnd"/>
      <w:r w:rsidRPr="007503B5">
        <w:rPr>
          <w:lang w:val="en-US"/>
        </w:rPr>
        <w:t>]</w:t>
      </w:r>
    </w:p>
    <w:p w14:paraId="4C3DD82A" w14:textId="4C4DF664" w:rsidR="007503B5" w:rsidRPr="007503B5" w:rsidRDefault="007503B5" w:rsidP="007503B5">
      <w:pPr>
        <w:spacing w:before="100" w:beforeAutospacing="1" w:after="100" w:afterAutospacing="1"/>
        <w:rPr>
          <w:lang w:val="en-US"/>
        </w:rPr>
      </w:pPr>
      <w:r w:rsidRPr="00CF2255">
        <w:rPr>
          <w:b/>
          <w:bCs/>
        </w:rPr>
        <w:t xml:space="preserve">LU, </w:t>
      </w:r>
      <w:proofErr w:type="spellStart"/>
      <w:r w:rsidRPr="00CF2255">
        <w:rPr>
          <w:b/>
          <w:bCs/>
        </w:rPr>
        <w:t>Fangzhou</w:t>
      </w:r>
      <w:proofErr w:type="spellEnd"/>
      <w:r w:rsidRPr="00CF2255">
        <w:rPr>
          <w:b/>
          <w:bCs/>
        </w:rPr>
        <w:t xml:space="preserve">; HUANG, Lei; LI, </w:t>
      </w:r>
      <w:proofErr w:type="spellStart"/>
      <w:r w:rsidRPr="00CF2255">
        <w:rPr>
          <w:b/>
          <w:bCs/>
        </w:rPr>
        <w:t>Sixuan</w:t>
      </w:r>
      <w:proofErr w:type="spellEnd"/>
      <w:r w:rsidRPr="00CF2255">
        <w:rPr>
          <w:b/>
          <w:bCs/>
        </w:rPr>
        <w:t>.</w:t>
      </w:r>
      <w:r w:rsidRPr="00CF2255">
        <w:t> </w:t>
      </w:r>
      <w:r w:rsidRPr="007503B5">
        <w:rPr>
          <w:lang w:val="en-US"/>
        </w:rPr>
        <w:t xml:space="preserve">ChatGPT, Generative AI, and Investment Advisory. </w:t>
      </w:r>
      <w:r w:rsidRPr="007503B5">
        <w:t xml:space="preserve">[Trabalho técnico]. Rochester, NY: SSRN, 24 jul. 2023. DOI: 10.2139/ssrn.4519182. Disponível em: https://papers.ssrn.com/abstract=4519182. </w:t>
      </w:r>
      <w:proofErr w:type="spellStart"/>
      <w:r w:rsidRPr="007503B5">
        <w:rPr>
          <w:lang w:val="en-US"/>
        </w:rPr>
        <w:t>Acesso</w:t>
      </w:r>
      <w:proofErr w:type="spellEnd"/>
      <w:r w:rsidRPr="007503B5">
        <w:rPr>
          <w:lang w:val="en-US"/>
        </w:rPr>
        <w:t xml:space="preserve"> </w:t>
      </w:r>
      <w:proofErr w:type="spellStart"/>
      <w:r w:rsidRPr="007503B5">
        <w:rPr>
          <w:lang w:val="en-US"/>
        </w:rPr>
        <w:t>em</w:t>
      </w:r>
      <w:proofErr w:type="spellEnd"/>
      <w:r w:rsidRPr="007503B5">
        <w:rPr>
          <w:lang w:val="en-US"/>
        </w:rPr>
        <w:t xml:space="preserve">: 25 </w:t>
      </w:r>
      <w:proofErr w:type="gramStart"/>
      <w:r w:rsidRPr="007503B5">
        <w:rPr>
          <w:lang w:val="en-US"/>
        </w:rPr>
        <w:t>mar</w:t>
      </w:r>
      <w:proofErr w:type="gramEnd"/>
      <w:r w:rsidRPr="007503B5">
        <w:rPr>
          <w:lang w:val="en-US"/>
        </w:rPr>
        <w:t>. 2025. [</w:t>
      </w:r>
      <w:proofErr w:type="spellStart"/>
      <w:r w:rsidRPr="007503B5">
        <w:rPr>
          <w:lang w:val="en-US"/>
        </w:rPr>
        <w:t>Trabalho</w:t>
      </w:r>
      <w:proofErr w:type="spellEnd"/>
      <w:r w:rsidRPr="007503B5">
        <w:rPr>
          <w:lang w:val="en-US"/>
        </w:rPr>
        <w:t xml:space="preserve"> </w:t>
      </w:r>
      <w:proofErr w:type="spellStart"/>
      <w:r w:rsidRPr="007503B5">
        <w:rPr>
          <w:lang w:val="en-US"/>
        </w:rPr>
        <w:t>técnico</w:t>
      </w:r>
      <w:proofErr w:type="spellEnd"/>
      <w:r w:rsidRPr="007503B5">
        <w:rPr>
          <w:lang w:val="en-US"/>
        </w:rPr>
        <w:t>]</w:t>
      </w:r>
    </w:p>
    <w:p w14:paraId="7B9AA808" w14:textId="65F22A0D" w:rsidR="007503B5" w:rsidRPr="007503B5" w:rsidRDefault="007503B5" w:rsidP="007503B5">
      <w:pPr>
        <w:spacing w:before="100" w:beforeAutospacing="1" w:after="100" w:afterAutospacing="1"/>
        <w:rPr>
          <w:lang w:val="en-US"/>
        </w:rPr>
      </w:pPr>
      <w:r w:rsidRPr="007503B5">
        <w:rPr>
          <w:b/>
          <w:bCs/>
          <w:lang w:val="en-US"/>
        </w:rPr>
        <w:t>LUDWIG, Eric T.; BENNETTS, Chet R.</w:t>
      </w:r>
      <w:r w:rsidRPr="007503B5">
        <w:rPr>
          <w:lang w:val="en-US"/>
        </w:rPr>
        <w:t> Streamlining Financial Planning with ChatGPT: A Collaborative Approach between Technology and Human Expertise. </w:t>
      </w:r>
      <w:r w:rsidRPr="007503B5">
        <w:rPr>
          <w:i/>
          <w:iCs/>
          <w:lang w:val="en-US"/>
        </w:rPr>
        <w:t>Journal of Financial Planning</w:t>
      </w:r>
      <w:r w:rsidRPr="007503B5">
        <w:rPr>
          <w:lang w:val="en-US"/>
        </w:rPr>
        <w:t xml:space="preserve">, v.36, n.6, 2023. </w:t>
      </w:r>
      <w:proofErr w:type="spellStart"/>
      <w:r w:rsidRPr="007503B5">
        <w:rPr>
          <w:lang w:val="en-US"/>
        </w:rPr>
        <w:t>Disponível</w:t>
      </w:r>
      <w:proofErr w:type="spellEnd"/>
      <w:r w:rsidRPr="007503B5">
        <w:rPr>
          <w:lang w:val="en-US"/>
        </w:rPr>
        <w:t xml:space="preserve"> em: https://www.financialplanningassociation.org/learning/publications/journal/JUN23-streamlining-financial-planning-chatgpt-collaborative-approach-between-technology-and-human-OPEN. </w:t>
      </w:r>
      <w:proofErr w:type="spellStart"/>
      <w:r w:rsidRPr="007503B5">
        <w:rPr>
          <w:lang w:val="en-US"/>
        </w:rPr>
        <w:t>Acesso</w:t>
      </w:r>
      <w:proofErr w:type="spellEnd"/>
      <w:r w:rsidRPr="007503B5">
        <w:rPr>
          <w:lang w:val="en-US"/>
        </w:rPr>
        <w:t xml:space="preserve"> </w:t>
      </w:r>
      <w:proofErr w:type="spellStart"/>
      <w:r w:rsidRPr="007503B5">
        <w:rPr>
          <w:lang w:val="en-US"/>
        </w:rPr>
        <w:t>em</w:t>
      </w:r>
      <w:proofErr w:type="spellEnd"/>
      <w:r w:rsidRPr="007503B5">
        <w:rPr>
          <w:lang w:val="en-US"/>
        </w:rPr>
        <w:t xml:space="preserve">: 25 </w:t>
      </w:r>
      <w:proofErr w:type="gramStart"/>
      <w:r w:rsidRPr="007503B5">
        <w:rPr>
          <w:lang w:val="en-US"/>
        </w:rPr>
        <w:t>mar</w:t>
      </w:r>
      <w:proofErr w:type="gramEnd"/>
      <w:r w:rsidRPr="007503B5">
        <w:rPr>
          <w:lang w:val="en-US"/>
        </w:rPr>
        <w:t>. 2025. [</w:t>
      </w:r>
      <w:proofErr w:type="spellStart"/>
      <w:r w:rsidRPr="007503B5">
        <w:rPr>
          <w:lang w:val="en-US"/>
        </w:rPr>
        <w:t>Artigo</w:t>
      </w:r>
      <w:proofErr w:type="spellEnd"/>
      <w:r w:rsidRPr="007503B5">
        <w:rPr>
          <w:lang w:val="en-US"/>
        </w:rPr>
        <w:t xml:space="preserve"> de </w:t>
      </w:r>
      <w:proofErr w:type="spellStart"/>
      <w:r w:rsidRPr="007503B5">
        <w:rPr>
          <w:lang w:val="en-US"/>
        </w:rPr>
        <w:t>periódico</w:t>
      </w:r>
      <w:proofErr w:type="spellEnd"/>
      <w:r w:rsidRPr="007503B5">
        <w:rPr>
          <w:lang w:val="en-US"/>
        </w:rPr>
        <w:t>]</w:t>
      </w:r>
    </w:p>
    <w:p w14:paraId="772D46DF" w14:textId="164418C1" w:rsidR="007503B5" w:rsidRPr="00CF2255" w:rsidRDefault="007503B5" w:rsidP="007503B5">
      <w:pPr>
        <w:spacing w:before="100" w:beforeAutospacing="1" w:after="100" w:afterAutospacing="1"/>
        <w:rPr>
          <w:lang w:val="en-US"/>
        </w:rPr>
      </w:pPr>
      <w:r w:rsidRPr="007503B5">
        <w:rPr>
          <w:b/>
          <w:bCs/>
          <w:lang w:val="en-US"/>
        </w:rPr>
        <w:t>MBANYELE, William.</w:t>
      </w:r>
      <w:r w:rsidRPr="007503B5">
        <w:rPr>
          <w:lang w:val="en-US"/>
        </w:rPr>
        <w:t xml:space="preserve"> Generative AI and ChatGPT in Financial Markets and Corporate Policy: A Comprehensive Review. </w:t>
      </w:r>
      <w:r w:rsidRPr="007503B5">
        <w:t xml:space="preserve">[Trabalho técnico]. Rochester, NY: SSRN, 1 fev. 2024. DOI: 10.2139/ssrn.4745990. Disponível em: https://papers.ssrn.com/abstract=4745990. </w:t>
      </w:r>
      <w:proofErr w:type="spellStart"/>
      <w:r w:rsidRPr="00CF2255">
        <w:rPr>
          <w:lang w:val="en-US"/>
        </w:rPr>
        <w:t>Acesso</w:t>
      </w:r>
      <w:proofErr w:type="spellEnd"/>
      <w:r w:rsidRPr="00CF2255">
        <w:rPr>
          <w:lang w:val="en-US"/>
        </w:rPr>
        <w:t xml:space="preserve"> </w:t>
      </w:r>
      <w:proofErr w:type="spellStart"/>
      <w:r w:rsidRPr="00CF2255">
        <w:rPr>
          <w:lang w:val="en-US"/>
        </w:rPr>
        <w:t>em</w:t>
      </w:r>
      <w:proofErr w:type="spellEnd"/>
      <w:r w:rsidRPr="00CF2255">
        <w:rPr>
          <w:lang w:val="en-US"/>
        </w:rPr>
        <w:t xml:space="preserve">: 25 </w:t>
      </w:r>
      <w:proofErr w:type="gramStart"/>
      <w:r w:rsidRPr="00CF2255">
        <w:rPr>
          <w:lang w:val="en-US"/>
        </w:rPr>
        <w:t>mar</w:t>
      </w:r>
      <w:proofErr w:type="gramEnd"/>
      <w:r w:rsidRPr="00CF2255">
        <w:rPr>
          <w:lang w:val="en-US"/>
        </w:rPr>
        <w:t>. 2025. [</w:t>
      </w:r>
      <w:proofErr w:type="spellStart"/>
      <w:r w:rsidRPr="00CF2255">
        <w:rPr>
          <w:lang w:val="en-US"/>
        </w:rPr>
        <w:t>Trabalho</w:t>
      </w:r>
      <w:proofErr w:type="spellEnd"/>
      <w:r w:rsidRPr="00CF2255">
        <w:rPr>
          <w:lang w:val="en-US"/>
        </w:rPr>
        <w:t xml:space="preserve"> </w:t>
      </w:r>
      <w:proofErr w:type="spellStart"/>
      <w:r w:rsidRPr="00CF2255">
        <w:rPr>
          <w:lang w:val="en-US"/>
        </w:rPr>
        <w:t>técnico</w:t>
      </w:r>
      <w:proofErr w:type="spellEnd"/>
      <w:r w:rsidRPr="00CF2255">
        <w:rPr>
          <w:lang w:val="en-US"/>
        </w:rPr>
        <w:t>]</w:t>
      </w:r>
    </w:p>
    <w:p w14:paraId="1F04BE8B" w14:textId="4D766A65" w:rsidR="007503B5" w:rsidRPr="007503B5" w:rsidRDefault="007503B5" w:rsidP="007503B5">
      <w:pPr>
        <w:spacing w:before="100" w:beforeAutospacing="1" w:after="100" w:afterAutospacing="1"/>
        <w:rPr>
          <w:lang w:val="en-US"/>
        </w:rPr>
      </w:pPr>
      <w:r w:rsidRPr="00CF2255">
        <w:rPr>
          <w:b/>
          <w:bCs/>
          <w:lang w:val="en-US"/>
        </w:rPr>
        <w:t>NIE, Yuqi </w:t>
      </w:r>
      <w:r w:rsidRPr="00CF2255">
        <w:rPr>
          <w:b/>
          <w:bCs/>
          <w:i/>
          <w:iCs/>
          <w:lang w:val="en-US"/>
        </w:rPr>
        <w:t>et al</w:t>
      </w:r>
      <w:r w:rsidRPr="00CF2255">
        <w:rPr>
          <w:b/>
          <w:bCs/>
          <w:lang w:val="en-US"/>
        </w:rPr>
        <w:t>.</w:t>
      </w:r>
      <w:r w:rsidRPr="007503B5">
        <w:rPr>
          <w:lang w:val="en-US"/>
        </w:rPr>
        <w:t xml:space="preserve"> A Survey of Large Language Models for Financial Applications: Progress, Prospects and Challenges. </w:t>
      </w:r>
      <w:r w:rsidRPr="007503B5">
        <w:t xml:space="preserve">[Pré-publicação]. arXiv:2406.11903, 2024. Disponível em: https://arxiv.org/abs/2406.11903. Acesso em: 25 mar. 2025. </w:t>
      </w:r>
      <w:r w:rsidRPr="007503B5">
        <w:rPr>
          <w:lang w:val="en-US"/>
        </w:rPr>
        <w:t>[Pré-</w:t>
      </w:r>
      <w:proofErr w:type="spellStart"/>
      <w:r w:rsidRPr="007503B5">
        <w:rPr>
          <w:lang w:val="en-US"/>
        </w:rPr>
        <w:t>publicação</w:t>
      </w:r>
      <w:proofErr w:type="spellEnd"/>
      <w:r w:rsidRPr="007503B5">
        <w:rPr>
          <w:lang w:val="en-US"/>
        </w:rPr>
        <w:t>]</w:t>
      </w:r>
    </w:p>
    <w:p w14:paraId="140E92C5" w14:textId="52DC8D11" w:rsidR="007503B5" w:rsidRPr="007503B5" w:rsidRDefault="007503B5" w:rsidP="007503B5">
      <w:pPr>
        <w:spacing w:before="100" w:beforeAutospacing="1" w:after="100" w:afterAutospacing="1"/>
      </w:pPr>
      <w:r w:rsidRPr="007503B5">
        <w:rPr>
          <w:b/>
          <w:bCs/>
          <w:lang w:val="en-US"/>
        </w:rPr>
        <w:t>WU, Steven </w:t>
      </w:r>
      <w:r w:rsidRPr="007503B5">
        <w:rPr>
          <w:b/>
          <w:bCs/>
          <w:i/>
          <w:iCs/>
          <w:lang w:val="en-US"/>
        </w:rPr>
        <w:t>et al</w:t>
      </w:r>
      <w:r w:rsidRPr="007503B5">
        <w:rPr>
          <w:b/>
          <w:bCs/>
          <w:lang w:val="en-US"/>
        </w:rPr>
        <w:t>.</w:t>
      </w:r>
      <w:r w:rsidRPr="007503B5">
        <w:rPr>
          <w:lang w:val="en-US"/>
        </w:rPr>
        <w:t> </w:t>
      </w:r>
      <w:proofErr w:type="spellStart"/>
      <w:r w:rsidRPr="007503B5">
        <w:rPr>
          <w:lang w:val="en-US"/>
        </w:rPr>
        <w:t>BloombergGPT</w:t>
      </w:r>
      <w:proofErr w:type="spellEnd"/>
      <w:r w:rsidRPr="007503B5">
        <w:rPr>
          <w:lang w:val="en-US"/>
        </w:rPr>
        <w:t xml:space="preserve">: A Large Language Model for Finance. </w:t>
      </w:r>
      <w:r w:rsidRPr="007503B5">
        <w:t>[Pré-publicação]. arXiv:2303.17564, 2023. Disponível em: https://arxiv.org/abs/2303.17564. Acesso em: 25 mar. 2025. [Pré-publicação]</w:t>
      </w:r>
    </w:p>
    <w:p w14:paraId="57763D2A" w14:textId="77777777" w:rsidR="003702FD" w:rsidRPr="00D435C8" w:rsidRDefault="003702FD" w:rsidP="00F2362C">
      <w:pPr>
        <w:spacing w:after="160" w:line="278" w:lineRule="auto"/>
        <w:rPr>
          <w:b/>
        </w:rPr>
      </w:pPr>
    </w:p>
    <w:p w14:paraId="7219EEE0" w14:textId="77777777" w:rsidR="00F2362C" w:rsidRPr="00D435C8" w:rsidRDefault="00F2362C" w:rsidP="00F2362C">
      <w:pPr>
        <w:spacing w:after="160" w:line="278" w:lineRule="auto"/>
        <w:rPr>
          <w:rFonts w:ascii="Palatino Linotype" w:eastAsia="Palatino Linotype" w:hAnsi="Palatino Linotype" w:cs="Palatino Linotype"/>
          <w:sz w:val="22"/>
        </w:rPr>
      </w:pPr>
    </w:p>
    <w:p w14:paraId="11F4B5D1" w14:textId="77777777" w:rsidR="00CF03CF" w:rsidRPr="00D435C8" w:rsidRDefault="00000000">
      <w:pPr>
        <w:spacing w:line="259" w:lineRule="auto"/>
      </w:pPr>
      <w:r w:rsidRPr="00D435C8">
        <w:t xml:space="preserve"> </w:t>
      </w:r>
    </w:p>
    <w:p w14:paraId="30867021" w14:textId="2C6985E8" w:rsidR="006E0BBB" w:rsidRPr="00D435C8" w:rsidRDefault="00000000">
      <w:pPr>
        <w:spacing w:line="259" w:lineRule="auto"/>
        <w:rPr>
          <w:rFonts w:ascii="Palatino Linotype" w:eastAsia="Palatino Linotype" w:hAnsi="Palatino Linotype" w:cs="Palatino Linotype"/>
          <w:sz w:val="22"/>
        </w:rPr>
      </w:pPr>
      <w:r w:rsidRPr="00D435C8">
        <w:rPr>
          <w:rFonts w:ascii="Palatino Linotype" w:eastAsia="Palatino Linotype" w:hAnsi="Palatino Linotype" w:cs="Palatino Linotype"/>
          <w:sz w:val="22"/>
        </w:rPr>
        <w:t xml:space="preserve"> </w:t>
      </w:r>
    </w:p>
    <w:p w14:paraId="3488B756" w14:textId="32E96F83" w:rsidR="007B5286" w:rsidRPr="008627BA" w:rsidRDefault="007B5286" w:rsidP="008627BA">
      <w:pPr>
        <w:spacing w:after="160" w:line="278" w:lineRule="auto"/>
        <w:rPr>
          <w:rFonts w:ascii="Palatino Linotype" w:eastAsia="Palatino Linotype" w:hAnsi="Palatino Linotype" w:cs="Palatino Linotype"/>
          <w:sz w:val="22"/>
        </w:rPr>
      </w:pPr>
      <w:bookmarkStart w:id="18" w:name="_Toc194592234"/>
      <w:r w:rsidRPr="000549BA">
        <w:t>Apêndice A: Modelo de Prompt Utilizado na Análise</w:t>
      </w:r>
      <w:bookmarkEnd w:id="18"/>
    </w:p>
    <w:p w14:paraId="7BEE1EFA" w14:textId="77777777" w:rsidR="007B5286" w:rsidRPr="003215B8" w:rsidRDefault="007B5286" w:rsidP="007B5286"/>
    <w:p w14:paraId="79275A9F" w14:textId="77777777" w:rsidR="007B5286" w:rsidRPr="003215B8" w:rsidRDefault="007B5286" w:rsidP="007B5286">
      <w:pPr>
        <w:rPr>
          <w:sz w:val="20"/>
          <w:szCs w:val="20"/>
        </w:rPr>
      </w:pPr>
      <w:r w:rsidRPr="003215B8">
        <w:rPr>
          <w:sz w:val="20"/>
          <w:szCs w:val="20"/>
        </w:rPr>
        <w:t>Contexto:</w:t>
      </w:r>
    </w:p>
    <w:p w14:paraId="75CC8510" w14:textId="77777777" w:rsidR="007B5286" w:rsidRPr="003215B8" w:rsidRDefault="007B5286" w:rsidP="007B5286">
      <w:pPr>
        <w:rPr>
          <w:sz w:val="20"/>
          <w:szCs w:val="20"/>
        </w:rPr>
      </w:pPr>
      <w:r w:rsidRPr="003215B8">
        <w:rPr>
          <w:sz w:val="20"/>
          <w:szCs w:val="20"/>
        </w:rPr>
        <w:t xml:space="preserve">Você é um analista financeiro experiente, encarregado de prever o lucro líquido por ação (EPS) para o próximo ano fiscal de uma empresa listada publicamente. Para isso, você dispõe de relatório ITR/DFP trimestral ou anual de empresas brasileiras listadas no </w:t>
      </w:r>
      <w:proofErr w:type="spellStart"/>
      <w:r w:rsidRPr="003215B8">
        <w:rPr>
          <w:sz w:val="20"/>
          <w:szCs w:val="20"/>
        </w:rPr>
        <w:t>ibovespa</w:t>
      </w:r>
      <w:proofErr w:type="spellEnd"/>
      <w:r w:rsidRPr="003215B8">
        <w:rPr>
          <w:sz w:val="20"/>
          <w:szCs w:val="20"/>
        </w:rPr>
        <w:t xml:space="preserve">. Para a previsão do lucro líquido dê sempre prioridade aos resultados consolidados trimestrais, com exceção para arquivos que abrangem o ano fiscal inteiro. </w:t>
      </w:r>
    </w:p>
    <w:p w14:paraId="4219A808" w14:textId="77777777" w:rsidR="007B5286" w:rsidRPr="003215B8" w:rsidRDefault="007B5286" w:rsidP="007B5286">
      <w:pPr>
        <w:rPr>
          <w:sz w:val="20"/>
          <w:szCs w:val="20"/>
        </w:rPr>
      </w:pPr>
    </w:p>
    <w:p w14:paraId="6D500010" w14:textId="77777777" w:rsidR="007B5286" w:rsidRPr="003215B8" w:rsidRDefault="007B5286" w:rsidP="007B5286">
      <w:pPr>
        <w:rPr>
          <w:sz w:val="20"/>
          <w:szCs w:val="20"/>
        </w:rPr>
      </w:pPr>
      <w:r w:rsidRPr="003215B8">
        <w:rPr>
          <w:sz w:val="20"/>
          <w:szCs w:val="20"/>
        </w:rPr>
        <w:t>Instruções Gerais:</w:t>
      </w:r>
    </w:p>
    <w:p w14:paraId="311F58C1" w14:textId="77777777" w:rsidR="007B5286" w:rsidRPr="003215B8" w:rsidRDefault="007B5286" w:rsidP="007B5286">
      <w:pPr>
        <w:rPr>
          <w:sz w:val="20"/>
          <w:szCs w:val="20"/>
        </w:rPr>
      </w:pPr>
      <w:r w:rsidRPr="003215B8">
        <w:rPr>
          <w:sz w:val="20"/>
          <w:szCs w:val="20"/>
        </w:rPr>
        <w:t xml:space="preserve">Utilize seu checklist pré-definido e seus </w:t>
      </w:r>
      <w:proofErr w:type="spellStart"/>
      <w:r w:rsidRPr="003215B8">
        <w:rPr>
          <w:sz w:val="20"/>
          <w:szCs w:val="20"/>
        </w:rPr>
        <w:t>templates</w:t>
      </w:r>
      <w:proofErr w:type="spellEnd"/>
      <w:r w:rsidRPr="003215B8">
        <w:rPr>
          <w:sz w:val="20"/>
          <w:szCs w:val="20"/>
        </w:rPr>
        <w:t xml:space="preserve"> setoriais – conhecimento de treinamento e estruturas mentais que sintetizam os indicadores-chave e os padrões típicos do setor – para guiar sua análise. Ao longo do processo, combine informações quantitativas e qualitativas, compare os dados, ao final, realize uma análise de sensibilidade para identificar os principais riscos e variabilidades que possam afetar a previsão.</w:t>
      </w:r>
    </w:p>
    <w:p w14:paraId="1A9CB02B" w14:textId="77777777" w:rsidR="007B5286" w:rsidRPr="003215B8" w:rsidRDefault="007B5286" w:rsidP="007B5286">
      <w:pPr>
        <w:rPr>
          <w:sz w:val="20"/>
          <w:szCs w:val="20"/>
        </w:rPr>
      </w:pPr>
    </w:p>
    <w:p w14:paraId="081F231D" w14:textId="77777777" w:rsidR="007B5286" w:rsidRPr="003215B8" w:rsidRDefault="007B5286" w:rsidP="007B5286">
      <w:pPr>
        <w:rPr>
          <w:sz w:val="20"/>
          <w:szCs w:val="20"/>
        </w:rPr>
      </w:pPr>
      <w:r w:rsidRPr="003215B8">
        <w:rPr>
          <w:sz w:val="20"/>
          <w:szCs w:val="20"/>
        </w:rPr>
        <w:t>Passo 1: Preparação e Checklists</w:t>
      </w:r>
    </w:p>
    <w:p w14:paraId="2D92B992" w14:textId="77777777" w:rsidR="007B5286" w:rsidRPr="003215B8" w:rsidRDefault="007B5286" w:rsidP="007B5286">
      <w:pPr>
        <w:rPr>
          <w:sz w:val="20"/>
          <w:szCs w:val="20"/>
        </w:rPr>
      </w:pPr>
      <w:r w:rsidRPr="003215B8">
        <w:rPr>
          <w:sz w:val="20"/>
          <w:szCs w:val="20"/>
        </w:rPr>
        <w:t xml:space="preserve">- Revisão do Checklist e </w:t>
      </w:r>
      <w:proofErr w:type="spellStart"/>
      <w:r w:rsidRPr="003215B8">
        <w:rPr>
          <w:sz w:val="20"/>
          <w:szCs w:val="20"/>
        </w:rPr>
        <w:t>Templates</w:t>
      </w:r>
      <w:proofErr w:type="spellEnd"/>
      <w:r w:rsidRPr="003215B8">
        <w:rPr>
          <w:sz w:val="20"/>
          <w:szCs w:val="20"/>
        </w:rPr>
        <w:t xml:space="preserve">: Inicie consultando seu checklist normativo e seus </w:t>
      </w:r>
      <w:proofErr w:type="spellStart"/>
      <w:r w:rsidRPr="003215B8">
        <w:rPr>
          <w:sz w:val="20"/>
          <w:szCs w:val="20"/>
        </w:rPr>
        <w:t>templates</w:t>
      </w:r>
      <w:proofErr w:type="spellEnd"/>
      <w:r w:rsidRPr="003215B8">
        <w:rPr>
          <w:sz w:val="20"/>
          <w:szCs w:val="20"/>
        </w:rPr>
        <w:t xml:space="preserve"> setoriais, que destacam os itens essenciais e os padrões de desempenho típicos para o setor (aquilo que você espera do setor em questão).</w:t>
      </w:r>
    </w:p>
    <w:p w14:paraId="70E5EC0E" w14:textId="77777777" w:rsidR="007B5286" w:rsidRPr="003215B8" w:rsidRDefault="007B5286" w:rsidP="007B5286">
      <w:pPr>
        <w:rPr>
          <w:sz w:val="20"/>
          <w:szCs w:val="20"/>
        </w:rPr>
      </w:pPr>
      <w:r w:rsidRPr="003215B8">
        <w:rPr>
          <w:sz w:val="20"/>
          <w:szCs w:val="20"/>
        </w:rPr>
        <w:t>- Contextualização: Identifique o setor da empresa, suas principais linhas de produtos e sua posição no mercado, usando os documentos disponíveis.</w:t>
      </w:r>
    </w:p>
    <w:p w14:paraId="3F9DC302" w14:textId="77777777" w:rsidR="007B5286" w:rsidRPr="003215B8" w:rsidRDefault="007B5286" w:rsidP="007B5286">
      <w:pPr>
        <w:rPr>
          <w:sz w:val="20"/>
          <w:szCs w:val="20"/>
        </w:rPr>
      </w:pPr>
    </w:p>
    <w:p w14:paraId="224EE930" w14:textId="77777777" w:rsidR="007B5286" w:rsidRPr="003215B8" w:rsidRDefault="007B5286" w:rsidP="007B5286">
      <w:pPr>
        <w:rPr>
          <w:sz w:val="20"/>
          <w:szCs w:val="20"/>
        </w:rPr>
      </w:pPr>
      <w:r w:rsidRPr="003215B8">
        <w:rPr>
          <w:sz w:val="20"/>
          <w:szCs w:val="20"/>
        </w:rPr>
        <w:t>Passo 2: Familiarização</w:t>
      </w:r>
    </w:p>
    <w:p w14:paraId="48549886" w14:textId="77777777" w:rsidR="007B5286" w:rsidRPr="003215B8" w:rsidRDefault="007B5286" w:rsidP="007B5286">
      <w:pPr>
        <w:rPr>
          <w:sz w:val="20"/>
          <w:szCs w:val="20"/>
        </w:rPr>
      </w:pPr>
      <w:r w:rsidRPr="003215B8">
        <w:rPr>
          <w:sz w:val="20"/>
          <w:szCs w:val="20"/>
        </w:rPr>
        <w:t>- Análise dos Demonstrativos: Revise a demonstração de resultados dos últimos três anos (ou 3 trimestres, caso seja ITR) para identificar tendências em receita, lucro bruto, despesas operacionais e lucro líquido.</w:t>
      </w:r>
    </w:p>
    <w:p w14:paraId="706C2E75" w14:textId="77777777" w:rsidR="007B5286" w:rsidRPr="003215B8" w:rsidRDefault="007B5286" w:rsidP="007B5286">
      <w:pPr>
        <w:rPr>
          <w:sz w:val="20"/>
          <w:szCs w:val="20"/>
        </w:rPr>
      </w:pPr>
      <w:r w:rsidRPr="003215B8">
        <w:rPr>
          <w:sz w:val="20"/>
          <w:szCs w:val="20"/>
        </w:rPr>
        <w:t>- Cálculo do EPS Histórico: Calcule o EPS (lucro líquido dividido pelo número de ações em circulação) e observe padrões ou anomalias.</w:t>
      </w:r>
    </w:p>
    <w:p w14:paraId="013F4049" w14:textId="77777777" w:rsidR="007B5286" w:rsidRPr="003215B8" w:rsidRDefault="007B5286" w:rsidP="007B5286">
      <w:pPr>
        <w:rPr>
          <w:sz w:val="20"/>
          <w:szCs w:val="20"/>
        </w:rPr>
      </w:pPr>
      <w:r w:rsidRPr="003215B8">
        <w:rPr>
          <w:sz w:val="20"/>
          <w:szCs w:val="20"/>
        </w:rPr>
        <w:t>- Utilização do Checklist: Certifique-se de que os itens críticos do checklist estejam sendo analisados, garantindo uma visão completa e sistemática da empresa.</w:t>
      </w:r>
    </w:p>
    <w:p w14:paraId="7291D4B5" w14:textId="77777777" w:rsidR="007B5286" w:rsidRPr="003215B8" w:rsidRDefault="007B5286" w:rsidP="007B5286">
      <w:pPr>
        <w:rPr>
          <w:sz w:val="20"/>
          <w:szCs w:val="20"/>
        </w:rPr>
      </w:pPr>
    </w:p>
    <w:p w14:paraId="5F9A19B1" w14:textId="77777777" w:rsidR="007B5286" w:rsidRPr="003215B8" w:rsidRDefault="007B5286" w:rsidP="007B5286">
      <w:pPr>
        <w:rPr>
          <w:sz w:val="20"/>
          <w:szCs w:val="20"/>
        </w:rPr>
      </w:pPr>
      <w:r w:rsidRPr="003215B8">
        <w:rPr>
          <w:sz w:val="20"/>
          <w:szCs w:val="20"/>
        </w:rPr>
        <w:t>Passo 3: Exploração</w:t>
      </w:r>
    </w:p>
    <w:p w14:paraId="35D87CEF" w14:textId="77777777" w:rsidR="007B5286" w:rsidRPr="003215B8" w:rsidRDefault="007B5286" w:rsidP="007B5286">
      <w:pPr>
        <w:rPr>
          <w:sz w:val="20"/>
          <w:szCs w:val="20"/>
        </w:rPr>
      </w:pPr>
      <w:r w:rsidRPr="003215B8">
        <w:rPr>
          <w:sz w:val="20"/>
          <w:szCs w:val="20"/>
        </w:rPr>
        <w:t>Análise Detalhada dos Dados:</w:t>
      </w:r>
    </w:p>
    <w:p w14:paraId="4D3DAA4D" w14:textId="77777777" w:rsidR="007B5286" w:rsidRPr="003215B8" w:rsidRDefault="007B5286" w:rsidP="007B5286">
      <w:pPr>
        <w:rPr>
          <w:sz w:val="20"/>
          <w:szCs w:val="20"/>
        </w:rPr>
      </w:pPr>
      <w:r w:rsidRPr="003215B8">
        <w:rPr>
          <w:sz w:val="20"/>
          <w:szCs w:val="20"/>
        </w:rPr>
        <w:t>- Examine informações segmentadas (por produtos ou regiões) para compreender a performance de cada área.</w:t>
      </w:r>
    </w:p>
    <w:p w14:paraId="51BB1EC5" w14:textId="77777777" w:rsidR="007B5286" w:rsidRPr="003215B8" w:rsidRDefault="007B5286" w:rsidP="007B5286">
      <w:pPr>
        <w:rPr>
          <w:sz w:val="20"/>
          <w:szCs w:val="20"/>
        </w:rPr>
      </w:pPr>
      <w:r w:rsidRPr="003215B8">
        <w:rPr>
          <w:sz w:val="20"/>
          <w:szCs w:val="20"/>
        </w:rPr>
        <w:t>- Revise o balanço patrimonial e a demonstração de fluxos de caixa para avaliar liquidez, solvência e a estrutura de capital.</w:t>
      </w:r>
    </w:p>
    <w:p w14:paraId="12983A65" w14:textId="77777777" w:rsidR="007B5286" w:rsidRPr="003215B8" w:rsidRDefault="007B5286" w:rsidP="007B5286">
      <w:pPr>
        <w:rPr>
          <w:sz w:val="20"/>
          <w:szCs w:val="20"/>
        </w:rPr>
      </w:pPr>
      <w:r w:rsidRPr="003215B8">
        <w:rPr>
          <w:sz w:val="20"/>
          <w:szCs w:val="20"/>
        </w:rPr>
        <w:t xml:space="preserve">- Cálculo e Comparação de </w:t>
      </w:r>
      <w:proofErr w:type="spellStart"/>
      <w:r w:rsidRPr="003215B8">
        <w:rPr>
          <w:sz w:val="20"/>
          <w:szCs w:val="20"/>
        </w:rPr>
        <w:t>Ratios</w:t>
      </w:r>
      <w:proofErr w:type="spellEnd"/>
      <w:r w:rsidRPr="003215B8">
        <w:rPr>
          <w:sz w:val="20"/>
          <w:szCs w:val="20"/>
        </w:rPr>
        <w:t xml:space="preserve">: Calcule índices como margem de lucro, ROA e ROE e compare com benchmarks de resultados passados da empresa. </w:t>
      </w:r>
    </w:p>
    <w:p w14:paraId="7504EB76" w14:textId="77777777" w:rsidR="007B5286" w:rsidRPr="003215B8" w:rsidRDefault="007B5286" w:rsidP="007B5286">
      <w:pPr>
        <w:rPr>
          <w:sz w:val="20"/>
          <w:szCs w:val="20"/>
        </w:rPr>
      </w:pPr>
    </w:p>
    <w:p w14:paraId="58CA059A" w14:textId="77777777" w:rsidR="007B5286" w:rsidRPr="003215B8" w:rsidRDefault="007B5286" w:rsidP="007B5286">
      <w:pPr>
        <w:rPr>
          <w:sz w:val="20"/>
          <w:szCs w:val="20"/>
        </w:rPr>
      </w:pPr>
      <w:r w:rsidRPr="003215B8">
        <w:rPr>
          <w:sz w:val="20"/>
          <w:szCs w:val="20"/>
        </w:rPr>
        <w:t>Passo 4: Integração e Formulação de Hipóteses</w:t>
      </w:r>
    </w:p>
    <w:p w14:paraId="5945C8F9" w14:textId="77777777" w:rsidR="007B5286" w:rsidRPr="003215B8" w:rsidRDefault="007B5286" w:rsidP="007B5286">
      <w:pPr>
        <w:rPr>
          <w:sz w:val="20"/>
          <w:szCs w:val="20"/>
        </w:rPr>
      </w:pPr>
      <w:r w:rsidRPr="003215B8">
        <w:rPr>
          <w:sz w:val="20"/>
          <w:szCs w:val="20"/>
        </w:rPr>
        <w:t>- Integração dos Dados: Combine as informações quantitativas e qualitativas para formar uma visão coesa do desempenho financeiro.</w:t>
      </w:r>
    </w:p>
    <w:p w14:paraId="653BE51A" w14:textId="77777777" w:rsidR="007B5286" w:rsidRPr="003215B8" w:rsidRDefault="007B5286" w:rsidP="007B5286">
      <w:pPr>
        <w:rPr>
          <w:sz w:val="20"/>
          <w:szCs w:val="20"/>
        </w:rPr>
      </w:pPr>
      <w:r w:rsidRPr="003215B8">
        <w:rPr>
          <w:sz w:val="20"/>
          <w:szCs w:val="20"/>
        </w:rPr>
        <w:t>- Análise Qualitativa: Considere fatores como a qualidade da gestão, condições de mercado e ambiente competitivo.</w:t>
      </w:r>
    </w:p>
    <w:p w14:paraId="45D0FED2" w14:textId="77777777" w:rsidR="007B5286" w:rsidRPr="003215B8" w:rsidRDefault="007B5286" w:rsidP="007B5286">
      <w:pPr>
        <w:rPr>
          <w:sz w:val="20"/>
          <w:szCs w:val="20"/>
        </w:rPr>
      </w:pPr>
      <w:r w:rsidRPr="003215B8">
        <w:rPr>
          <w:sz w:val="20"/>
          <w:szCs w:val="20"/>
        </w:rPr>
        <w:t>Formulação de Hipóteses:</w:t>
      </w:r>
    </w:p>
    <w:p w14:paraId="7DCC9919" w14:textId="77777777" w:rsidR="007B5286" w:rsidRPr="003215B8" w:rsidRDefault="007B5286" w:rsidP="007B5286">
      <w:pPr>
        <w:rPr>
          <w:sz w:val="20"/>
          <w:szCs w:val="20"/>
        </w:rPr>
      </w:pPr>
      <w:r w:rsidRPr="003215B8">
        <w:rPr>
          <w:sz w:val="20"/>
          <w:szCs w:val="20"/>
        </w:rPr>
        <w:t xml:space="preserve">- Utilize os dados integrados e o </w:t>
      </w:r>
      <w:proofErr w:type="spellStart"/>
      <w:r w:rsidRPr="003215B8">
        <w:rPr>
          <w:sz w:val="20"/>
          <w:szCs w:val="20"/>
        </w:rPr>
        <w:t>template</w:t>
      </w:r>
      <w:proofErr w:type="spellEnd"/>
      <w:r w:rsidRPr="003215B8">
        <w:rPr>
          <w:sz w:val="20"/>
          <w:szCs w:val="20"/>
        </w:rPr>
        <w:t xml:space="preserve"> setorial para formular hipóteses sobre o EPS futuro.</w:t>
      </w:r>
    </w:p>
    <w:p w14:paraId="2D1A59FB" w14:textId="77777777" w:rsidR="007B5286" w:rsidRPr="003215B8" w:rsidRDefault="007B5286" w:rsidP="007B5286">
      <w:pPr>
        <w:rPr>
          <w:sz w:val="20"/>
          <w:szCs w:val="20"/>
        </w:rPr>
      </w:pPr>
      <w:r w:rsidRPr="003215B8">
        <w:rPr>
          <w:sz w:val="20"/>
          <w:szCs w:val="20"/>
        </w:rPr>
        <w:t>- Atribua pesos aos indicadores críticos e compare com médias do setor (por exemplo, “se a receita crescer 5% e a margem se mantiver, o EPS deverá ser X”).</w:t>
      </w:r>
    </w:p>
    <w:p w14:paraId="66FABC6F" w14:textId="77777777" w:rsidR="007B5286" w:rsidRPr="003215B8" w:rsidRDefault="007B5286" w:rsidP="007B5286">
      <w:pPr>
        <w:rPr>
          <w:sz w:val="20"/>
          <w:szCs w:val="20"/>
        </w:rPr>
      </w:pPr>
      <w:r w:rsidRPr="003215B8">
        <w:rPr>
          <w:sz w:val="20"/>
          <w:szCs w:val="20"/>
        </w:rPr>
        <w:t>- Valide suas hipóteses;</w:t>
      </w:r>
    </w:p>
    <w:p w14:paraId="3C1BEEC0" w14:textId="77777777" w:rsidR="007B5286" w:rsidRPr="003215B8" w:rsidRDefault="007B5286" w:rsidP="007B5286">
      <w:pPr>
        <w:rPr>
          <w:sz w:val="20"/>
          <w:szCs w:val="20"/>
        </w:rPr>
      </w:pPr>
    </w:p>
    <w:p w14:paraId="16A32254" w14:textId="77777777" w:rsidR="007B5286" w:rsidRPr="003215B8" w:rsidRDefault="007B5286" w:rsidP="007B5286">
      <w:pPr>
        <w:rPr>
          <w:sz w:val="20"/>
          <w:szCs w:val="20"/>
        </w:rPr>
      </w:pPr>
      <w:r w:rsidRPr="003215B8">
        <w:rPr>
          <w:sz w:val="20"/>
          <w:szCs w:val="20"/>
        </w:rPr>
        <w:t>Passo 5: Previsão e Análise de Sensibilidade/Riscos</w:t>
      </w:r>
    </w:p>
    <w:p w14:paraId="0B68BD8C" w14:textId="77777777" w:rsidR="007B5286" w:rsidRPr="003215B8" w:rsidRDefault="007B5286" w:rsidP="007B5286">
      <w:pPr>
        <w:rPr>
          <w:sz w:val="20"/>
          <w:szCs w:val="20"/>
        </w:rPr>
      </w:pPr>
      <w:r w:rsidRPr="003215B8">
        <w:rPr>
          <w:sz w:val="20"/>
          <w:szCs w:val="20"/>
        </w:rPr>
        <w:t>Modelagem da Previsão:</w:t>
      </w:r>
    </w:p>
    <w:p w14:paraId="4C3C4CD8" w14:textId="77777777" w:rsidR="007B5286" w:rsidRPr="003215B8" w:rsidRDefault="007B5286" w:rsidP="007B5286">
      <w:pPr>
        <w:rPr>
          <w:sz w:val="20"/>
          <w:szCs w:val="20"/>
        </w:rPr>
      </w:pPr>
      <w:r w:rsidRPr="003215B8">
        <w:rPr>
          <w:sz w:val="20"/>
          <w:szCs w:val="20"/>
        </w:rPr>
        <w:t>- Projete o lucro líquido futuro utilizando um modelo simples que ajuste a receita, as despesas (com base nas margens históricas) e os impostos.</w:t>
      </w:r>
    </w:p>
    <w:p w14:paraId="405CE205" w14:textId="77777777" w:rsidR="007B5286" w:rsidRPr="003215B8" w:rsidRDefault="007B5286" w:rsidP="007B5286">
      <w:pPr>
        <w:rPr>
          <w:sz w:val="20"/>
          <w:szCs w:val="20"/>
        </w:rPr>
      </w:pPr>
      <w:r w:rsidRPr="003215B8">
        <w:rPr>
          <w:sz w:val="20"/>
          <w:szCs w:val="20"/>
        </w:rPr>
        <w:lastRenderedPageBreak/>
        <w:t>- Calcule o EPS previsto dividindo o lucro líquido projetado pelo número estimado de ações em circulação (ajustando por recompra ou emissão, se necessário).</w:t>
      </w:r>
    </w:p>
    <w:p w14:paraId="4657B4B4" w14:textId="77777777" w:rsidR="007B5286" w:rsidRPr="003215B8" w:rsidRDefault="007B5286" w:rsidP="007B5286">
      <w:pPr>
        <w:rPr>
          <w:sz w:val="20"/>
          <w:szCs w:val="20"/>
        </w:rPr>
      </w:pPr>
      <w:r w:rsidRPr="003215B8">
        <w:rPr>
          <w:sz w:val="20"/>
          <w:szCs w:val="20"/>
        </w:rPr>
        <w:t>Análise de Sensibilidade e Riscos:</w:t>
      </w:r>
    </w:p>
    <w:p w14:paraId="2DBC43E5" w14:textId="77777777" w:rsidR="007B5286" w:rsidRPr="003215B8" w:rsidRDefault="007B5286" w:rsidP="007B5286">
      <w:pPr>
        <w:rPr>
          <w:sz w:val="20"/>
          <w:szCs w:val="20"/>
        </w:rPr>
      </w:pPr>
      <w:r w:rsidRPr="003215B8">
        <w:rPr>
          <w:sz w:val="20"/>
          <w:szCs w:val="20"/>
        </w:rPr>
        <w:t>- Realize uma varredura final (</w:t>
      </w:r>
      <w:proofErr w:type="spellStart"/>
      <w:r w:rsidRPr="003215B8">
        <w:rPr>
          <w:sz w:val="20"/>
          <w:szCs w:val="20"/>
        </w:rPr>
        <w:t>scanning</w:t>
      </w:r>
      <w:proofErr w:type="spellEnd"/>
      <w:r w:rsidRPr="003215B8">
        <w:rPr>
          <w:sz w:val="20"/>
          <w:szCs w:val="20"/>
        </w:rPr>
        <w:t>) nos documentos para identificar possíveis dados ou anomalias que não foram considerados inicialmente.</w:t>
      </w:r>
    </w:p>
    <w:p w14:paraId="2A856E40" w14:textId="77777777" w:rsidR="007B5286" w:rsidRPr="003215B8" w:rsidRDefault="007B5286" w:rsidP="007B5286">
      <w:pPr>
        <w:rPr>
          <w:sz w:val="20"/>
          <w:szCs w:val="20"/>
        </w:rPr>
      </w:pPr>
      <w:r w:rsidRPr="003215B8">
        <w:rPr>
          <w:sz w:val="20"/>
          <w:szCs w:val="20"/>
        </w:rPr>
        <w:t>- Teste diferentes cenários (por exemplo, variações na receita ou na margem de lucro) para avaliar a sensibilidade da previsão.</w:t>
      </w:r>
    </w:p>
    <w:p w14:paraId="5BE360B8" w14:textId="77777777" w:rsidR="007B5286" w:rsidRPr="003215B8" w:rsidRDefault="007B5286" w:rsidP="007B5286">
      <w:pPr>
        <w:rPr>
          <w:sz w:val="20"/>
          <w:szCs w:val="20"/>
        </w:rPr>
      </w:pPr>
      <w:r w:rsidRPr="003215B8">
        <w:rPr>
          <w:sz w:val="20"/>
          <w:szCs w:val="20"/>
        </w:rPr>
        <w:t>- Identifique e destaque os principais riscos e incertezas que podem impactar o EPS, explicando como esses fatores foram considerados na previsão.</w:t>
      </w:r>
    </w:p>
    <w:p w14:paraId="3D025A05" w14:textId="77777777" w:rsidR="007B5286" w:rsidRPr="003215B8" w:rsidRDefault="007B5286" w:rsidP="007B5286">
      <w:pPr>
        <w:rPr>
          <w:sz w:val="20"/>
          <w:szCs w:val="20"/>
        </w:rPr>
      </w:pPr>
    </w:p>
    <w:p w14:paraId="1E44503A" w14:textId="77777777" w:rsidR="007B5286" w:rsidRPr="003215B8" w:rsidRDefault="007B5286" w:rsidP="007B5286">
      <w:pPr>
        <w:rPr>
          <w:sz w:val="20"/>
          <w:szCs w:val="20"/>
        </w:rPr>
      </w:pPr>
      <w:r w:rsidRPr="003215B8">
        <w:rPr>
          <w:sz w:val="20"/>
          <w:szCs w:val="20"/>
        </w:rPr>
        <w:t>Saída Esperada:</w:t>
      </w:r>
    </w:p>
    <w:p w14:paraId="3DC695D1" w14:textId="77777777" w:rsidR="007B5286" w:rsidRPr="003215B8" w:rsidRDefault="007B5286" w:rsidP="007B5286">
      <w:pPr>
        <w:ind w:left="708"/>
        <w:rPr>
          <w:sz w:val="20"/>
          <w:szCs w:val="20"/>
        </w:rPr>
      </w:pPr>
      <w:r w:rsidRPr="003215B8">
        <w:rPr>
          <w:sz w:val="20"/>
          <w:szCs w:val="20"/>
        </w:rPr>
        <w:t>Forneça uma previsão específica do EPS para o próximo ano fiscal (exemplo: "US$ 2,50 por ação") acompanhada de uma breve explicação que detalhe:</w:t>
      </w:r>
    </w:p>
    <w:p w14:paraId="066E371D" w14:textId="77777777" w:rsidR="007B5286" w:rsidRPr="003215B8" w:rsidRDefault="007B5286" w:rsidP="007B5286">
      <w:pPr>
        <w:rPr>
          <w:sz w:val="20"/>
          <w:szCs w:val="20"/>
        </w:rPr>
      </w:pPr>
      <w:r w:rsidRPr="003215B8">
        <w:rPr>
          <w:sz w:val="20"/>
          <w:szCs w:val="20"/>
        </w:rPr>
        <w:t>- Os principais dados e tendências observados (tanto quantitativos quanto qualitativos);</w:t>
      </w:r>
    </w:p>
    <w:p w14:paraId="4D451240" w14:textId="77777777" w:rsidR="007B5286" w:rsidRPr="003215B8" w:rsidRDefault="007B5286" w:rsidP="007B5286">
      <w:pPr>
        <w:ind w:firstLine="709"/>
        <w:rPr>
          <w:sz w:val="20"/>
          <w:szCs w:val="20"/>
        </w:rPr>
      </w:pPr>
      <w:r w:rsidRPr="003215B8">
        <w:rPr>
          <w:sz w:val="20"/>
          <w:szCs w:val="20"/>
        </w:rPr>
        <w:t xml:space="preserve">- A forma como o checklist e os </w:t>
      </w:r>
      <w:proofErr w:type="spellStart"/>
      <w:r w:rsidRPr="003215B8">
        <w:rPr>
          <w:sz w:val="20"/>
          <w:szCs w:val="20"/>
        </w:rPr>
        <w:t>templates</w:t>
      </w:r>
      <w:proofErr w:type="spellEnd"/>
      <w:r w:rsidRPr="003215B8">
        <w:rPr>
          <w:sz w:val="20"/>
          <w:szCs w:val="20"/>
        </w:rPr>
        <w:t xml:space="preserve"> foram utilizados para orientar a análise;</w:t>
      </w:r>
    </w:p>
    <w:p w14:paraId="6DD9FC5C" w14:textId="77777777" w:rsidR="007B5286" w:rsidRPr="003215B8" w:rsidRDefault="007B5286" w:rsidP="007B5286">
      <w:pPr>
        <w:rPr>
          <w:sz w:val="20"/>
          <w:szCs w:val="20"/>
        </w:rPr>
      </w:pPr>
      <w:r w:rsidRPr="003215B8">
        <w:rPr>
          <w:sz w:val="20"/>
          <w:szCs w:val="20"/>
        </w:rPr>
        <w:t>- Os cenários testados e os riscos identificados durante a análise de sensibilidade;</w:t>
      </w:r>
    </w:p>
    <w:p w14:paraId="5EB350D4" w14:textId="77777777" w:rsidR="007B5286" w:rsidRPr="003215B8" w:rsidRDefault="007B5286" w:rsidP="007B5286">
      <w:pPr>
        <w:ind w:firstLine="709"/>
      </w:pPr>
      <w:r w:rsidRPr="003215B8">
        <w:rPr>
          <w:sz w:val="20"/>
          <w:szCs w:val="20"/>
        </w:rPr>
        <w:t>- Apresentar em formato “</w:t>
      </w:r>
      <w:proofErr w:type="spellStart"/>
      <w:r w:rsidRPr="003215B8">
        <w:rPr>
          <w:sz w:val="20"/>
          <w:szCs w:val="20"/>
        </w:rPr>
        <w:t>json</w:t>
      </w:r>
      <w:proofErr w:type="spellEnd"/>
      <w:r w:rsidRPr="003215B8">
        <w:rPr>
          <w:sz w:val="20"/>
          <w:szCs w:val="20"/>
        </w:rPr>
        <w:t xml:space="preserve">” a projeção de lucro líquido futuro, bem como se a expectativa é de “melhora” ou “piora” e o grau de confiança dessa previsão. </w:t>
      </w:r>
    </w:p>
    <w:p w14:paraId="64DA793A" w14:textId="77777777" w:rsidR="00CF03CF" w:rsidRDefault="00CF03CF">
      <w:pPr>
        <w:spacing w:line="259" w:lineRule="auto"/>
      </w:pPr>
    </w:p>
    <w:sectPr w:rsidR="00CF03CF">
      <w:headerReference w:type="even" r:id="rId11"/>
      <w:headerReference w:type="default" r:id="rId12"/>
      <w:headerReference w:type="first" r:id="rId13"/>
      <w:pgSz w:w="11911" w:h="16841"/>
      <w:pgMar w:top="1711" w:right="1130" w:bottom="1237" w:left="1702" w:header="72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E0ADA" w14:textId="77777777" w:rsidR="00D44883" w:rsidRDefault="00D44883">
      <w:r>
        <w:separator/>
      </w:r>
    </w:p>
  </w:endnote>
  <w:endnote w:type="continuationSeparator" w:id="0">
    <w:p w14:paraId="212F6CD1" w14:textId="77777777" w:rsidR="00D44883" w:rsidRDefault="00D4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webkit-standard">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7AD3A" w14:textId="77777777" w:rsidR="00D44883" w:rsidRDefault="00D44883">
      <w:r>
        <w:separator/>
      </w:r>
    </w:p>
  </w:footnote>
  <w:footnote w:type="continuationSeparator" w:id="0">
    <w:p w14:paraId="68377409" w14:textId="77777777" w:rsidR="00D44883" w:rsidRDefault="00D44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ABB45" w14:textId="77777777" w:rsidR="00CF03CF" w:rsidRDefault="00000000">
    <w:pPr>
      <w:tabs>
        <w:tab w:val="right" w:pos="9079"/>
      </w:tabs>
      <w:spacing w:line="259" w:lineRule="auto"/>
    </w:pPr>
    <w:r>
      <w:rPr>
        <w:rFonts w:ascii="Palatino Linotype" w:eastAsia="Palatino Linotype" w:hAnsi="Palatino Linotype" w:cs="Palatino Linotype"/>
        <w:sz w:val="2"/>
      </w:rPr>
      <w:t xml:space="preserve"> </w:t>
    </w:r>
    <w:r>
      <w:rPr>
        <w:rFonts w:ascii="Palatino Linotype" w:eastAsia="Palatino Linotype" w:hAnsi="Palatino Linotype" w:cs="Palatino Linotype"/>
        <w:sz w:val="2"/>
      </w:rPr>
      <w:tab/>
    </w:r>
    <w:r>
      <w:fldChar w:fldCharType="begin"/>
    </w:r>
    <w:r>
      <w:instrText xml:space="preserve"> PAGE   \* MERGEFORMAT </w:instrText>
    </w:r>
    <w:r>
      <w:fldChar w:fldCharType="separate"/>
    </w:r>
    <w:r>
      <w:rPr>
        <w:sz w:val="22"/>
      </w:rPr>
      <w:t>8</w:t>
    </w:r>
    <w:r>
      <w:rPr>
        <w:sz w:val="22"/>
      </w:rPr>
      <w:fldChar w:fldCharType="end"/>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DEB77" w14:textId="77777777" w:rsidR="00CF03CF" w:rsidRDefault="00000000">
    <w:pPr>
      <w:tabs>
        <w:tab w:val="right" w:pos="9079"/>
      </w:tabs>
      <w:spacing w:line="259" w:lineRule="auto"/>
    </w:pPr>
    <w:r>
      <w:rPr>
        <w:rFonts w:ascii="Palatino Linotype" w:eastAsia="Palatino Linotype" w:hAnsi="Palatino Linotype" w:cs="Palatino Linotype"/>
        <w:sz w:val="2"/>
      </w:rPr>
      <w:t xml:space="preserve"> </w:t>
    </w:r>
    <w:r>
      <w:rPr>
        <w:rFonts w:ascii="Palatino Linotype" w:eastAsia="Palatino Linotype" w:hAnsi="Palatino Linotype" w:cs="Palatino Linotype"/>
        <w:sz w:val="2"/>
      </w:rPr>
      <w:tab/>
    </w:r>
    <w:r>
      <w:fldChar w:fldCharType="begin"/>
    </w:r>
    <w:r>
      <w:instrText xml:space="preserve"> PAGE   \* MERGEFORMAT </w:instrText>
    </w:r>
    <w:r>
      <w:fldChar w:fldCharType="separate"/>
    </w:r>
    <w:r>
      <w:rPr>
        <w:sz w:val="22"/>
      </w:rPr>
      <w:t>8</w:t>
    </w:r>
    <w:r>
      <w:rPr>
        <w:sz w:val="22"/>
      </w:rPr>
      <w:fldChar w:fldCharType="end"/>
    </w: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E39C4" w14:textId="77777777" w:rsidR="00CF03CF" w:rsidRDefault="00000000">
    <w:pPr>
      <w:tabs>
        <w:tab w:val="right" w:pos="9079"/>
      </w:tabs>
      <w:spacing w:line="259" w:lineRule="auto"/>
    </w:pPr>
    <w:r>
      <w:rPr>
        <w:rFonts w:ascii="Palatino Linotype" w:eastAsia="Palatino Linotype" w:hAnsi="Palatino Linotype" w:cs="Palatino Linotype"/>
        <w:sz w:val="2"/>
      </w:rPr>
      <w:t xml:space="preserve"> </w:t>
    </w:r>
    <w:r>
      <w:rPr>
        <w:rFonts w:ascii="Palatino Linotype" w:eastAsia="Palatino Linotype" w:hAnsi="Palatino Linotype" w:cs="Palatino Linotype"/>
        <w:sz w:val="2"/>
      </w:rPr>
      <w:tab/>
    </w:r>
    <w:r>
      <w:fldChar w:fldCharType="begin"/>
    </w:r>
    <w:r>
      <w:instrText xml:space="preserve"> PAGE   \* MERGEFORMAT </w:instrText>
    </w:r>
    <w:r>
      <w:fldChar w:fldCharType="separate"/>
    </w:r>
    <w:r>
      <w:rPr>
        <w:sz w:val="22"/>
      </w:rPr>
      <w:t>8</w:t>
    </w:r>
    <w:r>
      <w:rPr>
        <w:sz w:val="22"/>
      </w:rPr>
      <w:fldChar w:fldCharType="end"/>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04DC8"/>
    <w:multiLevelType w:val="hybridMultilevel"/>
    <w:tmpl w:val="796EFA5A"/>
    <w:lvl w:ilvl="0" w:tplc="01FA2D4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18874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74CF5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8DA2A4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CEBBF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88C31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264C3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B43DE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48B6E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0503F9"/>
    <w:multiLevelType w:val="hybridMultilevel"/>
    <w:tmpl w:val="1B6EC656"/>
    <w:lvl w:ilvl="0" w:tplc="7E2A971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2068B6">
      <w:start w:val="1"/>
      <w:numFmt w:val="bullet"/>
      <w:lvlText w:val="o"/>
      <w:lvlJc w:val="left"/>
      <w:pPr>
        <w:ind w:left="1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420177E">
      <w:start w:val="1"/>
      <w:numFmt w:val="bullet"/>
      <w:lvlText w:val="▪"/>
      <w:lvlJc w:val="left"/>
      <w:pPr>
        <w:ind w:left="21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5228D0">
      <w:start w:val="1"/>
      <w:numFmt w:val="bullet"/>
      <w:lvlText w:val="•"/>
      <w:lvlJc w:val="left"/>
      <w:pPr>
        <w:ind w:left="2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8AF792">
      <w:start w:val="1"/>
      <w:numFmt w:val="bullet"/>
      <w:lvlText w:val="o"/>
      <w:lvlJc w:val="left"/>
      <w:pPr>
        <w:ind w:left="36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4A3784">
      <w:start w:val="1"/>
      <w:numFmt w:val="bullet"/>
      <w:lvlText w:val="▪"/>
      <w:lvlJc w:val="left"/>
      <w:pPr>
        <w:ind w:left="43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BE5F86">
      <w:start w:val="1"/>
      <w:numFmt w:val="bullet"/>
      <w:lvlText w:val="•"/>
      <w:lvlJc w:val="left"/>
      <w:pPr>
        <w:ind w:left="50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364BEE">
      <w:start w:val="1"/>
      <w:numFmt w:val="bullet"/>
      <w:lvlText w:val="o"/>
      <w:lvlJc w:val="left"/>
      <w:pPr>
        <w:ind w:left="57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6EA4D8">
      <w:start w:val="1"/>
      <w:numFmt w:val="bullet"/>
      <w:lvlText w:val="▪"/>
      <w:lvlJc w:val="left"/>
      <w:pPr>
        <w:ind w:left="65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1777AB8"/>
    <w:multiLevelType w:val="multilevel"/>
    <w:tmpl w:val="5A12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085C9F"/>
    <w:multiLevelType w:val="hybridMultilevel"/>
    <w:tmpl w:val="F2D220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49030F2"/>
    <w:multiLevelType w:val="hybridMultilevel"/>
    <w:tmpl w:val="CBC27A36"/>
    <w:lvl w:ilvl="0" w:tplc="06F2C5A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0C14B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ECB18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C7CF95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267A7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2AE6C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1C40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16F55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3AF61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4B66D6A"/>
    <w:multiLevelType w:val="multilevel"/>
    <w:tmpl w:val="AC32A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D74088"/>
    <w:multiLevelType w:val="multilevel"/>
    <w:tmpl w:val="B806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E06C73"/>
    <w:multiLevelType w:val="multilevel"/>
    <w:tmpl w:val="95C05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007189"/>
    <w:multiLevelType w:val="multilevel"/>
    <w:tmpl w:val="D794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D62F0E"/>
    <w:multiLevelType w:val="hybridMultilevel"/>
    <w:tmpl w:val="DEA02EE6"/>
    <w:lvl w:ilvl="0" w:tplc="888A8AA2">
      <w:start w:val="6"/>
      <w:numFmt w:val="decimal"/>
      <w:lvlText w:val="%1."/>
      <w:lvlJc w:val="left"/>
      <w:pPr>
        <w:ind w:left="720" w:hanging="360"/>
      </w:pPr>
      <w:rPr>
        <w:rFonts w:ascii="Palatino Linotype" w:eastAsia="Palatino Linotype" w:hAnsi="Palatino Linotype" w:cs="Palatino Linotype"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6FF24B5"/>
    <w:multiLevelType w:val="multilevel"/>
    <w:tmpl w:val="F762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741B5D"/>
    <w:multiLevelType w:val="hybridMultilevel"/>
    <w:tmpl w:val="FC32D5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94A0AD8"/>
    <w:multiLevelType w:val="multilevel"/>
    <w:tmpl w:val="8252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7898954">
    <w:abstractNumId w:val="0"/>
  </w:num>
  <w:num w:numId="2" w16cid:durableId="1617954080">
    <w:abstractNumId w:val="4"/>
  </w:num>
  <w:num w:numId="3" w16cid:durableId="264964542">
    <w:abstractNumId w:val="1"/>
  </w:num>
  <w:num w:numId="4" w16cid:durableId="212616836">
    <w:abstractNumId w:val="7"/>
  </w:num>
  <w:num w:numId="5" w16cid:durableId="1826704171">
    <w:abstractNumId w:val="8"/>
  </w:num>
  <w:num w:numId="6" w16cid:durableId="293370332">
    <w:abstractNumId w:val="10"/>
  </w:num>
  <w:num w:numId="7" w16cid:durableId="1673022213">
    <w:abstractNumId w:val="6"/>
  </w:num>
  <w:num w:numId="8" w16cid:durableId="1016539037">
    <w:abstractNumId w:val="5"/>
  </w:num>
  <w:num w:numId="9" w16cid:durableId="561914132">
    <w:abstractNumId w:val="9"/>
  </w:num>
  <w:num w:numId="10" w16cid:durableId="752166892">
    <w:abstractNumId w:val="2"/>
  </w:num>
  <w:num w:numId="11" w16cid:durableId="470097078">
    <w:abstractNumId w:val="3"/>
  </w:num>
  <w:num w:numId="12" w16cid:durableId="2053311545">
    <w:abstractNumId w:val="12"/>
  </w:num>
  <w:num w:numId="13" w16cid:durableId="5298066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3CF"/>
    <w:rsid w:val="0000313E"/>
    <w:rsid w:val="00012684"/>
    <w:rsid w:val="00012CA3"/>
    <w:rsid w:val="00015063"/>
    <w:rsid w:val="000266DE"/>
    <w:rsid w:val="000443C1"/>
    <w:rsid w:val="000459B3"/>
    <w:rsid w:val="00082E18"/>
    <w:rsid w:val="000A4F05"/>
    <w:rsid w:val="000C64FC"/>
    <w:rsid w:val="000D2309"/>
    <w:rsid w:val="000E308F"/>
    <w:rsid w:val="000E4695"/>
    <w:rsid w:val="000E4B5D"/>
    <w:rsid w:val="00107F1D"/>
    <w:rsid w:val="001677B0"/>
    <w:rsid w:val="001B1D00"/>
    <w:rsid w:val="001D1E93"/>
    <w:rsid w:val="002649BD"/>
    <w:rsid w:val="00294BDD"/>
    <w:rsid w:val="002E06FF"/>
    <w:rsid w:val="003143CD"/>
    <w:rsid w:val="00327045"/>
    <w:rsid w:val="0035385E"/>
    <w:rsid w:val="00365952"/>
    <w:rsid w:val="003702FD"/>
    <w:rsid w:val="003C4465"/>
    <w:rsid w:val="003C5CB3"/>
    <w:rsid w:val="004769CD"/>
    <w:rsid w:val="004C4CE4"/>
    <w:rsid w:val="004E0637"/>
    <w:rsid w:val="0052351F"/>
    <w:rsid w:val="005337B1"/>
    <w:rsid w:val="00554370"/>
    <w:rsid w:val="00565258"/>
    <w:rsid w:val="005B7DDF"/>
    <w:rsid w:val="005C67FF"/>
    <w:rsid w:val="005F33FF"/>
    <w:rsid w:val="00644D71"/>
    <w:rsid w:val="0064546D"/>
    <w:rsid w:val="00666979"/>
    <w:rsid w:val="00670986"/>
    <w:rsid w:val="006801C3"/>
    <w:rsid w:val="006E0BBB"/>
    <w:rsid w:val="006F72F8"/>
    <w:rsid w:val="00732BFF"/>
    <w:rsid w:val="007402B0"/>
    <w:rsid w:val="007503B5"/>
    <w:rsid w:val="00763F1C"/>
    <w:rsid w:val="007749C7"/>
    <w:rsid w:val="007A77E5"/>
    <w:rsid w:val="007B5286"/>
    <w:rsid w:val="007E7195"/>
    <w:rsid w:val="007F2AF1"/>
    <w:rsid w:val="007F68C6"/>
    <w:rsid w:val="00802D5C"/>
    <w:rsid w:val="00813297"/>
    <w:rsid w:val="008627BA"/>
    <w:rsid w:val="008A7AAE"/>
    <w:rsid w:val="008D5152"/>
    <w:rsid w:val="008E0A87"/>
    <w:rsid w:val="0090107A"/>
    <w:rsid w:val="00931DCB"/>
    <w:rsid w:val="0093614B"/>
    <w:rsid w:val="009C5735"/>
    <w:rsid w:val="00A02B2D"/>
    <w:rsid w:val="00A210AF"/>
    <w:rsid w:val="00A25CD1"/>
    <w:rsid w:val="00A3248D"/>
    <w:rsid w:val="00A71B6E"/>
    <w:rsid w:val="00A904B3"/>
    <w:rsid w:val="00A96591"/>
    <w:rsid w:val="00B163E5"/>
    <w:rsid w:val="00B27068"/>
    <w:rsid w:val="00B449F5"/>
    <w:rsid w:val="00B44A9A"/>
    <w:rsid w:val="00B6020A"/>
    <w:rsid w:val="00B717A3"/>
    <w:rsid w:val="00BA1AF7"/>
    <w:rsid w:val="00BB46F4"/>
    <w:rsid w:val="00BD2DB2"/>
    <w:rsid w:val="00C0024A"/>
    <w:rsid w:val="00C563CE"/>
    <w:rsid w:val="00C66F1D"/>
    <w:rsid w:val="00CC6F37"/>
    <w:rsid w:val="00CD3A59"/>
    <w:rsid w:val="00CF03CF"/>
    <w:rsid w:val="00CF21CD"/>
    <w:rsid w:val="00CF2255"/>
    <w:rsid w:val="00D126F6"/>
    <w:rsid w:val="00D36736"/>
    <w:rsid w:val="00D435C8"/>
    <w:rsid w:val="00D44883"/>
    <w:rsid w:val="00DB70B3"/>
    <w:rsid w:val="00DD181D"/>
    <w:rsid w:val="00DD4C90"/>
    <w:rsid w:val="00E00B0E"/>
    <w:rsid w:val="00E04C04"/>
    <w:rsid w:val="00E169BE"/>
    <w:rsid w:val="00E23053"/>
    <w:rsid w:val="00E313D4"/>
    <w:rsid w:val="00E722B4"/>
    <w:rsid w:val="00EA53B8"/>
    <w:rsid w:val="00EE05B7"/>
    <w:rsid w:val="00EF5EBB"/>
    <w:rsid w:val="00F04CAC"/>
    <w:rsid w:val="00F10831"/>
    <w:rsid w:val="00F2362C"/>
    <w:rsid w:val="00F24848"/>
    <w:rsid w:val="00F475FD"/>
    <w:rsid w:val="00F663AF"/>
    <w:rsid w:val="00FD2F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C6D74"/>
  <w15:docId w15:val="{4AEF2C9D-AD4F-934F-97F0-9A3C68A3E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24A"/>
    <w:pPr>
      <w:spacing w:after="0" w:line="240" w:lineRule="auto"/>
    </w:pPr>
    <w:rPr>
      <w:rFonts w:ascii="Times New Roman" w:eastAsia="Times New Roman" w:hAnsi="Times New Roman" w:cs="Times New Roman"/>
      <w:kern w:val="0"/>
      <w14:ligatures w14:val="none"/>
    </w:rPr>
  </w:style>
  <w:style w:type="paragraph" w:styleId="Ttulo1">
    <w:name w:val="heading 1"/>
    <w:next w:val="Normal"/>
    <w:link w:val="Ttulo1Char"/>
    <w:uiPriority w:val="9"/>
    <w:qFormat/>
    <w:pPr>
      <w:keepNext/>
      <w:keepLines/>
      <w:spacing w:after="3" w:line="357" w:lineRule="auto"/>
      <w:ind w:left="286" w:firstLine="842"/>
      <w:jc w:val="both"/>
      <w:outlineLvl w:val="0"/>
    </w:pPr>
    <w:rPr>
      <w:rFonts w:ascii="Times New Roman" w:eastAsia="Times New Roman" w:hAnsi="Times New Roman" w:cs="Times New Roman"/>
      <w:color w:val="000000"/>
    </w:rPr>
  </w:style>
  <w:style w:type="paragraph" w:styleId="Ttulo2">
    <w:name w:val="heading 2"/>
    <w:next w:val="Normal"/>
    <w:link w:val="Ttulo2Char"/>
    <w:uiPriority w:val="9"/>
    <w:unhideWhenUsed/>
    <w:qFormat/>
    <w:pPr>
      <w:keepNext/>
      <w:keepLines/>
      <w:spacing w:after="3" w:line="357" w:lineRule="auto"/>
      <w:ind w:left="286" w:firstLine="842"/>
      <w:jc w:val="both"/>
      <w:outlineLvl w:val="1"/>
    </w:pPr>
    <w:rPr>
      <w:rFonts w:ascii="Times New Roman" w:eastAsia="Times New Roman" w:hAnsi="Times New Roman" w:cs="Times New Roman"/>
      <w:color w:val="000000"/>
    </w:rPr>
  </w:style>
  <w:style w:type="paragraph" w:styleId="Ttulo3">
    <w:name w:val="heading 3"/>
    <w:next w:val="Normal"/>
    <w:link w:val="Ttulo3Char"/>
    <w:uiPriority w:val="9"/>
    <w:unhideWhenUsed/>
    <w:qFormat/>
    <w:pPr>
      <w:keepNext/>
      <w:keepLines/>
      <w:spacing w:after="327" w:line="259" w:lineRule="auto"/>
      <w:ind w:left="10" w:right="2" w:hanging="10"/>
      <w:jc w:val="center"/>
      <w:outlineLvl w:val="2"/>
    </w:pPr>
    <w:rPr>
      <w:rFonts w:ascii="Times New Roman" w:eastAsia="Times New Roman" w:hAnsi="Times New Roman" w:cs="Times New Roman"/>
      <w:color w:val="000000"/>
      <w:sz w:val="32"/>
    </w:rPr>
  </w:style>
  <w:style w:type="paragraph" w:styleId="Ttulo4">
    <w:name w:val="heading 4"/>
    <w:next w:val="Normal"/>
    <w:link w:val="Ttulo4Char"/>
    <w:uiPriority w:val="9"/>
    <w:unhideWhenUsed/>
    <w:qFormat/>
    <w:pPr>
      <w:keepNext/>
      <w:keepLines/>
      <w:spacing w:after="327" w:line="259" w:lineRule="auto"/>
      <w:ind w:left="10" w:right="2" w:hanging="10"/>
      <w:jc w:val="center"/>
      <w:outlineLvl w:val="3"/>
    </w:pPr>
    <w:rPr>
      <w:rFonts w:ascii="Times New Roman" w:eastAsia="Times New Roman" w:hAnsi="Times New Roman" w:cs="Times New Roman"/>
      <w:color w:val="000000"/>
      <w:sz w:val="3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Ttulo4"/>
    <w:rPr>
      <w:rFonts w:ascii="Times New Roman" w:eastAsia="Times New Roman" w:hAnsi="Times New Roman" w:cs="Times New Roman"/>
      <w:color w:val="000000"/>
      <w:sz w:val="32"/>
    </w:rPr>
  </w:style>
  <w:style w:type="character" w:customStyle="1" w:styleId="Ttulo1Char">
    <w:name w:val="Título 1 Char"/>
    <w:link w:val="Ttulo1"/>
    <w:rPr>
      <w:rFonts w:ascii="Times New Roman" w:eastAsia="Times New Roman" w:hAnsi="Times New Roman" w:cs="Times New Roman"/>
      <w:color w:val="000000"/>
      <w:sz w:val="24"/>
    </w:rPr>
  </w:style>
  <w:style w:type="character" w:customStyle="1" w:styleId="Ttulo2Char">
    <w:name w:val="Título 2 Char"/>
    <w:link w:val="Ttulo2"/>
    <w:rPr>
      <w:rFonts w:ascii="Times New Roman" w:eastAsia="Times New Roman" w:hAnsi="Times New Roman" w:cs="Times New Roman"/>
      <w:color w:val="000000"/>
      <w:sz w:val="24"/>
    </w:rPr>
  </w:style>
  <w:style w:type="character" w:customStyle="1" w:styleId="Ttulo3Char">
    <w:name w:val="Título 3 Char"/>
    <w:link w:val="Ttulo3"/>
    <w:rPr>
      <w:rFonts w:ascii="Times New Roman" w:eastAsia="Times New Roman" w:hAnsi="Times New Roman" w:cs="Times New Roman"/>
      <w:color w:val="000000"/>
      <w:sz w:val="32"/>
    </w:rPr>
  </w:style>
  <w:style w:type="paragraph" w:styleId="Sumrio1">
    <w:name w:val="toc 1"/>
    <w:hidden/>
    <w:uiPriority w:val="39"/>
    <w:pPr>
      <w:spacing w:after="3" w:line="259" w:lineRule="auto"/>
      <w:ind w:left="154" w:right="23"/>
      <w:jc w:val="both"/>
    </w:pPr>
    <w:rPr>
      <w:rFonts w:ascii="Times New Roman" w:eastAsia="Times New Roman" w:hAnsi="Times New Roman" w:cs="Times New Roman"/>
      <w:color w:val="000000"/>
    </w:rPr>
  </w:style>
  <w:style w:type="paragraph" w:styleId="Sumrio2">
    <w:name w:val="toc 2"/>
    <w:hidden/>
    <w:uiPriority w:val="39"/>
    <w:pPr>
      <w:spacing w:after="3" w:line="259" w:lineRule="auto"/>
      <w:ind w:left="139" w:right="20"/>
      <w:jc w:val="both"/>
    </w:pPr>
    <w:rPr>
      <w:rFonts w:ascii="Times New Roman" w:eastAsia="Times New Roman" w:hAnsi="Times New Roman" w:cs="Times New Roman"/>
      <w:color w:val="000000"/>
    </w:rPr>
  </w:style>
  <w:style w:type="paragraph" w:styleId="Sumrio3">
    <w:name w:val="toc 3"/>
    <w:hidden/>
    <w:pPr>
      <w:spacing w:after="221" w:line="259" w:lineRule="auto"/>
      <w:ind w:left="159" w:right="23" w:hanging="5"/>
      <w:jc w:val="both"/>
    </w:pPr>
    <w:rPr>
      <w:rFonts w:ascii="Times New Roman" w:eastAsia="Times New Roman" w:hAnsi="Times New Roman" w:cs="Times New Roman"/>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C563CE"/>
    <w:pPr>
      <w:tabs>
        <w:tab w:val="center" w:pos="4252"/>
        <w:tab w:val="right" w:pos="8504"/>
      </w:tabs>
      <w:ind w:left="286" w:firstLine="842"/>
      <w:jc w:val="both"/>
    </w:pPr>
    <w:rPr>
      <w:color w:val="000000"/>
      <w:kern w:val="2"/>
      <w:lang w:val="pt" w:eastAsia="pt"/>
      <w14:ligatures w14:val="standardContextual"/>
    </w:rPr>
  </w:style>
  <w:style w:type="character" w:customStyle="1" w:styleId="RodapChar">
    <w:name w:val="Rodapé Char"/>
    <w:basedOn w:val="Fontepargpadro"/>
    <w:link w:val="Rodap"/>
    <w:uiPriority w:val="99"/>
    <w:rsid w:val="00C563CE"/>
    <w:rPr>
      <w:rFonts w:ascii="Times New Roman" w:eastAsia="Times New Roman" w:hAnsi="Times New Roman" w:cs="Times New Roman"/>
      <w:color w:val="000000"/>
      <w:lang w:val="pt" w:eastAsia="pt"/>
    </w:rPr>
  </w:style>
  <w:style w:type="character" w:styleId="Hyperlink">
    <w:name w:val="Hyperlink"/>
    <w:basedOn w:val="Fontepargpadro"/>
    <w:uiPriority w:val="99"/>
    <w:unhideWhenUsed/>
    <w:rsid w:val="00C563CE"/>
    <w:rPr>
      <w:color w:val="467886" w:themeColor="hyperlink"/>
      <w:u w:val="single"/>
    </w:rPr>
  </w:style>
  <w:style w:type="paragraph" w:styleId="NormalWeb">
    <w:name w:val="Normal (Web)"/>
    <w:basedOn w:val="Normal"/>
    <w:uiPriority w:val="99"/>
    <w:unhideWhenUsed/>
    <w:rsid w:val="00E04C04"/>
    <w:pPr>
      <w:spacing w:before="100" w:beforeAutospacing="1" w:after="100" w:afterAutospacing="1"/>
    </w:pPr>
  </w:style>
  <w:style w:type="character" w:styleId="Forte">
    <w:name w:val="Strong"/>
    <w:basedOn w:val="Fontepargpadro"/>
    <w:uiPriority w:val="22"/>
    <w:qFormat/>
    <w:rsid w:val="003C4465"/>
    <w:rPr>
      <w:b/>
      <w:bCs/>
    </w:rPr>
  </w:style>
  <w:style w:type="character" w:customStyle="1" w:styleId="apple-converted-space">
    <w:name w:val="apple-converted-space"/>
    <w:basedOn w:val="Fontepargpadro"/>
    <w:rsid w:val="003C4465"/>
  </w:style>
  <w:style w:type="character" w:customStyle="1" w:styleId="katex-mathml">
    <w:name w:val="katex-mathml"/>
    <w:basedOn w:val="Fontepargpadro"/>
    <w:rsid w:val="003C4465"/>
  </w:style>
  <w:style w:type="character" w:customStyle="1" w:styleId="mord">
    <w:name w:val="mord"/>
    <w:basedOn w:val="Fontepargpadro"/>
    <w:rsid w:val="003C4465"/>
  </w:style>
  <w:style w:type="character" w:customStyle="1" w:styleId="mrel">
    <w:name w:val="mrel"/>
    <w:basedOn w:val="Fontepargpadro"/>
    <w:rsid w:val="003C4465"/>
  </w:style>
  <w:style w:type="character" w:customStyle="1" w:styleId="mbin">
    <w:name w:val="mbin"/>
    <w:basedOn w:val="Fontepargpadro"/>
    <w:rsid w:val="003C4465"/>
  </w:style>
  <w:style w:type="character" w:customStyle="1" w:styleId="vlist-s">
    <w:name w:val="vlist-s"/>
    <w:basedOn w:val="Fontepargpadro"/>
    <w:rsid w:val="003C4465"/>
  </w:style>
  <w:style w:type="character" w:styleId="TextodoEspaoReservado">
    <w:name w:val="Placeholder Text"/>
    <w:basedOn w:val="Fontepargpadro"/>
    <w:uiPriority w:val="99"/>
    <w:semiHidden/>
    <w:rsid w:val="003C4465"/>
    <w:rPr>
      <w:color w:val="666666"/>
    </w:rPr>
  </w:style>
  <w:style w:type="character" w:customStyle="1" w:styleId="mopen">
    <w:name w:val="mopen"/>
    <w:basedOn w:val="Fontepargpadro"/>
    <w:rsid w:val="00012CA3"/>
  </w:style>
  <w:style w:type="character" w:customStyle="1" w:styleId="mclose">
    <w:name w:val="mclose"/>
    <w:basedOn w:val="Fontepargpadro"/>
    <w:rsid w:val="00012CA3"/>
  </w:style>
  <w:style w:type="paragraph" w:styleId="PargrafodaLista">
    <w:name w:val="List Paragraph"/>
    <w:basedOn w:val="Normal"/>
    <w:uiPriority w:val="34"/>
    <w:qFormat/>
    <w:rsid w:val="006E0BBB"/>
    <w:pPr>
      <w:spacing w:after="3" w:line="357" w:lineRule="auto"/>
      <w:ind w:left="720" w:firstLine="842"/>
      <w:contextualSpacing/>
      <w:jc w:val="both"/>
    </w:pPr>
    <w:rPr>
      <w:color w:val="000000"/>
      <w:kern w:val="2"/>
      <w:lang w:val="pt" w:eastAsia="pt"/>
      <w14:ligatures w14:val="standardContextual"/>
    </w:rPr>
  </w:style>
  <w:style w:type="character" w:styleId="nfase">
    <w:name w:val="Emphasis"/>
    <w:basedOn w:val="Fontepargpadro"/>
    <w:uiPriority w:val="20"/>
    <w:qFormat/>
    <w:rsid w:val="003702FD"/>
    <w:rPr>
      <w:i/>
      <w:iCs/>
    </w:rPr>
  </w:style>
  <w:style w:type="table" w:styleId="Tabelacomgrade">
    <w:name w:val="Table Grid"/>
    <w:basedOn w:val="Tabelanormal"/>
    <w:uiPriority w:val="39"/>
    <w:rsid w:val="00E31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201763">
      <w:bodyDiv w:val="1"/>
      <w:marLeft w:val="0"/>
      <w:marRight w:val="0"/>
      <w:marTop w:val="0"/>
      <w:marBottom w:val="0"/>
      <w:divBdr>
        <w:top w:val="none" w:sz="0" w:space="0" w:color="auto"/>
        <w:left w:val="none" w:sz="0" w:space="0" w:color="auto"/>
        <w:bottom w:val="none" w:sz="0" w:space="0" w:color="auto"/>
        <w:right w:val="none" w:sz="0" w:space="0" w:color="auto"/>
      </w:divBdr>
    </w:div>
    <w:div w:id="493574936">
      <w:bodyDiv w:val="1"/>
      <w:marLeft w:val="0"/>
      <w:marRight w:val="0"/>
      <w:marTop w:val="0"/>
      <w:marBottom w:val="0"/>
      <w:divBdr>
        <w:top w:val="none" w:sz="0" w:space="0" w:color="auto"/>
        <w:left w:val="none" w:sz="0" w:space="0" w:color="auto"/>
        <w:bottom w:val="none" w:sz="0" w:space="0" w:color="auto"/>
        <w:right w:val="none" w:sz="0" w:space="0" w:color="auto"/>
      </w:divBdr>
    </w:div>
    <w:div w:id="543832926">
      <w:bodyDiv w:val="1"/>
      <w:marLeft w:val="0"/>
      <w:marRight w:val="0"/>
      <w:marTop w:val="0"/>
      <w:marBottom w:val="0"/>
      <w:divBdr>
        <w:top w:val="none" w:sz="0" w:space="0" w:color="auto"/>
        <w:left w:val="none" w:sz="0" w:space="0" w:color="auto"/>
        <w:bottom w:val="none" w:sz="0" w:space="0" w:color="auto"/>
        <w:right w:val="none" w:sz="0" w:space="0" w:color="auto"/>
      </w:divBdr>
    </w:div>
    <w:div w:id="553741939">
      <w:bodyDiv w:val="1"/>
      <w:marLeft w:val="0"/>
      <w:marRight w:val="0"/>
      <w:marTop w:val="0"/>
      <w:marBottom w:val="0"/>
      <w:divBdr>
        <w:top w:val="none" w:sz="0" w:space="0" w:color="auto"/>
        <w:left w:val="none" w:sz="0" w:space="0" w:color="auto"/>
        <w:bottom w:val="none" w:sz="0" w:space="0" w:color="auto"/>
        <w:right w:val="none" w:sz="0" w:space="0" w:color="auto"/>
      </w:divBdr>
    </w:div>
    <w:div w:id="554660301">
      <w:bodyDiv w:val="1"/>
      <w:marLeft w:val="0"/>
      <w:marRight w:val="0"/>
      <w:marTop w:val="0"/>
      <w:marBottom w:val="0"/>
      <w:divBdr>
        <w:top w:val="none" w:sz="0" w:space="0" w:color="auto"/>
        <w:left w:val="none" w:sz="0" w:space="0" w:color="auto"/>
        <w:bottom w:val="none" w:sz="0" w:space="0" w:color="auto"/>
        <w:right w:val="none" w:sz="0" w:space="0" w:color="auto"/>
      </w:divBdr>
    </w:div>
    <w:div w:id="557593921">
      <w:bodyDiv w:val="1"/>
      <w:marLeft w:val="0"/>
      <w:marRight w:val="0"/>
      <w:marTop w:val="0"/>
      <w:marBottom w:val="0"/>
      <w:divBdr>
        <w:top w:val="none" w:sz="0" w:space="0" w:color="auto"/>
        <w:left w:val="none" w:sz="0" w:space="0" w:color="auto"/>
        <w:bottom w:val="none" w:sz="0" w:space="0" w:color="auto"/>
        <w:right w:val="none" w:sz="0" w:space="0" w:color="auto"/>
      </w:divBdr>
    </w:div>
    <w:div w:id="560365160">
      <w:bodyDiv w:val="1"/>
      <w:marLeft w:val="0"/>
      <w:marRight w:val="0"/>
      <w:marTop w:val="0"/>
      <w:marBottom w:val="0"/>
      <w:divBdr>
        <w:top w:val="none" w:sz="0" w:space="0" w:color="auto"/>
        <w:left w:val="none" w:sz="0" w:space="0" w:color="auto"/>
        <w:bottom w:val="none" w:sz="0" w:space="0" w:color="auto"/>
        <w:right w:val="none" w:sz="0" w:space="0" w:color="auto"/>
      </w:divBdr>
    </w:div>
    <w:div w:id="738551170">
      <w:bodyDiv w:val="1"/>
      <w:marLeft w:val="0"/>
      <w:marRight w:val="0"/>
      <w:marTop w:val="0"/>
      <w:marBottom w:val="0"/>
      <w:divBdr>
        <w:top w:val="none" w:sz="0" w:space="0" w:color="auto"/>
        <w:left w:val="none" w:sz="0" w:space="0" w:color="auto"/>
        <w:bottom w:val="none" w:sz="0" w:space="0" w:color="auto"/>
        <w:right w:val="none" w:sz="0" w:space="0" w:color="auto"/>
      </w:divBdr>
      <w:divsChild>
        <w:div w:id="779766649">
          <w:marLeft w:val="0"/>
          <w:marRight w:val="0"/>
          <w:marTop w:val="0"/>
          <w:marBottom w:val="0"/>
          <w:divBdr>
            <w:top w:val="none" w:sz="0" w:space="0" w:color="auto"/>
            <w:left w:val="none" w:sz="0" w:space="0" w:color="auto"/>
            <w:bottom w:val="none" w:sz="0" w:space="0" w:color="auto"/>
            <w:right w:val="none" w:sz="0" w:space="0" w:color="auto"/>
          </w:divBdr>
        </w:div>
        <w:div w:id="1625499907">
          <w:marLeft w:val="0"/>
          <w:marRight w:val="0"/>
          <w:marTop w:val="0"/>
          <w:marBottom w:val="0"/>
          <w:divBdr>
            <w:top w:val="none" w:sz="0" w:space="0" w:color="auto"/>
            <w:left w:val="none" w:sz="0" w:space="0" w:color="auto"/>
            <w:bottom w:val="none" w:sz="0" w:space="0" w:color="auto"/>
            <w:right w:val="none" w:sz="0" w:space="0" w:color="auto"/>
          </w:divBdr>
        </w:div>
      </w:divsChild>
    </w:div>
    <w:div w:id="811561914">
      <w:bodyDiv w:val="1"/>
      <w:marLeft w:val="0"/>
      <w:marRight w:val="0"/>
      <w:marTop w:val="0"/>
      <w:marBottom w:val="0"/>
      <w:divBdr>
        <w:top w:val="none" w:sz="0" w:space="0" w:color="auto"/>
        <w:left w:val="none" w:sz="0" w:space="0" w:color="auto"/>
        <w:bottom w:val="none" w:sz="0" w:space="0" w:color="auto"/>
        <w:right w:val="none" w:sz="0" w:space="0" w:color="auto"/>
      </w:divBdr>
    </w:div>
    <w:div w:id="893353670">
      <w:bodyDiv w:val="1"/>
      <w:marLeft w:val="0"/>
      <w:marRight w:val="0"/>
      <w:marTop w:val="0"/>
      <w:marBottom w:val="0"/>
      <w:divBdr>
        <w:top w:val="none" w:sz="0" w:space="0" w:color="auto"/>
        <w:left w:val="none" w:sz="0" w:space="0" w:color="auto"/>
        <w:bottom w:val="none" w:sz="0" w:space="0" w:color="auto"/>
        <w:right w:val="none" w:sz="0" w:space="0" w:color="auto"/>
      </w:divBdr>
    </w:div>
    <w:div w:id="908656846">
      <w:bodyDiv w:val="1"/>
      <w:marLeft w:val="0"/>
      <w:marRight w:val="0"/>
      <w:marTop w:val="0"/>
      <w:marBottom w:val="0"/>
      <w:divBdr>
        <w:top w:val="none" w:sz="0" w:space="0" w:color="auto"/>
        <w:left w:val="none" w:sz="0" w:space="0" w:color="auto"/>
        <w:bottom w:val="none" w:sz="0" w:space="0" w:color="auto"/>
        <w:right w:val="none" w:sz="0" w:space="0" w:color="auto"/>
      </w:divBdr>
    </w:div>
    <w:div w:id="912663369">
      <w:bodyDiv w:val="1"/>
      <w:marLeft w:val="0"/>
      <w:marRight w:val="0"/>
      <w:marTop w:val="0"/>
      <w:marBottom w:val="0"/>
      <w:divBdr>
        <w:top w:val="none" w:sz="0" w:space="0" w:color="auto"/>
        <w:left w:val="none" w:sz="0" w:space="0" w:color="auto"/>
        <w:bottom w:val="none" w:sz="0" w:space="0" w:color="auto"/>
        <w:right w:val="none" w:sz="0" w:space="0" w:color="auto"/>
      </w:divBdr>
    </w:div>
    <w:div w:id="1031422030">
      <w:bodyDiv w:val="1"/>
      <w:marLeft w:val="0"/>
      <w:marRight w:val="0"/>
      <w:marTop w:val="0"/>
      <w:marBottom w:val="0"/>
      <w:divBdr>
        <w:top w:val="none" w:sz="0" w:space="0" w:color="auto"/>
        <w:left w:val="none" w:sz="0" w:space="0" w:color="auto"/>
        <w:bottom w:val="none" w:sz="0" w:space="0" w:color="auto"/>
        <w:right w:val="none" w:sz="0" w:space="0" w:color="auto"/>
      </w:divBdr>
    </w:div>
    <w:div w:id="1078788326">
      <w:bodyDiv w:val="1"/>
      <w:marLeft w:val="0"/>
      <w:marRight w:val="0"/>
      <w:marTop w:val="0"/>
      <w:marBottom w:val="0"/>
      <w:divBdr>
        <w:top w:val="none" w:sz="0" w:space="0" w:color="auto"/>
        <w:left w:val="none" w:sz="0" w:space="0" w:color="auto"/>
        <w:bottom w:val="none" w:sz="0" w:space="0" w:color="auto"/>
        <w:right w:val="none" w:sz="0" w:space="0" w:color="auto"/>
      </w:divBdr>
    </w:div>
    <w:div w:id="1291130301">
      <w:bodyDiv w:val="1"/>
      <w:marLeft w:val="0"/>
      <w:marRight w:val="0"/>
      <w:marTop w:val="0"/>
      <w:marBottom w:val="0"/>
      <w:divBdr>
        <w:top w:val="none" w:sz="0" w:space="0" w:color="auto"/>
        <w:left w:val="none" w:sz="0" w:space="0" w:color="auto"/>
        <w:bottom w:val="none" w:sz="0" w:space="0" w:color="auto"/>
        <w:right w:val="none" w:sz="0" w:space="0" w:color="auto"/>
      </w:divBdr>
    </w:div>
    <w:div w:id="1334722759">
      <w:bodyDiv w:val="1"/>
      <w:marLeft w:val="0"/>
      <w:marRight w:val="0"/>
      <w:marTop w:val="0"/>
      <w:marBottom w:val="0"/>
      <w:divBdr>
        <w:top w:val="none" w:sz="0" w:space="0" w:color="auto"/>
        <w:left w:val="none" w:sz="0" w:space="0" w:color="auto"/>
        <w:bottom w:val="none" w:sz="0" w:space="0" w:color="auto"/>
        <w:right w:val="none" w:sz="0" w:space="0" w:color="auto"/>
      </w:divBdr>
    </w:div>
    <w:div w:id="1758017178">
      <w:bodyDiv w:val="1"/>
      <w:marLeft w:val="0"/>
      <w:marRight w:val="0"/>
      <w:marTop w:val="0"/>
      <w:marBottom w:val="0"/>
      <w:divBdr>
        <w:top w:val="none" w:sz="0" w:space="0" w:color="auto"/>
        <w:left w:val="none" w:sz="0" w:space="0" w:color="auto"/>
        <w:bottom w:val="none" w:sz="0" w:space="0" w:color="auto"/>
        <w:right w:val="none" w:sz="0" w:space="0" w:color="auto"/>
      </w:divBdr>
    </w:div>
    <w:div w:id="1778408614">
      <w:bodyDiv w:val="1"/>
      <w:marLeft w:val="0"/>
      <w:marRight w:val="0"/>
      <w:marTop w:val="0"/>
      <w:marBottom w:val="0"/>
      <w:divBdr>
        <w:top w:val="none" w:sz="0" w:space="0" w:color="auto"/>
        <w:left w:val="none" w:sz="0" w:space="0" w:color="auto"/>
        <w:bottom w:val="none" w:sz="0" w:space="0" w:color="auto"/>
        <w:right w:val="none" w:sz="0" w:space="0" w:color="auto"/>
      </w:divBdr>
    </w:div>
    <w:div w:id="1786270918">
      <w:bodyDiv w:val="1"/>
      <w:marLeft w:val="0"/>
      <w:marRight w:val="0"/>
      <w:marTop w:val="0"/>
      <w:marBottom w:val="0"/>
      <w:divBdr>
        <w:top w:val="none" w:sz="0" w:space="0" w:color="auto"/>
        <w:left w:val="none" w:sz="0" w:space="0" w:color="auto"/>
        <w:bottom w:val="none" w:sz="0" w:space="0" w:color="auto"/>
        <w:right w:val="none" w:sz="0" w:space="0" w:color="auto"/>
      </w:divBdr>
    </w:div>
    <w:div w:id="2099986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rn.com/abstract=1618756" TargetMode="External"/><Relationship Id="rId4" Type="http://schemas.openxmlformats.org/officeDocument/2006/relationships/settings" Target="settings.xml"/><Relationship Id="rId9" Type="http://schemas.openxmlformats.org/officeDocument/2006/relationships/hyperlink" Target="https://doi.org/10.3390/ijfs10010009"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39262-53BA-3E4B-9C93-E56AF4054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8269</Words>
  <Characters>44654</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Silva</dc:creator>
  <cp:keywords/>
  <cp:lastModifiedBy>Duda F Mendes</cp:lastModifiedBy>
  <cp:revision>2</cp:revision>
  <cp:lastPrinted>2025-04-04T14:40:00Z</cp:lastPrinted>
  <dcterms:created xsi:type="dcterms:W3CDTF">2025-04-07T01:45:00Z</dcterms:created>
  <dcterms:modified xsi:type="dcterms:W3CDTF">2025-04-07T01:45:00Z</dcterms:modified>
</cp:coreProperties>
</file>