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C15E4E" w14:textId="77777777" w:rsidR="00483094" w:rsidRPr="0009257C" w:rsidRDefault="00483094" w:rsidP="000301CF">
      <w:pPr>
        <w:pStyle w:val="Corpodetexto"/>
        <w:spacing w:after="100"/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8F37ADA" w14:textId="6FD7A74A" w:rsidR="000301CF" w:rsidRPr="000301CF" w:rsidRDefault="000301CF" w:rsidP="000301CF">
      <w:pPr>
        <w:pStyle w:val="Corpodetexto"/>
        <w:spacing w:after="100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0301C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USO DE METODOLOGIAS ATIVAS DE ENSINO NO PROJETO DE MONITORIA EM ENFERMAGEM</w:t>
      </w:r>
    </w:p>
    <w:p w14:paraId="10DF9A6A" w14:textId="77777777" w:rsidR="000301CF" w:rsidRPr="0009257C" w:rsidRDefault="000301CF" w:rsidP="000301CF">
      <w:pPr>
        <w:pStyle w:val="Corpodetexto"/>
        <w:spacing w:after="1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200F1">
        <w:rPr>
          <w:rFonts w:ascii="Times New Roman" w:hAnsi="Times New Roman" w:cs="Times New Roman"/>
          <w:color w:val="000000" w:themeColor="text1"/>
          <w:sz w:val="24"/>
          <w:szCs w:val="24"/>
        </w:rPr>
        <w:t>DA LUZ</w:t>
      </w:r>
      <w:r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0200F1">
        <w:rPr>
          <w:rFonts w:ascii="Times New Roman" w:hAnsi="Times New Roman" w:cs="Times New Roman"/>
          <w:color w:val="000000" w:themeColor="text1"/>
          <w:sz w:val="24"/>
          <w:szCs w:val="24"/>
        </w:rPr>
        <w:t>João Gabriel Alves</w:t>
      </w:r>
      <w:r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ORCID: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541B0">
        <w:rPr>
          <w:rFonts w:ascii="Times New Roman" w:hAnsi="Times New Roman" w:cs="Times New Roman"/>
          <w:color w:val="000000" w:themeColor="text1"/>
          <w:sz w:val="24"/>
          <w:szCs w:val="24"/>
        </w:rPr>
        <w:t>0009-0003-1254-</w:t>
      </w:r>
      <w:r w:rsidRPr="007541B0">
        <w:t xml:space="preserve"> </w:t>
      </w:r>
      <w:r w:rsidRPr="007541B0">
        <w:rPr>
          <w:rFonts w:ascii="Times New Roman" w:hAnsi="Times New Roman" w:cs="Times New Roman"/>
          <w:color w:val="000000" w:themeColor="text1"/>
          <w:sz w:val="24"/>
          <w:szCs w:val="24"/>
        </w:rPr>
        <w:t>5075</w:t>
      </w:r>
      <w:r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(AUTOR)</w:t>
      </w:r>
      <w:r w:rsidRPr="0009257C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</w:t>
      </w:r>
    </w:p>
    <w:p w14:paraId="1F2038A8" w14:textId="74623751" w:rsidR="000301CF" w:rsidRPr="0009257C" w:rsidRDefault="000301CF" w:rsidP="000301CF">
      <w:pPr>
        <w:pStyle w:val="Corpodetexto"/>
        <w:spacing w:after="1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D06FF">
        <w:rPr>
          <w:rFonts w:ascii="Times New Roman" w:hAnsi="Times New Roman" w:cs="Times New Roman"/>
          <w:color w:val="000000" w:themeColor="text1"/>
          <w:sz w:val="24"/>
          <w:szCs w:val="24"/>
        </w:rPr>
        <w:t>TRINDADE</w:t>
      </w:r>
      <w:r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8D06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Bianca </w:t>
      </w:r>
      <w:proofErr w:type="spellStart"/>
      <w:r w:rsidRPr="008D06FF">
        <w:rPr>
          <w:rFonts w:ascii="Times New Roman" w:hAnsi="Times New Roman" w:cs="Times New Roman"/>
          <w:color w:val="000000" w:themeColor="text1"/>
          <w:sz w:val="24"/>
          <w:szCs w:val="24"/>
        </w:rPr>
        <w:t>Rafaele</w:t>
      </w:r>
      <w:proofErr w:type="spellEnd"/>
      <w:r w:rsidRPr="008D06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Souza </w:t>
      </w:r>
      <w:r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>– ORCID:</w:t>
      </w:r>
      <w:r w:rsidR="006A37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541B0">
        <w:rPr>
          <w:rFonts w:ascii="Times New Roman" w:hAnsi="Times New Roman" w:cs="Times New Roman"/>
          <w:color w:val="000000" w:themeColor="text1"/>
          <w:sz w:val="24"/>
          <w:szCs w:val="24"/>
        </w:rPr>
        <w:t>0009-0000-3523-3451</w:t>
      </w:r>
      <w:r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(AUTOR)</w:t>
      </w:r>
      <w:r w:rsidRPr="0009257C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2</w:t>
      </w:r>
    </w:p>
    <w:p w14:paraId="18EECDAF" w14:textId="4F4531D9" w:rsidR="00483094" w:rsidRPr="0009257C" w:rsidRDefault="000301CF" w:rsidP="00483094">
      <w:pPr>
        <w:pStyle w:val="Corpodetexto"/>
        <w:spacing w:after="1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D06FF">
        <w:rPr>
          <w:rFonts w:ascii="Times New Roman" w:hAnsi="Times New Roman" w:cs="Times New Roman"/>
          <w:color w:val="000000" w:themeColor="text1"/>
          <w:sz w:val="24"/>
          <w:szCs w:val="24"/>
        </w:rPr>
        <w:t>GOMES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8D06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D06FF">
        <w:rPr>
          <w:rFonts w:ascii="Times New Roman" w:hAnsi="Times New Roman" w:cs="Times New Roman"/>
          <w:color w:val="000000" w:themeColor="text1"/>
          <w:sz w:val="24"/>
          <w:szCs w:val="24"/>
        </w:rPr>
        <w:t>Franciane</w:t>
      </w:r>
      <w:proofErr w:type="spellEnd"/>
      <w:r w:rsidRPr="008D06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do Socorro Rodrigues</w:t>
      </w:r>
      <w:r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>– ORCID: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541B0">
        <w:rPr>
          <w:rFonts w:ascii="Times New Roman" w:hAnsi="Times New Roman" w:cs="Times New Roman"/>
          <w:color w:val="000000" w:themeColor="text1"/>
          <w:sz w:val="24"/>
          <w:szCs w:val="24"/>
        </w:rPr>
        <w:t>0000-0001-5087-8303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83094"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>(AUTOR, ORIENTADOR)</w:t>
      </w:r>
      <w: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3</w:t>
      </w:r>
    </w:p>
    <w:p w14:paraId="1C558213" w14:textId="77777777" w:rsidR="00483094" w:rsidRPr="0009257C" w:rsidRDefault="00483094" w:rsidP="00483094">
      <w:pPr>
        <w:pStyle w:val="Corpodetexto"/>
        <w:spacing w:after="100" w:line="360" w:lineRule="auto"/>
        <w:jc w:val="both"/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0CAF931" w14:textId="26022401" w:rsidR="00483094" w:rsidRPr="0009257C" w:rsidRDefault="00483094" w:rsidP="00593AC3">
      <w:pPr>
        <w:pStyle w:val="Corpodetexto"/>
        <w:spacing w:after="100" w:line="240" w:lineRule="auto"/>
        <w:jc w:val="both"/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</w:pPr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>INTRODUÇÃO</w:t>
      </w:r>
      <w:r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Pr="0009257C">
        <w:rPr>
          <w:rFonts w:ascii="Times New Roman" w:hAnsi="Times New Roman" w:cs="Times New Roman"/>
          <w:sz w:val="24"/>
          <w:szCs w:val="24"/>
        </w:rPr>
        <w:t xml:space="preserve"> </w:t>
      </w:r>
      <w:r w:rsidR="000301CF" w:rsidRPr="000301CF">
        <w:rPr>
          <w:rFonts w:ascii="Times New Roman" w:hAnsi="Times New Roman" w:cs="Times New Roman"/>
          <w:sz w:val="24"/>
          <w:szCs w:val="24"/>
        </w:rPr>
        <w:t>A formação em saúde tem sido marcada por críticas ao modelo tradicional de ensino, estruturado na fragmentação e centrado na transmissão de conteúdos, o que limita o desenvolvimento de competências críticas e reflexivas. Em resposta a essas limitações, as metodologias ativas de ensino-aprendizagem consolidaram-se como estratégias que posicionam o estudante como protagonista do processo formativo, promovendo autonomia, pensamento crítico e integração entre teoria e prática. Revisões recentes evidenciam que tais abordagens favorecem maior engajamento discente, aprendizagem significativa e construção colaborativa do conhecimento, especialmente nos cursos da área da saúde, onde sua aplicação se mostra predominante</w:t>
      </w:r>
      <w:r w:rsidR="00593AC3">
        <w:rPr>
          <w:rFonts w:ascii="Times New Roman" w:hAnsi="Times New Roman" w:cs="Times New Roman"/>
          <w:sz w:val="24"/>
          <w:szCs w:val="24"/>
          <w:vertAlign w:val="superscript"/>
        </w:rPr>
        <w:t>1,2</w:t>
      </w:r>
      <w:r w:rsidR="000301CF" w:rsidRPr="000301CF">
        <w:rPr>
          <w:rFonts w:ascii="Times New Roman" w:hAnsi="Times New Roman" w:cs="Times New Roman"/>
          <w:sz w:val="24"/>
          <w:szCs w:val="24"/>
        </w:rPr>
        <w:t xml:space="preserve">. Entre as estratégias mais empregadas destacam-se a Aprendizagem Baseada em Problemas, a problematização pelo Arco de </w:t>
      </w:r>
      <w:proofErr w:type="spellStart"/>
      <w:r w:rsidR="000301CF" w:rsidRPr="000301CF">
        <w:rPr>
          <w:rFonts w:ascii="Times New Roman" w:hAnsi="Times New Roman" w:cs="Times New Roman"/>
          <w:sz w:val="24"/>
          <w:szCs w:val="24"/>
        </w:rPr>
        <w:t>Marguerez</w:t>
      </w:r>
      <w:proofErr w:type="spellEnd"/>
      <w:r w:rsidR="000301CF" w:rsidRPr="000301CF">
        <w:rPr>
          <w:rFonts w:ascii="Times New Roman" w:hAnsi="Times New Roman" w:cs="Times New Roman"/>
          <w:sz w:val="24"/>
          <w:szCs w:val="24"/>
        </w:rPr>
        <w:t>, estudos de caso, simulações e jogos educacionais, além do uso de tecnologias digitais. A literatura também aponta o crescimento de metodologias gamificadas, as quais ampliam a motivação, estimulam a participação ativa e favorecem o desenvolvimento de competências como tomada de decisão e trabalho em equipe. Apesar dos resultados promissores, persistem desafios relacionados à formação docente, sistematização conceitual e ampliação de evidências empíricas, o que reforça a necessidade de experiências formativas que consolidem tais abordagens no contexto acadêmico</w:t>
      </w:r>
      <w:r w:rsidR="00593AC3">
        <w:rPr>
          <w:rFonts w:ascii="Times New Roman" w:hAnsi="Times New Roman" w:cs="Times New Roman"/>
          <w:sz w:val="24"/>
          <w:szCs w:val="24"/>
          <w:vertAlign w:val="superscript"/>
        </w:rPr>
        <w:t>1,3</w:t>
      </w:r>
      <w:r w:rsidR="000301CF" w:rsidRPr="000301CF">
        <w:rPr>
          <w:rFonts w:ascii="Times New Roman" w:hAnsi="Times New Roman" w:cs="Times New Roman"/>
          <w:sz w:val="24"/>
          <w:szCs w:val="24"/>
        </w:rPr>
        <w:t>.</w:t>
      </w:r>
      <w:r w:rsidR="000301CF" w:rsidRPr="000301CF">
        <w:rPr>
          <w:b/>
          <w:bCs/>
          <w:color w:val="000000"/>
        </w:rPr>
        <w:t xml:space="preserve"> </w:t>
      </w:r>
      <w:r w:rsidR="000301CF" w:rsidRPr="000301C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OBJETIVO: </w:t>
      </w:r>
      <w:r w:rsidR="000301CF" w:rsidRPr="000301CF">
        <w:rPr>
          <w:rFonts w:ascii="Times New Roman" w:hAnsi="Times New Roman" w:cs="Times New Roman"/>
          <w:color w:val="000000" w:themeColor="text1"/>
          <w:sz w:val="24"/>
          <w:szCs w:val="24"/>
        </w:rPr>
        <w:t>Relatar a experiência de implementação de metodologias ativas de ensino no âmbito de um projeto de monitoria e sua contribuição para o processo de ensino-aprendizagem, especialmente quanto ao estímulo à participação discente, ao fortalecimento do pensamento crítico e à integração entre teoria e prática na formação em saúde.</w:t>
      </w:r>
      <w:r w:rsidR="000301CF" w:rsidRPr="000301C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MÉTODOS: </w:t>
      </w:r>
      <w:r w:rsidR="000301CF" w:rsidRPr="000301C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Trata-se de um estudo do tipo relato de experiência de abordagem qualitativa e descritiva, cujo objetivo é compartilhar as experiências e reflexões de monitores na atividade curricular “Enfermagem na Saúde da Criança e do Adolescente na Atenção Primária”. As atividades foram desenvolvidas de abril de 2025 a fevereiro de 2026 na Universidade Federal do Pará e tiveram como cenário tanto a Faculdade de Enfermagem como a Unidade Básica de Saúde do Guamá, Belém, Pará. As quais estiveram sob orientação contínua da docente responsável pelo projeto e pela atividade curricular. As ações da monitoria se pautaram no uso de metodologias ativas de ensino e aprendizagem desenvolvidas pelos monitores e aplicadas para discentes de enfermagem do sexto semestre. Dentre as atividades, elencam-se a discussão de casos clínicos, a gamificação no ensino acerca da imunização infanto-juvenil e a simulação realística da consulta de enfermagem na puericultura. A aplicação do </w:t>
      </w:r>
      <w:r w:rsidR="000301CF" w:rsidRPr="000301CF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método supracitado visou a consolidação dos conteúdos teóricos por meio de uma prática ativa de aprendizagem, a fim de auxiliar na prática profissional de enfermagem.</w:t>
      </w:r>
      <w:r w:rsidR="000301CF" w:rsidRPr="000301C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0301CF" w:rsidRPr="000301CF">
        <w:rPr>
          <w:rFonts w:ascii="Times New Roman" w:hAnsi="Times New Roman" w:cs="Times New Roman"/>
          <w:b/>
          <w:bCs/>
          <w:sz w:val="24"/>
          <w:szCs w:val="24"/>
        </w:rPr>
        <w:t xml:space="preserve">RESULTADOS E DISCUSSÃO: </w:t>
      </w:r>
      <w:r w:rsidR="000301CF" w:rsidRPr="000301CF">
        <w:rPr>
          <w:rFonts w:ascii="Times New Roman" w:hAnsi="Times New Roman" w:cs="Times New Roman"/>
          <w:sz w:val="24"/>
          <w:szCs w:val="24"/>
        </w:rPr>
        <w:t xml:space="preserve">A implementação de metodologias ativas no projeto de monitoria demonstrou impactos positivos no processo de ensino-aprendizagem dos discentes do sexto semestre de enfermagem. Observou-se maior participação dos estudantes, com envolvimento ativo nas atividades, aumento de questionamentos e postura mais crítica frente aos conteúdos, quando comparado ao ensino tradicional expositivo. A discussão de casos clínicos contribuiu para a integração entre teoria e prática, estimulando o raciocínio clínico, a tomada de decisão e a reflexão sobre situações vivenciadas na Atenção Primária à Saúde. Os discentes apresentaram maior segurança ao correlacionar sinais, sintomas, condutas e protocolos assistenciais, favorecendo uma aprendizagem significativa e contextualizada à realidade profissional. A gamificação aplicada ao ensino da imunização infanto-juvenil mostrou-se eficaz para ampliar o engajamento e a motivação dos estudantes. O uso de jogos educativos promoveu um ambiente dinâmico e colaborativo, facilitando a assimilação de conteúdos extensos ou complexos, além de estimular o trabalho em equipe e a competitividade saudável, aspectos relevantes para a formação em enfermagem. A simulação realística da consulta de enfermagem na puericultura possibilitou o desenvolvimento de habilidades técnicas, comunicacionais e atitudinais. Os discentes relataram maior confiança na condução da consulta, no acolhimento e na orientação às famílias, além de permitir a identificação de fragilidades e potencialidades, favorecendo o aprendizado reflexivo por meio de feedbacks. Para os monitores, a experiência contribuiu para o desenvolvimento de competências pedagógicas, autonomia e aprofundamento teórico-prático. A atuação sob orientação docente reforçou a monitoria como estratégia pedagógica relevante, promovendo um processo formativo integrado entre ensino, aprendizagem e prática assistencial. </w:t>
      </w:r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>CONSIDERAÇÕES FINAIS</w:t>
      </w:r>
      <w:r w:rsidRPr="0009257C">
        <w:rPr>
          <w:rFonts w:ascii="Times New Roman" w:hAnsi="Times New Roman" w:cs="Times New Roman"/>
          <w:sz w:val="24"/>
          <w:szCs w:val="24"/>
        </w:rPr>
        <w:t xml:space="preserve"> </w:t>
      </w:r>
      <w:r w:rsidR="000301CF" w:rsidRPr="000301CF">
        <w:rPr>
          <w:rFonts w:ascii="Times New Roman" w:hAnsi="Times New Roman" w:cs="Times New Roman"/>
          <w:sz w:val="24"/>
          <w:szCs w:val="24"/>
        </w:rPr>
        <w:t>A experiência evidencia que o uso de metodologias ativas em projetos de monitoria contribui significativamente para o aprimoramento do processo de ensino-aprendizagem na formação em enfermagem. As estratégias adotadas favoreceram maior participação discente, desenvolvimento do pensamento crítico, integração entre teoria e prática e fortalecimento de competências essenciais para a atuação na Atenção Primária à Saúde. Ademais, a monitoria configurou-se como espaço formativo também para os monitores, ao promover vivências pedagógicas, reflexivas e colaborativas. Dessa forma, reforça-se a importância da ampliação e institucionalização das metodologias ativas no ensino em saúde, visando uma formação crítica, humanizada e alinhada às demandas do Sistema Único de Saúde.</w:t>
      </w:r>
      <w:r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CONTRIBUIÇÕES PARA A ENFERMAGEM: </w:t>
      </w:r>
      <w:r w:rsidR="00593AC3" w:rsidRPr="00593AC3">
        <w:rPr>
          <w:rFonts w:ascii="Times New Roman" w:hAnsi="Times New Roman" w:cs="Times New Roman"/>
          <w:color w:val="000000" w:themeColor="text1"/>
          <w:sz w:val="24"/>
          <w:szCs w:val="24"/>
        </w:rPr>
        <w:t>O presente estudo contribui para a enfermagem ao evidenciar a aplicabilidade e os benefícios das metodologias ativas no processo formativo, especialmente no contexto da Atenção Primária à Saúde. Ao demonstrar que estratégias como discussão de casos clínicos, gamificação e simulação realística favorecem o desenvolvimento do raciocínio clínico, da tomada de decisão e das habilidades comunicacionais, o estudo reforça a importância de práticas pedagógicas inovadoras na formação de enfermeiros mais críticos, reflexivos e preparados para a realidade do Sistema Único de Saúde.</w:t>
      </w:r>
    </w:p>
    <w:p w14:paraId="22F5E86A" w14:textId="77777777" w:rsidR="00593AC3" w:rsidRPr="0009257C" w:rsidRDefault="00483094" w:rsidP="00593AC3">
      <w:pPr>
        <w:pStyle w:val="Corpodetexto"/>
        <w:spacing w:after="1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Descritores (</w:t>
      </w:r>
      <w:proofErr w:type="spellStart"/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>DeCS</w:t>
      </w:r>
      <w:proofErr w:type="spellEnd"/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 – ID): </w:t>
      </w:r>
      <w:r w:rsidR="00593AC3" w:rsidRPr="007541B0">
        <w:rPr>
          <w:rFonts w:ascii="Times New Roman" w:hAnsi="Times New Roman" w:cs="Times New Roman"/>
          <w:color w:val="000000" w:themeColor="text1"/>
          <w:sz w:val="24"/>
          <w:szCs w:val="24"/>
        </w:rPr>
        <w:t>Educação em Enfermagem</w:t>
      </w:r>
      <w:r w:rsidR="00593AC3"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93AC3"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="00593AC3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93AC3" w:rsidRPr="007541B0">
        <w:rPr>
          <w:rFonts w:ascii="Times New Roman" w:hAnsi="Times New Roman" w:cs="Times New Roman"/>
          <w:color w:val="000000" w:themeColor="text1"/>
          <w:sz w:val="24"/>
          <w:szCs w:val="24"/>
        </w:rPr>
        <w:t>D004506</w:t>
      </w:r>
      <w:r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</w:t>
      </w:r>
      <w:r w:rsidR="00593AC3" w:rsidRPr="007541B0">
        <w:rPr>
          <w:rFonts w:ascii="Times New Roman" w:hAnsi="Times New Roman" w:cs="Times New Roman"/>
          <w:color w:val="000000" w:themeColor="text1"/>
          <w:sz w:val="24"/>
          <w:szCs w:val="24"/>
        </w:rPr>
        <w:t>Enfermagem</w:t>
      </w:r>
      <w:r w:rsidR="00593AC3"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93AC3"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– </w:t>
      </w:r>
      <w:r w:rsidR="00593AC3" w:rsidRPr="007541B0">
        <w:rPr>
          <w:rFonts w:ascii="Times New Roman" w:hAnsi="Times New Roman" w:cs="Times New Roman"/>
          <w:color w:val="000000" w:themeColor="text1"/>
          <w:sz w:val="24"/>
          <w:szCs w:val="24"/>
        </w:rPr>
        <w:t>D009729</w:t>
      </w:r>
      <w:r w:rsidR="00593AC3"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</w:t>
      </w:r>
      <w:r w:rsidR="00593AC3" w:rsidRPr="007541B0">
        <w:rPr>
          <w:rFonts w:ascii="Times New Roman" w:hAnsi="Times New Roman" w:cs="Times New Roman"/>
          <w:color w:val="000000" w:themeColor="text1"/>
          <w:sz w:val="24"/>
          <w:szCs w:val="24"/>
        </w:rPr>
        <w:t>Atenção Primária à Saúde</w:t>
      </w:r>
      <w:r w:rsidR="00593AC3" w:rsidRPr="007541B0">
        <w:rPr>
          <w:rStyle w:val="nfaseforte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r w:rsidR="00593AC3"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– </w:t>
      </w:r>
      <w:r w:rsidR="00593AC3" w:rsidRPr="007541B0">
        <w:rPr>
          <w:rStyle w:val="nfaseforte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D</w:t>
      </w:r>
      <w:r w:rsidR="00593AC3" w:rsidRPr="007541B0">
        <w:rPr>
          <w:rFonts w:ascii="Times New Roman" w:hAnsi="Times New Roman" w:cs="Times New Roman"/>
          <w:color w:val="000000" w:themeColor="text1"/>
          <w:sz w:val="24"/>
          <w:szCs w:val="24"/>
        </w:rPr>
        <w:t>011320</w:t>
      </w:r>
      <w:r w:rsidR="00593AC3"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14:paraId="4D367E51" w14:textId="4EE1DDFC" w:rsidR="00483094" w:rsidRPr="0009257C" w:rsidRDefault="00483094" w:rsidP="00483094">
      <w:pPr>
        <w:pStyle w:val="Corpodetexto"/>
        <w:spacing w:after="100"/>
        <w:jc w:val="both"/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</w:pPr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Modalidade: estudo original </w:t>
      </w:r>
      <w:proofErr w:type="gramStart"/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593AC3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>)</w:t>
      </w:r>
      <w:proofErr w:type="gramEnd"/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 relato de experiência </w:t>
      </w:r>
      <w:proofErr w:type="gramStart"/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( </w:t>
      </w:r>
      <w:r w:rsidR="00593AC3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>x</w:t>
      </w:r>
      <w:proofErr w:type="gramEnd"/>
      <w:r w:rsidR="00593AC3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) revisão da literatura </w:t>
      </w:r>
      <w:proofErr w:type="gramStart"/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>(  )</w:t>
      </w:r>
      <w:proofErr w:type="gramEnd"/>
    </w:p>
    <w:p w14:paraId="3E98BA0D" w14:textId="6673D4A3" w:rsidR="00483094" w:rsidRPr="0009257C" w:rsidRDefault="00483094" w:rsidP="00483094">
      <w:pPr>
        <w:pStyle w:val="Corpodetexto"/>
        <w:spacing w:after="1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Eixo Temático:  </w:t>
      </w:r>
      <w:r w:rsidR="000301CF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>Eixo 9</w:t>
      </w:r>
    </w:p>
    <w:p w14:paraId="04264949" w14:textId="77777777" w:rsidR="00483094" w:rsidRPr="0009257C" w:rsidRDefault="00483094" w:rsidP="00483094">
      <w:pPr>
        <w:pStyle w:val="Corpodetexto"/>
        <w:spacing w:after="1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BD630B6" w14:textId="77777777" w:rsidR="00483094" w:rsidRPr="0009257C" w:rsidRDefault="00483094" w:rsidP="00483094">
      <w:pPr>
        <w:pStyle w:val="Corpodetexto"/>
        <w:spacing w:after="100"/>
        <w:jc w:val="both"/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</w:pPr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REFERÊNCIAS: </w:t>
      </w:r>
    </w:p>
    <w:p w14:paraId="30941C3D" w14:textId="336614D1" w:rsidR="000301CF" w:rsidRPr="000301CF" w:rsidRDefault="00483094" w:rsidP="000301CF">
      <w:pPr>
        <w:pStyle w:val="Corpodetexto"/>
        <w:spacing w:after="1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0301CF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301CF" w:rsidRPr="000301C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Roman C, Ellwanger J, Becker GC, Silveira AD, Machado CLB, Manfroi WC. Metodologias ativas de ensino-aprendizagem no processo de ensino em saúde no Brasil: uma revisão narrativa. Clin </w:t>
      </w:r>
      <w:proofErr w:type="spellStart"/>
      <w:r w:rsidR="000301CF" w:rsidRPr="000301CF">
        <w:rPr>
          <w:rFonts w:ascii="Times New Roman" w:hAnsi="Times New Roman" w:cs="Times New Roman"/>
          <w:color w:val="000000" w:themeColor="text1"/>
          <w:sz w:val="24"/>
          <w:szCs w:val="24"/>
        </w:rPr>
        <w:t>Biomed</w:t>
      </w:r>
      <w:proofErr w:type="spellEnd"/>
      <w:r w:rsidR="000301CF" w:rsidRPr="000301C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Res. 2017;37(4):349-357. doi:10.4322/2357-9730.73911 </w:t>
      </w:r>
    </w:p>
    <w:p w14:paraId="3D0C1938" w14:textId="6E39760E" w:rsidR="000301CF" w:rsidRPr="000301CF" w:rsidRDefault="000301CF" w:rsidP="000301CF">
      <w:pPr>
        <w:pStyle w:val="Corpodetexto"/>
        <w:spacing w:after="1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93AC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301C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Marques HR, Campos AC, Andrade DM, </w:t>
      </w:r>
      <w:proofErr w:type="spellStart"/>
      <w:r w:rsidRPr="000301CF">
        <w:rPr>
          <w:rFonts w:ascii="Times New Roman" w:hAnsi="Times New Roman" w:cs="Times New Roman"/>
          <w:color w:val="000000" w:themeColor="text1"/>
          <w:sz w:val="24"/>
          <w:szCs w:val="24"/>
        </w:rPr>
        <w:t>Zambalde</w:t>
      </w:r>
      <w:proofErr w:type="spellEnd"/>
      <w:r w:rsidRPr="000301C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AL. Inovação no ensino: uma revisão sistemática das metodologias ativas de ensino-aprendizagem. Avaliação (Campinas). 2021;26(3):718-741. doi:10.1590/S1414-40772021000300005 </w:t>
      </w:r>
    </w:p>
    <w:p w14:paraId="7317A2FC" w14:textId="4BB2EEAE" w:rsidR="00483094" w:rsidRPr="0009257C" w:rsidRDefault="00066755" w:rsidP="000301CF">
      <w:pPr>
        <w:pStyle w:val="Corpodetexto"/>
        <w:spacing w:after="1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3 </w:t>
      </w:r>
      <w:r w:rsidR="000301CF" w:rsidRPr="000301C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Batista ITP, Maia ICVL, Rocha AS, Morais RS. Metodologias focadas na gamificação para o ensino superior na área da enfermagem: uma revisão integrativa. </w:t>
      </w:r>
      <w:proofErr w:type="spellStart"/>
      <w:r w:rsidR="000301CF" w:rsidRPr="000301CF">
        <w:rPr>
          <w:rFonts w:ascii="Times New Roman" w:hAnsi="Times New Roman" w:cs="Times New Roman"/>
          <w:color w:val="000000" w:themeColor="text1"/>
          <w:sz w:val="24"/>
          <w:szCs w:val="24"/>
        </w:rPr>
        <w:t>Rev</w:t>
      </w:r>
      <w:proofErr w:type="spellEnd"/>
      <w:r w:rsidR="000301CF" w:rsidRPr="000301C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Ibero-Am </w:t>
      </w:r>
      <w:proofErr w:type="spellStart"/>
      <w:r w:rsidR="000301CF" w:rsidRPr="000301CF">
        <w:rPr>
          <w:rFonts w:ascii="Times New Roman" w:hAnsi="Times New Roman" w:cs="Times New Roman"/>
          <w:color w:val="000000" w:themeColor="text1"/>
          <w:sz w:val="24"/>
          <w:szCs w:val="24"/>
        </w:rPr>
        <w:t>Humanid</w:t>
      </w:r>
      <w:proofErr w:type="spellEnd"/>
      <w:r w:rsidR="000301CF" w:rsidRPr="000301C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301CF" w:rsidRPr="000301CF">
        <w:rPr>
          <w:rFonts w:ascii="Times New Roman" w:hAnsi="Times New Roman" w:cs="Times New Roman"/>
          <w:color w:val="000000" w:themeColor="text1"/>
          <w:sz w:val="24"/>
          <w:szCs w:val="24"/>
        </w:rPr>
        <w:t>Cienc</w:t>
      </w:r>
      <w:proofErr w:type="spellEnd"/>
      <w:r w:rsidR="000301CF" w:rsidRPr="000301C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Educ. 2023;9(4):966-983. doi:10.51891/</w:t>
      </w:r>
      <w:proofErr w:type="gramStart"/>
      <w:r w:rsidR="000301CF" w:rsidRPr="000301CF">
        <w:rPr>
          <w:rFonts w:ascii="Times New Roman" w:hAnsi="Times New Roman" w:cs="Times New Roman"/>
          <w:color w:val="000000" w:themeColor="text1"/>
          <w:sz w:val="24"/>
          <w:szCs w:val="24"/>
        </w:rPr>
        <w:t>rease.v</w:t>
      </w:r>
      <w:proofErr w:type="gramEnd"/>
      <w:r w:rsidR="000301CF" w:rsidRPr="000301CF">
        <w:rPr>
          <w:rFonts w:ascii="Times New Roman" w:hAnsi="Times New Roman" w:cs="Times New Roman"/>
          <w:color w:val="000000" w:themeColor="text1"/>
          <w:sz w:val="24"/>
          <w:szCs w:val="24"/>
        </w:rPr>
        <w:t>9i4.9282</w:t>
      </w:r>
    </w:p>
    <w:p w14:paraId="6CD49AD3" w14:textId="77777777" w:rsidR="00483094" w:rsidRPr="0009257C" w:rsidRDefault="00483094" w:rsidP="00483094">
      <w:pPr>
        <w:pStyle w:val="Corpodetexto"/>
        <w:spacing w:after="1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3448577" w14:textId="77777777" w:rsidR="00483094" w:rsidRPr="0009257C" w:rsidRDefault="00483094" w:rsidP="00483094">
      <w:pPr>
        <w:pStyle w:val="Corpodetexto"/>
        <w:spacing w:after="1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___________________________________________________</w:t>
      </w:r>
    </w:p>
    <w:p w14:paraId="4F8E9C9D" w14:textId="77777777" w:rsidR="000301CF" w:rsidRPr="0009257C" w:rsidRDefault="000301CF" w:rsidP="000301CF">
      <w:pPr>
        <w:pStyle w:val="Corpodetexto"/>
        <w:spacing w:after="1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257C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Acadêmico de enfermagem</w:t>
      </w:r>
      <w:r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Estudante</w:t>
      </w:r>
      <w:r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Universidade Federal do Pará</w:t>
      </w:r>
      <w:r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gabriel.alves.luz.31@gmail.com</w:t>
      </w:r>
      <w:r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2D1B18DD" w14:textId="77777777" w:rsidR="000301CF" w:rsidRPr="0009257C" w:rsidRDefault="000301CF" w:rsidP="000301CF">
      <w:pPr>
        <w:pStyle w:val="Corpodetexto"/>
        <w:spacing w:after="1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257C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Acadêmica de enfermagem</w:t>
      </w:r>
      <w:r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Estudante</w:t>
      </w:r>
      <w:r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Universidade Federal do Pará</w:t>
      </w:r>
      <w:r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1FED6F7B" w14:textId="1AA656A4" w:rsidR="000301CF" w:rsidRPr="0009257C" w:rsidRDefault="000301CF" w:rsidP="000301CF">
      <w:pPr>
        <w:pStyle w:val="Corpodetexto"/>
        <w:spacing w:after="1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Mestrado</w:t>
      </w:r>
      <w:r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Enfermeira e Docente</w:t>
      </w:r>
      <w:r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Universidade Federal do Pará</w:t>
      </w:r>
      <w:r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62BA77ED" w14:textId="5A689D55" w:rsidR="00212EC8" w:rsidRPr="00066755" w:rsidRDefault="00212EC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212EC8" w:rsidRPr="00066755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F337FE" w14:textId="77777777" w:rsidR="00EA4E01" w:rsidRDefault="00EA4E01" w:rsidP="0068569C">
      <w:pPr>
        <w:spacing w:before="0" w:after="0" w:line="240" w:lineRule="auto"/>
      </w:pPr>
      <w:r>
        <w:separator/>
      </w:r>
    </w:p>
  </w:endnote>
  <w:endnote w:type="continuationSeparator" w:id="0">
    <w:p w14:paraId="12DAFDDF" w14:textId="77777777" w:rsidR="00EA4E01" w:rsidRDefault="00EA4E01" w:rsidP="0068569C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D26A6F" w14:textId="068E8347" w:rsidR="007958B3" w:rsidRPr="007958B3" w:rsidRDefault="007958B3" w:rsidP="007958B3">
    <w:pPr>
      <w:pStyle w:val="Rodap"/>
    </w:pPr>
    <w:r w:rsidRPr="007958B3">
      <w:rPr>
        <w:noProof/>
      </w:rPr>
      <w:drawing>
        <wp:inline distT="0" distB="0" distL="0" distR="0" wp14:anchorId="44F87CA4" wp14:editId="2A0A764F">
          <wp:extent cx="5397905" cy="789559"/>
          <wp:effectExtent l="0" t="0" r="0" b="0"/>
          <wp:docPr id="1935225191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6426"/>
                  <a:stretch>
                    <a:fillRect/>
                  </a:stretch>
                </pic:blipFill>
                <pic:spPr bwMode="auto">
                  <a:xfrm>
                    <a:off x="0" y="0"/>
                    <a:ext cx="5424788" cy="79349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35D3F7BF" w14:textId="77777777" w:rsidR="007958B3" w:rsidRDefault="007958B3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0ECB3B" w14:textId="77777777" w:rsidR="00EA4E01" w:rsidRDefault="00EA4E01" w:rsidP="0068569C">
      <w:pPr>
        <w:spacing w:before="0" w:after="0" w:line="240" w:lineRule="auto"/>
      </w:pPr>
      <w:r>
        <w:separator/>
      </w:r>
    </w:p>
  </w:footnote>
  <w:footnote w:type="continuationSeparator" w:id="0">
    <w:p w14:paraId="595917FD" w14:textId="77777777" w:rsidR="00EA4E01" w:rsidRDefault="00EA4E01" w:rsidP="0068569C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8748B1" w14:textId="4BF7574D" w:rsidR="0068569C" w:rsidRDefault="0068569C">
    <w:pPr>
      <w:pStyle w:val="Cabealho"/>
    </w:pPr>
    <w:r w:rsidRPr="0068569C">
      <w:rPr>
        <w:noProof/>
      </w:rPr>
      <w:drawing>
        <wp:inline distT="0" distB="0" distL="0" distR="0" wp14:anchorId="6ADCF6A4" wp14:editId="4A582121">
          <wp:extent cx="5397754" cy="899160"/>
          <wp:effectExtent l="0" t="0" r="0" b="0"/>
          <wp:docPr id="482130830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8213083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39886" cy="9061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094"/>
    <w:rsid w:val="000301CF"/>
    <w:rsid w:val="00066755"/>
    <w:rsid w:val="00212EC8"/>
    <w:rsid w:val="002177C6"/>
    <w:rsid w:val="004431AA"/>
    <w:rsid w:val="00483094"/>
    <w:rsid w:val="00593AC3"/>
    <w:rsid w:val="0068569C"/>
    <w:rsid w:val="006A3787"/>
    <w:rsid w:val="006B3663"/>
    <w:rsid w:val="007436FB"/>
    <w:rsid w:val="00784511"/>
    <w:rsid w:val="007958B3"/>
    <w:rsid w:val="00B10BE2"/>
    <w:rsid w:val="00EA4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8FFF119"/>
  <w15:chartTrackingRefBased/>
  <w15:docId w15:val="{FD5DBA8C-C9D1-4FE3-9B78-6B7BE94BD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3094"/>
    <w:pPr>
      <w:spacing w:before="100" w:after="200" w:line="276" w:lineRule="auto"/>
    </w:pPr>
    <w:rPr>
      <w:rFonts w:eastAsiaTheme="minorEastAsia"/>
      <w:kern w:val="0"/>
      <w:sz w:val="20"/>
      <w:szCs w:val="20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4830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830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48309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4830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48309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4830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4830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4830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4830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4830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830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4830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48309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483094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483094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483094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483094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48309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4830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4830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4830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4830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4830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483094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483094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483094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4830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483094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483094"/>
    <w:rPr>
      <w:b/>
      <w:bCs/>
      <w:smallCaps/>
      <w:color w:val="0F4761" w:themeColor="accent1" w:themeShade="BF"/>
      <w:spacing w:val="5"/>
    </w:rPr>
  </w:style>
  <w:style w:type="paragraph" w:styleId="Corpodetexto">
    <w:name w:val="Body Text"/>
    <w:basedOn w:val="Normal"/>
    <w:link w:val="CorpodetextoChar"/>
    <w:rsid w:val="00483094"/>
    <w:pPr>
      <w:spacing w:after="140"/>
    </w:pPr>
  </w:style>
  <w:style w:type="character" w:customStyle="1" w:styleId="CorpodetextoChar">
    <w:name w:val="Corpo de texto Char"/>
    <w:basedOn w:val="Fontepargpadro"/>
    <w:link w:val="Corpodetexto"/>
    <w:rsid w:val="00483094"/>
    <w:rPr>
      <w:rFonts w:eastAsiaTheme="minorEastAsia"/>
      <w:kern w:val="0"/>
      <w:sz w:val="20"/>
      <w:szCs w:val="20"/>
      <w:lang w:eastAsia="pt-BR"/>
      <w14:ligatures w14:val="none"/>
    </w:rPr>
  </w:style>
  <w:style w:type="character" w:customStyle="1" w:styleId="nfaseforte">
    <w:name w:val="Ênfase forte"/>
    <w:rsid w:val="00483094"/>
    <w:rPr>
      <w:b/>
      <w:bCs/>
    </w:rPr>
  </w:style>
  <w:style w:type="paragraph" w:styleId="Cabealho">
    <w:name w:val="header"/>
    <w:basedOn w:val="Normal"/>
    <w:link w:val="CabealhoChar"/>
    <w:uiPriority w:val="99"/>
    <w:unhideWhenUsed/>
    <w:rsid w:val="0068569C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8569C"/>
    <w:rPr>
      <w:rFonts w:eastAsiaTheme="minorEastAsia"/>
      <w:kern w:val="0"/>
      <w:sz w:val="20"/>
      <w:szCs w:val="20"/>
      <w:lang w:eastAsia="pt-BR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68569C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8569C"/>
    <w:rPr>
      <w:rFonts w:eastAsiaTheme="minorEastAsia"/>
      <w:kern w:val="0"/>
      <w:sz w:val="20"/>
      <w:szCs w:val="20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1213</Words>
  <Characters>6551</Characters>
  <Application>Microsoft Office Word</Application>
  <DocSecurity>0</DocSecurity>
  <Lines>54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 Borges</dc:creator>
  <cp:keywords/>
  <dc:description/>
  <cp:lastModifiedBy>João Gabriel</cp:lastModifiedBy>
  <cp:revision>3</cp:revision>
  <dcterms:created xsi:type="dcterms:W3CDTF">2026-04-29T23:52:00Z</dcterms:created>
  <dcterms:modified xsi:type="dcterms:W3CDTF">2026-04-29T23:58:00Z</dcterms:modified>
</cp:coreProperties>
</file>